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宋体" w:hAnsi="宋体" w:eastAsia="宋体"/>
          <w:b/>
        </w:rPr>
        <w:t>2023年（第16届）中国大学生计算机设计大赛</w:t>
      </w:r>
    </w:p>
    <w:p>
      <w:pPr>
        <w:jc w:val="center"/>
      </w:pPr>
      <w:r>
        <w:rPr>
          <w:rFonts w:ascii="宋体" w:hAnsi="宋体" w:eastAsia="宋体"/>
        </w:rPr>
        <w:t>大数据实践赛作品报告</w:t>
      </w:r>
    </w:p>
    <w:p>
      <w:pPr>
        <w:jc w:val="center"/>
      </w:pPr>
      <w:r>
        <w:rPr>
          <w:rFonts w:ascii="宋体" w:hAnsi="宋体" w:eastAsia="宋体"/>
        </w:rPr>
        <w:t>作品名称：橙源智鉴——基于多模态光谱融合与深度学习的海南柑橘品质智能检测与产地溯源平台</w:t>
      </w:r>
    </w:p>
    <w:p>
      <w:pPr>
        <w:jc w:val="center"/>
      </w:pPr>
      <w:r>
        <w:rPr>
          <w:rFonts w:ascii="宋体" w:hAnsi="宋体" w:eastAsia="宋体"/>
        </w:rPr>
        <w:t>作品编号：待确认</w:t>
      </w:r>
    </w:p>
    <w:p>
      <w:pPr>
        <w:jc w:val="center"/>
      </w:pPr>
      <w:r>
        <w:rPr>
          <w:rFonts w:ascii="宋体" w:hAnsi="宋体" w:eastAsia="宋体"/>
        </w:rPr>
        <w:t>整理日期：2026年4月10日</w:t>
      </w:r>
    </w:p>
    <w:p>
      <w:r>
        <w:rPr>
          <w:rFonts w:ascii="宋体" w:hAnsi="宋体" w:eastAsia="宋体"/>
        </w:rPr>
      </w:r>
    </w:p>
    <w:p>
      <w:pPr>
        <w:pStyle w:val="Heading1"/>
      </w:pPr>
      <w:r>
        <w:rPr>
          <w:rFonts w:ascii="宋体" w:hAnsi="宋体" w:eastAsia="宋体"/>
        </w:rPr>
        <w:t>第1章 作品概述</w:t>
      </w:r>
    </w:p>
    <w:p>
      <w:pPr>
        <w:pStyle w:val="Heading2"/>
      </w:pPr>
      <w:r>
        <w:rPr>
          <w:rFonts w:ascii="宋体" w:hAnsi="宋体" w:eastAsia="宋体"/>
        </w:rPr>
        <w:t>1.1 项目背景与创意来源</w:t>
      </w:r>
    </w:p>
    <w:p>
      <w:pPr>
        <w:ind w:firstLine="480"/>
      </w:pPr>
      <w:r>
        <w:rPr>
          <w:rFonts w:ascii="宋体" w:hAnsi="宋体" w:eastAsia="宋体"/>
        </w:rPr>
        <w:t>在海南柑橘的分级、验货和品牌传播环节，常见的问题并不是“缺少数据”，而是样本、检测结果和过程记录彼此分散，难以统一判断，也难以长期留存。围绕这一现实需求，项目选取澄迈福橙与琼中绿橙作为代表样本，构建集数据治理、品质检测、产地溯源、结果解读和报告输出于一体的分析系统，希望把一次检测形成的结果、依据和记录真正连接起来。</w:t>
      </w:r>
    </w:p>
    <w:p>
      <w:pPr>
        <w:ind w:firstLine="480"/>
      </w:pPr>
      <w:r>
        <w:rPr>
          <w:rFonts w:ascii="宋体" w:hAnsi="宋体" w:eastAsia="宋体"/>
        </w:rPr>
        <w:t>项目以真实样本和统一实验流程为基础，面向果园、合作社、分选中心和品牌运营等场景提供数字化检测方案。系统以多模态光谱为主要输入，结合滴定法和液质数据建立标签体系，在同一套流程中完成样本接入、分析处理、结果展示、归档和报告生成，既突出检测能力，也强调实际使用效果。</w:t>
      </w:r>
    </w:p>
    <w:p>
      <w:pPr>
        <w:ind w:firstLine="480"/>
      </w:pPr>
      <w:r>
        <w:rPr>
          <w:rFonts w:ascii="宋体" w:hAnsi="宋体" w:eastAsia="宋体"/>
        </w:rPr>
        <w:t>选择澄迈福橙和琼中绿橙作为研究对象，一方面是因为二者具有较强的地域代表性和品牌辨识度，另一方面也因为它们在糖度、糖酸比、VC 等理化指标上具有一定差异，适合开展产地识别与品质分析的联合研究。项目希望以海南特色果品为切入点，探索一条从样本整理到智能分析、再到结果展示和报告输出的完整路径，为区域特色农产品数字化检测提供可借鉴的思路。</w:t>
      </w:r>
    </w:p>
    <w:p>
      <w:pPr>
        <w:pStyle w:val="Heading2"/>
      </w:pPr>
      <w:r>
        <w:rPr>
          <w:rFonts w:ascii="宋体" w:hAnsi="宋体" w:eastAsia="宋体"/>
        </w:rPr>
        <w:t>1.2 面向对象与应用场景</w:t>
      </w:r>
    </w:p>
    <w:p>
      <w:pPr>
        <w:ind w:firstLine="480"/>
      </w:pPr>
      <w:r>
        <w:rPr>
          <w:rFonts w:ascii="宋体" w:hAnsi="宋体" w:eastAsia="宋体"/>
        </w:rPr>
        <w:t>系统主要面向四类用户：一是果园和合作社，用于样本登记、批次管理和品质初筛；二是分选加工与质检环节，用于辅助判断糖度、内部成分和产地信息；三是品牌运营与渠道验货环节，用于生成标准化报告和批次凭证；四是科研与区域服务机构，用于沉淀样本、验证模型并拓展更多柑橘检测任务。</w:t>
      </w:r>
    </w:p>
    <w:p>
      <w:pPr>
        <w:ind w:firstLine="480"/>
      </w:pPr>
      <w:r>
        <w:rPr>
          <w:rFonts w:ascii="宋体" w:hAnsi="宋体" w:eastAsia="宋体"/>
        </w:rPr>
        <w:t>从使用场景看，系统既能服务实验环境下的系统研究，也能支持现场采样和移动端操作。分析结果不仅体现在页面上，还能整理为结构化记录、历史档案和 PDF 报告，为品控、宣传、验货和复核提供统一依据。</w:t>
      </w:r>
    </w:p>
    <w:p>
      <w:pPr>
        <w:ind w:firstLine="480"/>
      </w:pPr>
      <w:r>
        <w:rPr>
          <w:rFonts w:ascii="宋体" w:hAnsi="宋体" w:eastAsia="宋体"/>
        </w:rPr>
        <w:t>对于果园和合作社而言，系统可以帮助完成样本登记、批次区分和品质初筛；对于分选与验货环节而言，系统能够提供更加直观的品质指标和产地判断；对于品牌展示和科普教学而言，页面化结果与正式报告又能够承担说明和展示任务。正因如此，作品并不只面向单一实验任务，而是强调在不同使用场景下都具备清晰、统一、可复核的结果呈现能力。</w:t>
      </w:r>
    </w:p>
    <w:p>
      <w:pPr>
        <w:pStyle w:val="Heading2"/>
      </w:pPr>
      <w:r>
        <w:rPr>
          <w:rFonts w:ascii="宋体" w:hAnsi="宋体" w:eastAsia="宋体"/>
        </w:rPr>
        <w:t>1.3 系统组成与建设成果</w:t>
      </w:r>
    </w:p>
    <w:p>
      <w:pPr>
        <w:ind w:firstLine="480"/>
      </w:pPr>
      <w:r>
        <w:rPr>
          <w:rFonts w:ascii="宋体" w:hAnsi="宋体" w:eastAsia="宋体"/>
        </w:rPr>
        <w:t>当前作品已经形成网页展示端、移动应用端、分析支撑层和结果输出层相互配合的整体结构。网页端承担作品展示、数据总览、综合分析与历史回看，移动端面向现场采样、快速提交和结果查询，分析支撑层负责组织样本信息、分析请求与结果回传，结果输出层负责生成正式报告与留存记录。四部分围绕同一数据底座运行，保证样本信息、分析结果和展示内容前后一致。</w:t>
      </w:r>
    </w:p>
    <w:p>
      <w:pPr>
        <w:ind w:firstLine="480"/>
      </w:pPr>
      <w:r>
        <w:rPr>
          <w:rFonts w:ascii="宋体" w:hAnsi="宋体" w:eastAsia="宋体"/>
        </w:rPr>
        <w:t>截至 2026 年 4 月 10 日，作品已完成 9 个网页主要页面、11 个移动端功能页面，并形成覆盖样本管理、分析处理、结果组织、报告生成等环节的 20 项核心服务能力，已经具备较完整的展示和演示条件。</w:t>
      </w:r>
    </w:p>
    <w:p>
      <w:pPr>
        <w:ind w:firstLine="480"/>
      </w:pPr>
      <w:r>
        <w:rPr>
          <w:rFonts w:ascii="宋体" w:hAnsi="宋体" w:eastAsia="宋体"/>
        </w:rPr>
        <w:t>表1-1 当前作品总体组成</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模块</w:t>
            </w:r>
          </w:p>
        </w:tc>
        <w:tc>
          <w:tcPr>
            <w:tcW w:type="dxa" w:w="2880"/>
          </w:tcPr>
          <w:p>
            <w:r>
              <w:t>主要职责</w:t>
            </w:r>
          </w:p>
        </w:tc>
        <w:tc>
          <w:tcPr>
            <w:tcW w:type="dxa" w:w="2880"/>
          </w:tcPr>
          <w:p>
            <w:r>
              <w:t>当前成果</w:t>
            </w:r>
          </w:p>
        </w:tc>
      </w:tr>
      <w:tr>
        <w:tc>
          <w:tcPr>
            <w:tcW w:type="dxa" w:w="2880"/>
          </w:tcPr>
          <w:p>
            <w:r>
              <w:t>网页展示端</w:t>
            </w:r>
          </w:p>
        </w:tc>
        <w:tc>
          <w:tcPr>
            <w:tcW w:type="dxa" w:w="2880"/>
          </w:tcPr>
          <w:p>
            <w:r>
              <w:t>作品展示、数据总览、结果回看</w:t>
            </w:r>
          </w:p>
        </w:tc>
        <w:tc>
          <w:tcPr>
            <w:tcW w:type="dxa" w:w="2880"/>
          </w:tcPr>
          <w:p>
            <w:r>
              <w:t>已完成 9 个主要页面</w:t>
            </w:r>
          </w:p>
        </w:tc>
      </w:tr>
      <w:tr>
        <w:tc>
          <w:tcPr>
            <w:tcW w:type="dxa" w:w="2880"/>
          </w:tcPr>
          <w:p>
            <w:r>
              <w:t>移动应用端</w:t>
            </w:r>
          </w:p>
        </w:tc>
        <w:tc>
          <w:tcPr>
            <w:tcW w:type="dxa" w:w="2880"/>
          </w:tcPr>
          <w:p>
            <w:r>
              <w:t>样本上传、分析提交、报告查看</w:t>
            </w:r>
          </w:p>
        </w:tc>
        <w:tc>
          <w:tcPr>
            <w:tcW w:type="dxa" w:w="2880"/>
          </w:tcPr>
          <w:p>
            <w:r>
              <w:t>已完成 11 个功能页面</w:t>
            </w:r>
          </w:p>
        </w:tc>
      </w:tr>
      <w:tr>
        <w:tc>
          <w:tcPr>
            <w:tcW w:type="dxa" w:w="2880"/>
          </w:tcPr>
          <w:p>
            <w:r>
              <w:t>分析支撑层</w:t>
            </w:r>
          </w:p>
        </w:tc>
        <w:tc>
          <w:tcPr>
            <w:tcW w:type="dxa" w:w="2880"/>
          </w:tcPr>
          <w:p>
            <w:r>
              <w:t>样本、文件、分析、结果等流程组织</w:t>
            </w:r>
          </w:p>
        </w:tc>
        <w:tc>
          <w:tcPr>
            <w:tcW w:type="dxa" w:w="2880"/>
          </w:tcPr>
          <w:p>
            <w:r>
              <w:t>已形成 20 项核心服务能力</w:t>
            </w:r>
          </w:p>
        </w:tc>
      </w:tr>
      <w:tr>
        <w:tc>
          <w:tcPr>
            <w:tcW w:type="dxa" w:w="2880"/>
          </w:tcPr>
          <w:p>
            <w:r>
              <w:t>成果输出层</w:t>
            </w:r>
          </w:p>
        </w:tc>
        <w:tc>
          <w:tcPr>
            <w:tcW w:type="dxa" w:w="2880"/>
          </w:tcPr>
          <w:p>
            <w:r>
              <w:t>中文结果整合、报告生成、历史留存</w:t>
            </w:r>
          </w:p>
        </w:tc>
        <w:tc>
          <w:tcPr>
            <w:tcW w:type="dxa" w:w="2880"/>
          </w:tcPr>
          <w:p>
            <w:r>
              <w:t>已支持规范报告导出与记录归档</w:t>
            </w:r>
          </w:p>
        </w:tc>
      </w:tr>
    </w:tbl>
    <w:p/>
    <w:p>
      <w:pPr>
        <w:pStyle w:val="Heading2"/>
      </w:pPr>
      <w:r>
        <w:rPr>
          <w:rFonts w:ascii="宋体" w:hAnsi="宋体" w:eastAsia="宋体"/>
        </w:rPr>
        <w:t>1.4 作品价值与总体定位</w:t>
      </w:r>
    </w:p>
    <w:p>
      <w:pPr>
        <w:ind w:firstLine="480"/>
      </w:pPr>
      <w:r>
        <w:rPr>
          <w:rFonts w:ascii="宋体" w:hAnsi="宋体" w:eastAsia="宋体"/>
        </w:rPr>
        <w:t>项目价值主要体现在三个层面：一是把分散在实验记录、光谱文件和化验结果中的信息整理到同一套样本体系中，提高检测结果的管理效率与说明能力；二是将样本分析、结果展示、档案留存和报告输出整合为统一流程，使检测结果能够直接服务验货、归档和说明场景；三是以海南特色柑橘为起点，为后续扩展到更多品种、更多指标和更多区域任务打下基础。</w:t>
      </w:r>
    </w:p>
    <w:p>
      <w:pPr>
        <w:ind w:firstLine="480"/>
      </w:pPr>
      <w:r>
        <w:rPr>
          <w:rFonts w:ascii="宋体" w:hAnsi="宋体" w:eastAsia="宋体"/>
        </w:rPr>
        <w:t>从作品定位看，橙源智鉴既是一项多模态数据分析实践，也是一次面向特色农产品场景的数字化应用探索。它不是把若干模型结果简单堆叠在一起，而是围绕“样本是否可靠、结果是否可信、展示是否清楚、材料是否可留存”四个问题展开组织，因此更适合作为大数据实践赛的完整作品来呈现。</w:t>
      </w:r>
    </w:p>
    <w:p>
      <w:pPr>
        <w:pStyle w:val="Heading1"/>
      </w:pPr>
      <w:r>
        <w:rPr>
          <w:rFonts w:ascii="宋体" w:hAnsi="宋体" w:eastAsia="宋体"/>
        </w:rPr>
        <w:t>第2章 数据基础与问题分析</w:t>
      </w:r>
    </w:p>
    <w:p>
      <w:pPr>
        <w:pStyle w:val="Heading2"/>
      </w:pPr>
      <w:r>
        <w:rPr>
          <w:rFonts w:ascii="宋体" w:hAnsi="宋体" w:eastAsia="宋体"/>
        </w:rPr>
        <w:t>2.1 业务问题分析</w:t>
      </w:r>
    </w:p>
    <w:p>
      <w:pPr>
        <w:ind w:firstLine="480"/>
      </w:pPr>
      <w:r>
        <w:rPr>
          <w:rFonts w:ascii="宋体" w:hAnsi="宋体" w:eastAsia="宋体"/>
        </w:rPr>
        <w:t>传统果品质量判断仍然较多依赖人工经验和离线检测。这样做虽然能得到结论，但常常伴随批次信息分散、检测周期偏长、结果难复用等问题。尤其在品牌果、电商果和礼盒果场景中，用户关心的不只是“结果是什么”，还包括“依据是什么”“能不能回查”“能不能统一对外说明”。单一检测工具很难同时满足这些需求。</w:t>
      </w:r>
    </w:p>
    <w:p>
      <w:pPr>
        <w:ind w:firstLine="480"/>
      </w:pPr>
      <w:r>
        <w:rPr>
          <w:rFonts w:ascii="宋体" w:hAnsi="宋体" w:eastAsia="宋体"/>
        </w:rPr>
        <w:t>围绕这些问题，项目把任务拆成三部分推进：先建立可用于品质预测和产地溯源的标准化样本主表；再搭建面向业务使用的多模态分析流程；最后把实验结果整理成适合验货、归档和品牌说明的系统化输出。</w:t>
      </w:r>
    </w:p>
    <w:p>
      <w:pPr>
        <w:ind w:firstLine="480"/>
      </w:pPr>
      <w:r>
        <w:rPr>
          <w:rFonts w:ascii="宋体" w:hAnsi="宋体" w:eastAsia="宋体"/>
        </w:rPr>
        <w:t>具体到海南柑橘场景，传统检测方式往往更适合回答单点问题，例如糖度是否达标、酸度是否偏高，却难以同时兼顾产地识别、内部成分分析和结果留存等需求。当作品进入比赛展示和实际使用环节后，仅有单项指标并不足以支撑完整说明，因此项目从一开始就将问题定义为“如何把检测、识别、说明和留存放进同一条流程中”，而不是单纯追求某一个指标的提升。</w:t>
      </w:r>
    </w:p>
    <w:p>
      <w:pPr>
        <w:pStyle w:val="Heading2"/>
      </w:pPr>
      <w:r>
        <w:rPr>
          <w:rFonts w:ascii="宋体" w:hAnsi="宋体" w:eastAsia="宋体"/>
        </w:rPr>
        <w:t>2.2 数据基础与样本组织</w:t>
      </w:r>
    </w:p>
    <w:p>
      <w:pPr>
        <w:ind w:firstLine="480"/>
      </w:pPr>
      <w:r>
        <w:rPr>
          <w:rFonts w:ascii="宋体" w:hAnsi="宋体" w:eastAsia="宋体"/>
        </w:rPr>
        <w:t>根据当前正式实验资料，项目已完成 399 个样本的正式主表整理，覆盖澄迈福橙与琼中绿橙两个产地。正式实验统一采用 R210 与 S960 双光谱作为输入，其中 R210 光谱特征 228 维，S960 光谱特征 1402 维，合计 1630 维。围绕三项核心任务，项目进一步整理出品质预测、产地溯源、液质成分预测三类数据集，并使用固定随机种子完成训练、验证、测试划分，保证实验过程可复现、结果可对比。</w:t>
      </w:r>
    </w:p>
    <w:p>
      <w:pPr>
        <w:ind w:firstLine="480"/>
      </w:pPr>
      <w:r>
        <w:rPr>
          <w:rFonts w:ascii="宋体" w:hAnsi="宋体" w:eastAsia="宋体"/>
        </w:rPr>
        <w:t>在样本组成方面，澄迈福橙样本 199 个，琼中绿橙样本 200 个；统一划分后训练集 279 个、验证集 60 个、测试集 60 个，且两地产地在验证集和测试集中都保持 30:30 的均衡分布。这样的组织方式既适合做产地分类，也能为后续品质和成分建模提供稳定基础。</w:t>
      </w:r>
    </w:p>
    <w:p>
      <w:pPr>
        <w:ind w:firstLine="480"/>
      </w:pPr>
      <w:r>
        <w:rPr>
          <w:rFonts w:ascii="宋体" w:hAnsi="宋体" w:eastAsia="宋体"/>
        </w:rPr>
        <w:t>表2-1 正式实验样本与数据集概况</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项目</w:t>
            </w:r>
          </w:p>
        </w:tc>
        <w:tc>
          <w:tcPr>
            <w:tcW w:type="dxa" w:w="2880"/>
          </w:tcPr>
          <w:p>
            <w:r>
              <w:t>规模</w:t>
            </w:r>
          </w:p>
        </w:tc>
        <w:tc>
          <w:tcPr>
            <w:tcW w:type="dxa" w:w="2880"/>
          </w:tcPr>
          <w:p>
            <w:r>
              <w:t>说明</w:t>
            </w:r>
          </w:p>
        </w:tc>
      </w:tr>
      <w:tr>
        <w:tc>
          <w:tcPr>
            <w:tcW w:type="dxa" w:w="2880"/>
          </w:tcPr>
          <w:p>
            <w:r>
              <w:t>正式主表样本数</w:t>
            </w:r>
          </w:p>
        </w:tc>
        <w:tc>
          <w:tcPr>
            <w:tcW w:type="dxa" w:w="2880"/>
          </w:tcPr>
          <w:p>
            <w:r>
              <w:t>399</w:t>
            </w:r>
          </w:p>
        </w:tc>
        <w:tc>
          <w:tcPr>
            <w:tcW w:type="dxa" w:w="2880"/>
          </w:tcPr>
          <w:p>
            <w:r>
              <w:t>去除可疑 HSI 后的双光谱安全主表</w:t>
            </w:r>
          </w:p>
        </w:tc>
      </w:tr>
      <w:tr>
        <w:tc>
          <w:tcPr>
            <w:tcW w:type="dxa" w:w="2880"/>
          </w:tcPr>
          <w:p>
            <w:r>
              <w:t>光谱特征数</w:t>
            </w:r>
          </w:p>
        </w:tc>
        <w:tc>
          <w:tcPr>
            <w:tcW w:type="dxa" w:w="2880"/>
          </w:tcPr>
          <w:p>
            <w:r>
              <w:t>1630</w:t>
            </w:r>
          </w:p>
        </w:tc>
        <w:tc>
          <w:tcPr>
            <w:tcW w:type="dxa" w:w="2880"/>
          </w:tcPr>
          <w:p>
            <w:r>
              <w:t>R210 228 维 + S960 1402 维</w:t>
            </w:r>
          </w:p>
        </w:tc>
      </w:tr>
      <w:tr>
        <w:tc>
          <w:tcPr>
            <w:tcW w:type="dxa" w:w="2880"/>
          </w:tcPr>
          <w:p>
            <w:r>
              <w:t>品质预测标签</w:t>
            </w:r>
          </w:p>
        </w:tc>
        <w:tc>
          <w:tcPr>
            <w:tcW w:type="dxa" w:w="2880"/>
          </w:tcPr>
          <w:p>
            <w:r>
              <w:t>4 项</w:t>
            </w:r>
          </w:p>
        </w:tc>
        <w:tc>
          <w:tcPr>
            <w:tcW w:type="dxa" w:w="2880"/>
          </w:tcPr>
          <w:p>
            <w:r>
              <w:t>糖度、酸度、糖酸比、VC</w:t>
            </w:r>
          </w:p>
        </w:tc>
      </w:tr>
      <w:tr>
        <w:tc>
          <w:tcPr>
            <w:tcW w:type="dxa" w:w="2880"/>
          </w:tcPr>
          <w:p>
            <w:r>
              <w:t>液质成分标签</w:t>
            </w:r>
          </w:p>
        </w:tc>
        <w:tc>
          <w:tcPr>
            <w:tcW w:type="dxa" w:w="2880"/>
          </w:tcPr>
          <w:p>
            <w:r>
              <w:t>36 项</w:t>
            </w:r>
          </w:p>
        </w:tc>
        <w:tc>
          <w:tcPr>
            <w:tcW w:type="dxa" w:w="2880"/>
          </w:tcPr>
          <w:p>
            <w:r>
              <w:t>用于内部成分建模与筛选</w:t>
            </w:r>
          </w:p>
        </w:tc>
      </w:tr>
      <w:tr>
        <w:tc>
          <w:tcPr>
            <w:tcW w:type="dxa" w:w="2880"/>
          </w:tcPr>
          <w:p>
            <w:r>
              <w:t>统一划分</w:t>
            </w:r>
          </w:p>
        </w:tc>
        <w:tc>
          <w:tcPr>
            <w:tcW w:type="dxa" w:w="2880"/>
          </w:tcPr>
          <w:p>
            <w:r>
              <w:t>279/60/60</w:t>
            </w:r>
          </w:p>
        </w:tc>
        <w:tc>
          <w:tcPr>
            <w:tcW w:type="dxa" w:w="2880"/>
          </w:tcPr>
          <w:p>
            <w:r>
              <w:t>训练集/验证集/测试集</w:t>
            </w:r>
          </w:p>
        </w:tc>
      </w:tr>
    </w:tbl>
    <w:p/>
    <w:p>
      <w:pPr>
        <w:pStyle w:val="Heading2"/>
      </w:pPr>
      <w:r>
        <w:rPr>
          <w:rFonts w:ascii="宋体" w:hAnsi="宋体" w:eastAsia="宋体"/>
        </w:rPr>
        <w:t>2.3 数据治理与质量控制</w:t>
      </w:r>
    </w:p>
    <w:p>
      <w:pPr>
        <w:ind w:firstLine="480"/>
      </w:pPr>
      <w:r>
        <w:rPr>
          <w:rFonts w:ascii="宋体" w:hAnsi="宋体" w:eastAsia="宋体"/>
        </w:rPr>
        <w:t>项目在数据治理上坚持先清洗、后训练。清洗结果显示，HSI 数据存在跨产地同编号完全重复问题，共识别出 199 对异常样本。为保证正式实验可靠，项目在正式主表中完全剔除了 HSI，仅保留质量稳定、可以统一对齐的 R210 与 S960 双光谱数据，形成“安全版_去除HSI融合表”，作为后续实验和系统展示共用的数据底座。</w:t>
      </w:r>
    </w:p>
    <w:p>
      <w:pPr>
        <w:ind w:firstLine="480"/>
      </w:pPr>
      <w:r>
        <w:rPr>
          <w:rFonts w:ascii="宋体" w:hAnsi="宋体" w:eastAsia="宋体"/>
        </w:rPr>
        <w:t>在多模态对齐方面，项目完成了 S960 两地产地数据的共同波段统一，其中共同波段数为 1402 个，琼中原始数据额外尾部波段 50 个。完成共同波段对齐后，不同产地样本可以直接进入统一建模流程，也为后续结果解释打下了基础。</w:t>
      </w:r>
    </w:p>
    <w:p>
      <w:pPr>
        <w:ind w:firstLine="480"/>
      </w:pPr>
      <w:r>
        <w:rPr>
          <w:rFonts w:ascii="宋体" w:hAnsi="宋体" w:eastAsia="宋体"/>
        </w:rPr>
        <w:t>表2-2 数据治理与质量控制要点</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治理项</w:t>
            </w:r>
          </w:p>
        </w:tc>
        <w:tc>
          <w:tcPr>
            <w:tcW w:type="dxa" w:w="2880"/>
          </w:tcPr>
          <w:p>
            <w:r>
              <w:t>结果</w:t>
            </w:r>
          </w:p>
        </w:tc>
        <w:tc>
          <w:tcPr>
            <w:tcW w:type="dxa" w:w="2880"/>
          </w:tcPr>
          <w:p>
            <w:r>
              <w:t>意义</w:t>
            </w:r>
          </w:p>
        </w:tc>
      </w:tr>
      <w:tr>
        <w:tc>
          <w:tcPr>
            <w:tcW w:type="dxa" w:w="2880"/>
          </w:tcPr>
          <w:p>
            <w:r>
              <w:t>HSI 异常排查</w:t>
            </w:r>
          </w:p>
        </w:tc>
        <w:tc>
          <w:tcPr>
            <w:tcW w:type="dxa" w:w="2880"/>
          </w:tcPr>
          <w:p>
            <w:r>
              <w:t>识别 199 对跨产地重复样本</w:t>
            </w:r>
          </w:p>
        </w:tc>
        <w:tc>
          <w:tcPr>
            <w:tcW w:type="dxa" w:w="2880"/>
          </w:tcPr>
          <w:p>
            <w:r>
              <w:t>避免异常模态对正式实验造成干扰</w:t>
            </w:r>
          </w:p>
        </w:tc>
      </w:tr>
      <w:tr>
        <w:tc>
          <w:tcPr>
            <w:tcW w:type="dxa" w:w="2880"/>
          </w:tcPr>
          <w:p>
            <w:r>
              <w:t>正式建模主表</w:t>
            </w:r>
          </w:p>
        </w:tc>
        <w:tc>
          <w:tcPr>
            <w:tcW w:type="dxa" w:w="2880"/>
          </w:tcPr>
          <w:p>
            <w:r>
              <w:t>399 条安全样本</w:t>
            </w:r>
          </w:p>
        </w:tc>
        <w:tc>
          <w:tcPr>
            <w:tcW w:type="dxa" w:w="2880"/>
          </w:tcPr>
          <w:p>
            <w:r>
              <w:t>统一作为正式实验唯一主表</w:t>
            </w:r>
          </w:p>
        </w:tc>
      </w:tr>
      <w:tr>
        <w:tc>
          <w:tcPr>
            <w:tcW w:type="dxa" w:w="2880"/>
          </w:tcPr>
          <w:p>
            <w:r>
              <w:t>S960 波段对齐</w:t>
            </w:r>
          </w:p>
        </w:tc>
        <w:tc>
          <w:tcPr>
            <w:tcW w:type="dxa" w:w="2880"/>
          </w:tcPr>
          <w:p>
            <w:r>
              <w:t>1402 个共同波段</w:t>
            </w:r>
          </w:p>
        </w:tc>
        <w:tc>
          <w:tcPr>
            <w:tcW w:type="dxa" w:w="2880"/>
          </w:tcPr>
          <w:p>
            <w:r>
              <w:t>保证跨产地数据可直接比较与建模</w:t>
            </w:r>
          </w:p>
        </w:tc>
      </w:tr>
      <w:tr>
        <w:tc>
          <w:tcPr>
            <w:tcW w:type="dxa" w:w="2880"/>
          </w:tcPr>
          <w:p>
            <w:r>
              <w:t>统一样本划分</w:t>
            </w:r>
          </w:p>
        </w:tc>
        <w:tc>
          <w:tcPr>
            <w:tcW w:type="dxa" w:w="2880"/>
          </w:tcPr>
          <w:p>
            <w:r>
              <w:t>固定随机种子 20260409</w:t>
            </w:r>
          </w:p>
        </w:tc>
        <w:tc>
          <w:tcPr>
            <w:tcW w:type="dxa" w:w="2880"/>
          </w:tcPr>
          <w:p>
            <w:r>
              <w:t>保证三项任务结果可复现</w:t>
            </w:r>
          </w:p>
        </w:tc>
      </w:tr>
    </w:tbl>
    <w:p/>
    <w:p>
      <w:pPr>
        <w:pStyle w:val="Heading2"/>
      </w:pPr>
      <w:r>
        <w:rPr>
          <w:rFonts w:ascii="宋体" w:hAnsi="宋体" w:eastAsia="宋体"/>
        </w:rPr>
        <w:t>2.4 核心突破点</w:t>
      </w:r>
    </w:p>
    <w:p>
      <w:pPr>
        <w:ind w:firstLine="480"/>
      </w:pPr>
      <w:r>
        <w:rPr>
          <w:rFonts w:ascii="宋体" w:hAnsi="宋体" w:eastAsia="宋体"/>
        </w:rPr>
        <w:t>围绕上述问题，项目同步推进样本体系建设、多任务分析、数据治理、系统组织与结果输出，形成了从样本整理、智能分析到报告生成的完整流程。相较于单一功能展示，这种整体化设计更贴近真实使用场景。</w:t>
      </w:r>
    </w:p>
    <w:p>
      <w:pPr>
        <w:ind w:firstLine="480"/>
      </w:pPr>
      <w:r>
        <w:rPr>
          <w:rFonts w:ascii="宋体" w:hAnsi="宋体" w:eastAsia="宋体"/>
        </w:rPr>
        <w:t>这一突破点体现在两个方面：其一，先对数据做清理和约束，再开展正式分析，保证后续结果建立在可信样本之上；其二，不把产地识别、品质评价和成分分析割裂开来，而是让三条分析主线共享同一套样本基础和展示出口。这样一来，作品在展示时不仅有结果，而且有过程、有依据，也更便于形成统一叙述。</w:t>
      </w:r>
    </w:p>
    <w:p>
      <w:pPr>
        <w:pStyle w:val="Heading1"/>
      </w:pPr>
      <w:r>
        <w:rPr>
          <w:rFonts w:ascii="宋体" w:hAnsi="宋体" w:eastAsia="宋体"/>
        </w:rPr>
        <w:t>第3章 技术方案</w:t>
      </w:r>
    </w:p>
    <w:p>
      <w:pPr>
        <w:pStyle w:val="Heading2"/>
      </w:pPr>
      <w:r>
        <w:rPr>
          <w:rFonts w:ascii="宋体" w:hAnsi="宋体" w:eastAsia="宋体"/>
        </w:rPr>
        <w:t>3.1 总体架构设计</w:t>
      </w:r>
    </w:p>
    <w:p>
      <w:pPr>
        <w:ind w:firstLine="480"/>
      </w:pPr>
      <w:r>
        <w:rPr>
          <w:rFonts w:ascii="宋体" w:hAnsi="宋体" w:eastAsia="宋体"/>
        </w:rPr>
        <w:t>作品采用“数据底座、分析引擎、应用呈现”三部分相互衔接的设计。底层以统一整理后的双光谱样本主表为支撑，中层围绕品质评价、产地判别和成分解析组织分析模型，上层通过网页展示、移动应用和正式报告呈现分析结果。这样的组织方式使数据来源、分析过程和展示内容能够相互对应，便于比赛展示和后续应用。</w:t>
      </w:r>
    </w:p>
    <w:p>
      <w:pPr>
        <w:ind w:firstLine="480"/>
      </w:pPr>
      <w:r>
        <w:rPr>
          <w:rFonts w:ascii="宋体" w:hAnsi="宋体" w:eastAsia="宋体"/>
        </w:rPr>
        <w:t>在这一结构下，数据治理成果可以直接进入多任务分析，多任务分析结果也可以直接进入展示与报告环节，从而把样本整理、模型分析和实际使用连接起来。</w:t>
      </w:r>
    </w:p>
    <w:p>
      <w:pPr>
        <w:ind w:firstLine="480"/>
      </w:pPr>
      <w:r>
        <w:rPr>
          <w:rFonts w:ascii="宋体" w:hAnsi="宋体" w:eastAsia="宋体"/>
        </w:rPr>
        <w:t>这种架构设计的意义在于，作品能够同时照顾研究逻辑和展示逻辑。研究层面，它保证了样本来源、分析任务和结果指标之间关系清晰；展示层面，它又能把分析后的结论准确映射到页面、图表和报告中，避免出现“实验是一套话、展示又是另一套话”的割裂现象。</w:t>
      </w:r>
    </w:p>
    <w:p>
      <w:pPr>
        <w:pStyle w:val="Heading2"/>
      </w:pPr>
      <w:r>
        <w:rPr>
          <w:rFonts w:ascii="宋体" w:hAnsi="宋体" w:eastAsia="宋体"/>
        </w:rPr>
        <w:t>3.2 多模态数据与建模路线</w:t>
      </w:r>
    </w:p>
    <w:p>
      <w:pPr>
        <w:ind w:firstLine="480"/>
      </w:pPr>
      <w:r>
        <w:rPr>
          <w:rFonts w:ascii="宋体" w:hAnsi="宋体" w:eastAsia="宋体"/>
        </w:rPr>
        <w:t>项目以 399 个正式样本构成的双光谱安全主表为分析核心，将 R210 与 S960 光谱信息同糖度、酸度、糖酸比、VC 等品质指标以及 36 项液质成分标签统一组织，形成支撑多任务分析的样本体系。围绕这一数据基础，作品设置了品质评价、产地溯源和成分解析三条分析主线，使外部表型、产地信息与内部组分之间能够相互对应、相互印证。</w:t>
      </w:r>
    </w:p>
    <w:p>
      <w:pPr>
        <w:ind w:firstLine="480"/>
      </w:pPr>
      <w:r>
        <w:rPr>
          <w:rFonts w:ascii="宋体" w:hAnsi="宋体" w:eastAsia="宋体"/>
        </w:rPr>
        <w:t>在技术路线安排上，项目先完成单光谱与双光谱的对比分析，再引入预处理、降维和多模型组合进行优化，使实验过程和结果变化都更加清晰。</w:t>
      </w:r>
    </w:p>
    <w:p>
      <w:pPr>
        <w:ind w:firstLine="480"/>
      </w:pPr>
      <w:r>
        <w:rPr>
          <w:rFonts w:ascii="宋体" w:hAnsi="宋体" w:eastAsia="宋体"/>
        </w:rPr>
        <w:t>三条分析主线各有侧重。品质评价主要面向糖度、酸度、糖酸比和 VC 等更容易被理解和使用的指标；产地溯源强调不同产地样本在光谱空间中的区分能力；液质成分分析则进一步向内部品质延伸，希望通过多模态数据揭示果品内部成分差异。三者共同组成了从外部品质到内部成分、从表观判断到来源识别的完整分析框架。</w:t>
      </w:r>
    </w:p>
    <w:p>
      <w:pPr>
        <w:pStyle w:val="Heading2"/>
      </w:pPr>
      <w:r>
        <w:rPr>
          <w:rFonts w:ascii="宋体" w:hAnsi="宋体" w:eastAsia="宋体"/>
        </w:rPr>
        <w:t>3.3 关键算法与优化策略</w:t>
      </w:r>
    </w:p>
    <w:p>
      <w:pPr>
        <w:ind w:firstLine="480"/>
      </w:pPr>
      <w:r>
        <w:rPr>
          <w:rFonts w:ascii="宋体" w:hAnsi="宋体" w:eastAsia="宋体"/>
        </w:rPr>
        <w:t>针对高维光谱数据易受散射、基线漂移和维度冗余影响的特点，项目采用 SNV 预处理、特征压缩与多模型组合相结合的方式提升分析效果。在液质成分预测中，优化后验证集平均 R² 提升至 0.7104，最佳测试集平均 R² 达到 0.6975，说明双光谱融合能够较好刻画内部成分差异。</w:t>
      </w:r>
    </w:p>
    <w:p>
      <w:pPr>
        <w:ind w:firstLine="480"/>
      </w:pPr>
      <w:r>
        <w:rPr>
          <w:rFonts w:ascii="宋体" w:hAnsi="宋体" w:eastAsia="宋体"/>
        </w:rPr>
        <w:t>在品质评价任务中，糖度指标表现最为突出，最佳测试集 R² 达到 0.7051；在产地判别任务中，S960 单光谱条件下逻辑回归和线性 SVM 的准确率与 F1 值均达到 1.0000。三类结果相互补充，使作品既能识别“来自哪里”，也能回答“品质如何”“内部成分怎样”。</w:t>
      </w:r>
    </w:p>
    <w:p>
      <w:pPr>
        <w:ind w:firstLine="480"/>
      </w:pPr>
      <w:r>
        <w:rPr>
          <w:rFonts w:ascii="宋体" w:hAnsi="宋体" w:eastAsia="宋体"/>
        </w:rPr>
        <w:t>从结果特征看，项目并没有把所有指标简单并列，而是根据实际表现形成了更清晰的重点层次。产地溯源承担“能否准确分辨来源”的任务，糖度预测承担“能否服务品质判断”的任务，液质成分预测承担“能否向内部品质进一步延伸”的任务。这样的组织方式使整篇报告的技术路线和结果叙述更加集中，不会陷入指标罗列过多、主次不清的问题。</w:t>
      </w:r>
    </w:p>
    <w:p>
      <w:pPr>
        <w:ind w:firstLine="480"/>
      </w:pPr>
      <w:r>
        <w:rPr>
          <w:rFonts w:ascii="宋体" w:hAnsi="宋体" w:eastAsia="宋体"/>
        </w:rPr>
        <w:t>表3-1 三项核心任务与技术路线</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分析方向</w:t>
            </w:r>
          </w:p>
        </w:tc>
        <w:tc>
          <w:tcPr>
            <w:tcW w:type="dxa" w:w="2160"/>
          </w:tcPr>
          <w:p>
            <w:r>
              <w:t>数据输入</w:t>
            </w:r>
          </w:p>
        </w:tc>
        <w:tc>
          <w:tcPr>
            <w:tcW w:type="dxa" w:w="2160"/>
          </w:tcPr>
          <w:p>
            <w:r>
              <w:t>目标输出</w:t>
            </w:r>
          </w:p>
        </w:tc>
        <w:tc>
          <w:tcPr>
            <w:tcW w:type="dxa" w:w="2160"/>
          </w:tcPr>
          <w:p>
            <w:r>
              <w:t>主要方法</w:t>
            </w:r>
          </w:p>
        </w:tc>
      </w:tr>
      <w:tr>
        <w:tc>
          <w:tcPr>
            <w:tcW w:type="dxa" w:w="2160"/>
          </w:tcPr>
          <w:p>
            <w:r>
              <w:t>品质预测</w:t>
            </w:r>
          </w:p>
        </w:tc>
        <w:tc>
          <w:tcPr>
            <w:tcW w:type="dxa" w:w="2160"/>
          </w:tcPr>
          <w:p>
            <w:r>
              <w:t>R210/S960 双光谱</w:t>
            </w:r>
          </w:p>
        </w:tc>
        <w:tc>
          <w:tcPr>
            <w:tcW w:type="dxa" w:w="2160"/>
          </w:tcPr>
          <w:p>
            <w:r>
              <w:t>糖度、酸度、糖酸比、VC</w:t>
            </w:r>
          </w:p>
        </w:tc>
        <w:tc>
          <w:tcPr>
            <w:tcW w:type="dxa" w:w="2160"/>
          </w:tcPr>
          <w:p>
            <w:r>
              <w:t>SNV + Ridge/PLS 等回归方法</w:t>
            </w:r>
          </w:p>
        </w:tc>
      </w:tr>
      <w:tr>
        <w:tc>
          <w:tcPr>
            <w:tcW w:type="dxa" w:w="2160"/>
          </w:tcPr>
          <w:p>
            <w:r>
              <w:t>产地溯源</w:t>
            </w:r>
          </w:p>
        </w:tc>
        <w:tc>
          <w:tcPr>
            <w:tcW w:type="dxa" w:w="2160"/>
          </w:tcPr>
          <w:p>
            <w:r>
              <w:t>单光谱或双光谱</w:t>
            </w:r>
          </w:p>
        </w:tc>
        <w:tc>
          <w:tcPr>
            <w:tcW w:type="dxa" w:w="2160"/>
          </w:tcPr>
          <w:p>
            <w:r>
              <w:t>澄迈/琼中产地判别</w:t>
            </w:r>
          </w:p>
        </w:tc>
        <w:tc>
          <w:tcPr>
            <w:tcW w:type="dxa" w:w="2160"/>
          </w:tcPr>
          <w:p>
            <w:r>
              <w:t>逻辑回归、线性 SVM、LightGBM 分类</w:t>
            </w:r>
          </w:p>
        </w:tc>
      </w:tr>
      <w:tr>
        <w:tc>
          <w:tcPr>
            <w:tcW w:type="dxa" w:w="2160"/>
          </w:tcPr>
          <w:p>
            <w:r>
              <w:t>液质成分预测</w:t>
            </w:r>
          </w:p>
        </w:tc>
        <w:tc>
          <w:tcPr>
            <w:tcW w:type="dxa" w:w="2160"/>
          </w:tcPr>
          <w:p>
            <w:r>
              <w:t>双光谱安全主表</w:t>
            </w:r>
          </w:p>
        </w:tc>
        <w:tc>
          <w:tcPr>
            <w:tcW w:type="dxa" w:w="2160"/>
          </w:tcPr>
          <w:p>
            <w:r>
              <w:t>36 项液质成分与重点指标</w:t>
            </w:r>
          </w:p>
        </w:tc>
        <w:tc>
          <w:tcPr>
            <w:tcW w:type="dxa" w:w="2160"/>
          </w:tcPr>
          <w:p>
            <w:r>
              <w:t>SNV + PCA/Ridge/PLS/XGBoost</w:t>
            </w:r>
          </w:p>
        </w:tc>
      </w:tr>
    </w:tbl>
    <w:p/>
    <w:p>
      <w:pPr>
        <w:pStyle w:val="Heading2"/>
      </w:pPr>
      <w:r>
        <w:rPr>
          <w:rFonts w:ascii="宋体" w:hAnsi="宋体" w:eastAsia="宋体"/>
        </w:rPr>
        <w:t>3.4 分析流程与结果呈现</w:t>
      </w:r>
    </w:p>
    <w:p>
      <w:pPr>
        <w:ind w:firstLine="480"/>
      </w:pPr>
      <w:r>
        <w:rPr>
          <w:rFonts w:ascii="宋体" w:hAnsi="宋体" w:eastAsia="宋体"/>
        </w:rPr>
        <w:t>作品按照“样本整理、光谱接入、智能分析、结果解读、报告生成、历史留存”的顺序组织整体流程。样本信息进入系统后，可结合光谱数据完成自动分析，随后形成产地判断、品质指标和重点成分的综合结果，并整理为页面展示内容和正式报告。这样的设计使分析结果不止停留在数值层面，而是能够直接转化为清晰、完整的展示材料。</w:t>
      </w:r>
    </w:p>
    <w:p>
      <w:pPr>
        <w:ind w:firstLine="480"/>
      </w:pPr>
      <w:r>
        <w:rPr>
          <w:rFonts w:ascii="宋体" w:hAnsi="宋体" w:eastAsia="宋体"/>
        </w:rPr>
        <w:t>在比赛展示中，这一流程能够比较自然地对应评审的观察路径：先看到样本基础与数据来源，再看到分析页面与关键图表，随后阅读综合结论和正式报告，最后回看历史记录与结果留存。也正因为流程清晰，作品在现场展示时更容易形成连贯叙事，而不是停留在单页截图或单项实验结果上。</w:t>
      </w:r>
    </w:p>
    <w:p>
      <w:pPr>
        <w:pStyle w:val="Heading1"/>
      </w:pPr>
      <w:r>
        <w:rPr>
          <w:rFonts w:ascii="宋体" w:hAnsi="宋体" w:eastAsia="宋体"/>
        </w:rPr>
        <w:t>第4章 作品实现与展示</w:t>
      </w:r>
    </w:p>
    <w:p>
      <w:pPr>
        <w:pStyle w:val="Heading2"/>
      </w:pPr>
      <w:r>
        <w:rPr>
          <w:rFonts w:ascii="宋体" w:hAnsi="宋体" w:eastAsia="宋体"/>
        </w:rPr>
        <w:t>4.1 展示形态设计</w:t>
      </w:r>
    </w:p>
    <w:p>
      <w:pPr>
        <w:ind w:firstLine="480"/>
      </w:pPr>
      <w:r>
        <w:rPr>
          <w:rFonts w:ascii="宋体" w:hAnsi="宋体" w:eastAsia="宋体"/>
        </w:rPr>
        <w:t>作品采用网页端与微信小程序双端配合的展示方式。网页端重点呈现作品概貌、数据总览、综合分析和历史结果，适合比赛答辩与集中展示；移动端面向样本录入、快速查询和结果回看，便于现场使用和轻量交互。两类终端围绕同一套样本与分析结果组织内容，保证展示口径统一。</w:t>
      </w:r>
    </w:p>
    <w:p>
      <w:pPr>
        <w:ind w:firstLine="480"/>
      </w:pPr>
      <w:r>
        <w:rPr>
          <w:rFonts w:ascii="宋体" w:hAnsi="宋体" w:eastAsia="宋体"/>
        </w:rPr>
        <w:t>在界面布局上，作品突出“结果可视、过程可查、结论可读”的表达方式。分析页负责单样本与对比分析，数据展示页突出样本规模、产地差异和关键指标分布，历史页承接报告回看与记录留存，使展示、查询与复核形成连贯闭环。</w:t>
      </w:r>
    </w:p>
    <w:p>
      <w:pPr>
        <w:ind w:firstLine="480"/>
      </w:pPr>
      <w:r>
        <w:rPr>
          <w:rFonts w:ascii="宋体" w:hAnsi="宋体" w:eastAsia="宋体"/>
        </w:rPr>
        <w:t>网页端更适合承担比赛中的“总述”和“展开”功能，即先整体展示作品目标、样本规模和核心成果，再逐步展开分析页面、结果对比和历史记录；移动端则更接近实际使用入口，强调录入、查询和快速回看。两种展示方式一静一动，使作品既有适合评审观看的集中呈现，也有贴近使用场景的操作感。</w:t>
      </w:r>
    </w:p>
    <w:p>
      <w:pPr>
        <w:pStyle w:val="Heading2"/>
      </w:pPr>
      <w:r>
        <w:rPr>
          <w:rFonts w:ascii="宋体" w:hAnsi="宋体" w:eastAsia="宋体"/>
        </w:rPr>
        <w:t>4.2 核心功能组织</w:t>
      </w:r>
    </w:p>
    <w:p>
      <w:pPr>
        <w:ind w:firstLine="480"/>
      </w:pPr>
      <w:r>
        <w:rPr>
          <w:rFonts w:ascii="宋体" w:hAnsi="宋体" w:eastAsia="宋体"/>
        </w:rPr>
        <w:t>围绕样本采集、数据分析和结果输出三个环节，作品形成了较完整的功能组织结构。系统能够完成样本信息管理、光谱文件接入、分析处理、结果详情展示、历史记录查询和报告导出等关键操作，并通过统一的数据组织方式保证各环节信息一致。</w:t>
      </w:r>
    </w:p>
    <w:p>
      <w:pPr>
        <w:ind w:firstLine="480"/>
      </w:pPr>
      <w:r>
        <w:rPr>
          <w:rFonts w:ascii="宋体" w:hAnsi="宋体" w:eastAsia="宋体"/>
        </w:rPr>
        <w:t>从整体效果看，网页端、移动端与分析支撑层之间已经形成稳定配合：展示端负责信息呈现与分析提交，分析支撑层负责结果处理与回传，结果输出层负责整理与留存，由此形成面向比赛展示和场景应用的一体化实现。</w:t>
      </w:r>
    </w:p>
    <w:p>
      <w:pPr>
        <w:ind w:firstLine="480"/>
      </w:pPr>
      <w:r>
        <w:rPr>
          <w:rFonts w:ascii="宋体" w:hAnsi="宋体" w:eastAsia="宋体"/>
        </w:rPr>
        <w:t>这一部分的重点不在于单独罗列多少功能，而在于说明作品已经具备一条完整的使用路径：样本进入系统后，可以被识别、被分析、被展示，也可以被回查、被归档、被再次说明。对于比赛作品而言，这种从输入到输出都较为完整的组织方式，比单纯展示某一页界面或某一个模型结果更有说服力。</w:t>
      </w:r>
    </w:p>
    <w:p>
      <w:pPr>
        <w:pStyle w:val="Heading2"/>
      </w:pPr>
      <w:r>
        <w:rPr>
          <w:rFonts w:ascii="宋体" w:hAnsi="宋体" w:eastAsia="宋体"/>
        </w:rPr>
        <w:t>4.3 报告生成与成果留存</w:t>
      </w:r>
    </w:p>
    <w:p>
      <w:pPr>
        <w:ind w:firstLine="480"/>
      </w:pPr>
      <w:r>
        <w:rPr>
          <w:rFonts w:ascii="宋体" w:hAnsi="宋体" w:eastAsia="宋体"/>
        </w:rPr>
        <w:t>作品在结果组织上强调“可读、可用、可留存”。分析完成后，系统能够围绕样本基本信息、产地判断、品质指标、重点成分和综合说明形成中文报告，并保留对应的历史记录，方便后续查询、比较和展示。</w:t>
      </w:r>
    </w:p>
    <w:p>
      <w:pPr>
        <w:ind w:firstLine="480"/>
      </w:pPr>
      <w:r>
        <w:rPr>
          <w:rFonts w:ascii="宋体" w:hAnsi="宋体" w:eastAsia="宋体"/>
        </w:rPr>
        <w:t>这种结果组织方式把分析结果从离散数据转换为结构化材料，使作品在答辩展示、区域推广和样本复核等场景中都更便于说明和使用。</w:t>
      </w:r>
    </w:p>
    <w:p>
      <w:pPr>
        <w:ind w:firstLine="480"/>
      </w:pPr>
      <w:r>
        <w:rPr>
          <w:rFonts w:ascii="宋体" w:hAnsi="宋体" w:eastAsia="宋体"/>
        </w:rPr>
        <w:t>报告输出并不是附加性的展示材料，而是作品的重要组成部分。它把原本分散在多个页面和多个指标中的信息重新整理为统一文本，便于评审快速把握作品要点，也便于在实际场景中作为批次说明、样本留档或教学展示材料继续使用。</w:t>
      </w:r>
    </w:p>
    <w:p>
      <w:pPr>
        <w:pStyle w:val="Heading2"/>
      </w:pPr>
      <w:r>
        <w:rPr>
          <w:rFonts w:ascii="宋体" w:hAnsi="宋体" w:eastAsia="宋体"/>
        </w:rPr>
        <w:t>4.4 实现成果</w:t>
      </w:r>
    </w:p>
    <w:p>
      <w:pPr>
        <w:ind w:firstLine="480"/>
      </w:pPr>
      <w:r>
        <w:rPr>
          <w:rFonts w:ascii="宋体" w:hAnsi="宋体" w:eastAsia="宋体"/>
        </w:rPr>
        <w:t>截至 2026 年 4 月 10 日，作品已经形成网页展示、移动应用、分析支撑和结果输出四个层面的实现成果。相关页面、服务能力和报告流程均已整理完成，能够支撑比赛演示、成果说明和后续拓展。</w:t>
      </w:r>
    </w:p>
    <w:p>
      <w:pPr>
        <w:ind w:firstLine="480"/>
      </w:pPr>
      <w:r>
        <w:rPr>
          <w:rFonts w:ascii="宋体" w:hAnsi="宋体" w:eastAsia="宋体"/>
        </w:rPr>
        <w:t>从作品完成情况来看，当前版本已经不再停留在概念设计或局部页面阶段，而是具备了完整的展示骨架、清晰的数据基础和较突出的核心结果。无论是用来做现场演示，还是进一步完善图表、补充图片和打磨答辩内容，都已经有了比较扎实的文本与系统基础。</w:t>
      </w:r>
    </w:p>
    <w:p>
      <w:pPr>
        <w:ind w:firstLine="480"/>
      </w:pPr>
      <w:r>
        <w:rPr>
          <w:rFonts w:ascii="宋体" w:hAnsi="宋体" w:eastAsia="宋体"/>
        </w:rPr>
        <w:t>表4-1 作品实现成果概况</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模块</w:t>
            </w:r>
          </w:p>
        </w:tc>
        <w:tc>
          <w:tcPr>
            <w:tcW w:type="dxa" w:w="2880"/>
          </w:tcPr>
          <w:p>
            <w:r>
              <w:t>已实现内容</w:t>
            </w:r>
          </w:p>
        </w:tc>
        <w:tc>
          <w:tcPr>
            <w:tcW w:type="dxa" w:w="2880"/>
          </w:tcPr>
          <w:p>
            <w:r>
              <w:t>作用</w:t>
            </w:r>
          </w:p>
        </w:tc>
      </w:tr>
      <w:tr>
        <w:tc>
          <w:tcPr>
            <w:tcW w:type="dxa" w:w="2880"/>
          </w:tcPr>
          <w:p>
            <w:r>
              <w:t>网页展示</w:t>
            </w:r>
          </w:p>
        </w:tc>
        <w:tc>
          <w:tcPr>
            <w:tcW w:type="dxa" w:w="2880"/>
          </w:tcPr>
          <w:p>
            <w:r>
              <w:t>首页、分析页、数据大屏、历史页等 9 个主要页面</w:t>
            </w:r>
          </w:p>
        </w:tc>
        <w:tc>
          <w:tcPr>
            <w:tcW w:type="dxa" w:w="2880"/>
          </w:tcPr>
          <w:p>
            <w:r>
              <w:t>支撑综合展示与结果回看</w:t>
            </w:r>
          </w:p>
        </w:tc>
      </w:tr>
      <w:tr>
        <w:tc>
          <w:tcPr>
            <w:tcW w:type="dxa" w:w="2880"/>
          </w:tcPr>
          <w:p>
            <w:r>
              <w:t>移动应用</w:t>
            </w:r>
          </w:p>
        </w:tc>
        <w:tc>
          <w:tcPr>
            <w:tcW w:type="dxa" w:w="2880"/>
          </w:tcPr>
          <w:p>
            <w:r>
              <w:t>上传、查询、分析、报告等 11 个功能页面</w:t>
            </w:r>
          </w:p>
        </w:tc>
        <w:tc>
          <w:tcPr>
            <w:tcW w:type="dxa" w:w="2880"/>
          </w:tcPr>
          <w:p>
            <w:r>
              <w:t>支撑现场采样与移动操作</w:t>
            </w:r>
          </w:p>
        </w:tc>
      </w:tr>
      <w:tr>
        <w:tc>
          <w:tcPr>
            <w:tcW w:type="dxa" w:w="2880"/>
          </w:tcPr>
          <w:p>
            <w:r>
              <w:t>分析支撑</w:t>
            </w:r>
          </w:p>
        </w:tc>
        <w:tc>
          <w:tcPr>
            <w:tcW w:type="dxa" w:w="2880"/>
          </w:tcPr>
          <w:p>
            <w:r>
              <w:t>样本、文件、分析、结果等 20 项核心服务能力</w:t>
            </w:r>
          </w:p>
        </w:tc>
        <w:tc>
          <w:tcPr>
            <w:tcW w:type="dxa" w:w="2880"/>
          </w:tcPr>
          <w:p>
            <w:r>
              <w:t>支撑多任务处理与流程贯通</w:t>
            </w:r>
          </w:p>
        </w:tc>
      </w:tr>
      <w:tr>
        <w:tc>
          <w:tcPr>
            <w:tcW w:type="dxa" w:w="2880"/>
          </w:tcPr>
          <w:p>
            <w:r>
              <w:t>成果输出</w:t>
            </w:r>
          </w:p>
        </w:tc>
        <w:tc>
          <w:tcPr>
            <w:tcW w:type="dxa" w:w="2880"/>
          </w:tcPr>
          <w:p>
            <w:r>
              <w:t>中文报告、PDF 导出、历史记录留存</w:t>
            </w:r>
          </w:p>
        </w:tc>
        <w:tc>
          <w:tcPr>
            <w:tcW w:type="dxa" w:w="2880"/>
          </w:tcPr>
          <w:p>
            <w:r>
              <w:t>支撑正式表达与资料沉淀</w:t>
            </w:r>
          </w:p>
        </w:tc>
      </w:tr>
    </w:tbl>
    <w:p/>
    <w:p>
      <w:pPr>
        <w:pStyle w:val="Heading1"/>
      </w:pPr>
      <w:r>
        <w:rPr>
          <w:rFonts w:ascii="宋体" w:hAnsi="宋体" w:eastAsia="宋体"/>
        </w:rPr>
        <w:t>第5章 实验与测试分析</w:t>
      </w:r>
    </w:p>
    <w:p>
      <w:pPr>
        <w:pStyle w:val="Heading2"/>
      </w:pPr>
      <w:r>
        <w:rPr>
          <w:rFonts w:ascii="宋体" w:hAnsi="宋体" w:eastAsia="宋体"/>
        </w:rPr>
        <w:t>5.1 实验设置</w:t>
      </w:r>
    </w:p>
    <w:p>
      <w:pPr>
        <w:ind w:firstLine="480"/>
      </w:pPr>
      <w:r>
        <w:rPr>
          <w:rFonts w:ascii="宋体" w:hAnsi="宋体" w:eastAsia="宋体"/>
        </w:rPr>
        <w:t>实验部分全部基于统一整理后的正式双光谱主表，在同一划分条件下完成对比测试。训练集、验证集、测试集规模分别为 279、60、60；两类产地样本在验证集和测试集中保持均衡分布，从而保证分类与回归结果具有统一、可比的评估基础。整体实验按照“先建立对比基础，再逐步优化提升”的思路展开，能够清楚呈现结果差异与性能变化。</w:t>
      </w:r>
    </w:p>
    <w:p>
      <w:pPr>
        <w:ind w:firstLine="480"/>
      </w:pPr>
      <w:r>
        <w:rPr>
          <w:rFonts w:ascii="宋体" w:hAnsi="宋体" w:eastAsia="宋体"/>
        </w:rPr>
        <w:t>为了保证不同任务之间可以横向比较，项目在产地溯源、品质评价和液质成分分析三类实验中采用统一样本主表和统一划分方案。这样既避免了不同任务各自划分带来的口径差异，也保证了报告中的主要结果能够放在同一框架下解释，从而增强整体验证的连贯性。</w:t>
      </w:r>
    </w:p>
    <w:p>
      <w:pPr>
        <w:pStyle w:val="Heading2"/>
      </w:pPr>
      <w:r>
        <w:rPr>
          <w:rFonts w:ascii="宋体" w:hAnsi="宋体" w:eastAsia="宋体"/>
        </w:rPr>
        <w:t>5.2 产地溯源结果分析</w:t>
      </w:r>
    </w:p>
    <w:p>
      <w:pPr>
        <w:ind w:firstLine="480"/>
      </w:pPr>
      <w:r>
        <w:rPr>
          <w:rFonts w:ascii="宋体" w:hAnsi="宋体" w:eastAsia="宋体"/>
        </w:rPr>
        <w:t>产地溯源是当前结果最稳定的任务。以 S960单光谱 为输入时，逻辑回归与线性 SVM 在验证集和测试集上的准确率、平衡准确率与 F1_macro 均达到 1.0000，表明两类产地样本在当前光谱空间中具有较高区分度，可为产地鉴别、品牌溯源和批次核验提供直接依据。</w:t>
      </w:r>
    </w:p>
    <w:p>
      <w:pPr>
        <w:ind w:firstLine="480"/>
      </w:pPr>
      <w:r>
        <w:rPr>
          <w:rFonts w:ascii="宋体" w:hAnsi="宋体" w:eastAsia="宋体"/>
        </w:rPr>
        <w:t>这一结果说明，至少在当前样本条件下，澄迈福橙与琼中绿橙已经能够在关键光谱特征上形成较清晰的产地差异。对于比赛作品而言，产地溯源任务的意义不仅在于指标高，更在于它为整篇报告提供了非常明确的亮点结果，也让“品牌溯源”这一应用场景有了更直接的数据支撑。</w:t>
      </w:r>
    </w:p>
    <w:p>
      <w:pPr>
        <w:ind w:firstLine="480"/>
      </w:pPr>
      <w:r>
        <w:rPr>
          <w:rFonts w:ascii="宋体" w:hAnsi="宋体" w:eastAsia="宋体"/>
        </w:rPr>
        <w:t>表5-1 产地溯源代表性结果</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t>特征方案</w:t>
            </w:r>
          </w:p>
        </w:tc>
        <w:tc>
          <w:tcPr>
            <w:tcW w:type="dxa" w:w="1728"/>
          </w:tcPr>
          <w:p>
            <w:r>
              <w:t>模型</w:t>
            </w:r>
          </w:p>
        </w:tc>
        <w:tc>
          <w:tcPr>
            <w:tcW w:type="dxa" w:w="1728"/>
          </w:tcPr>
          <w:p>
            <w:r>
              <w:t>验证集准确率</w:t>
            </w:r>
          </w:p>
        </w:tc>
        <w:tc>
          <w:tcPr>
            <w:tcW w:type="dxa" w:w="1728"/>
          </w:tcPr>
          <w:p>
            <w:r>
              <w:t>测试集准确率</w:t>
            </w:r>
          </w:p>
        </w:tc>
        <w:tc>
          <w:tcPr>
            <w:tcW w:type="dxa" w:w="1728"/>
          </w:tcPr>
          <w:p>
            <w:r>
              <w:t>测试集F1_macro</w:t>
            </w:r>
          </w:p>
        </w:tc>
      </w:tr>
      <w:tr>
        <w:tc>
          <w:tcPr>
            <w:tcW w:type="dxa" w:w="1728"/>
          </w:tcPr>
          <w:p>
            <w:r>
              <w:t>S960单光谱</w:t>
            </w:r>
          </w:p>
        </w:tc>
        <w:tc>
          <w:tcPr>
            <w:tcW w:type="dxa" w:w="1728"/>
          </w:tcPr>
          <w:p>
            <w:r>
              <w:t>逻辑回归</w:t>
            </w:r>
          </w:p>
        </w:tc>
        <w:tc>
          <w:tcPr>
            <w:tcW w:type="dxa" w:w="1728"/>
          </w:tcPr>
          <w:p>
            <w:r>
              <w:t>1.0000</w:t>
            </w:r>
          </w:p>
        </w:tc>
        <w:tc>
          <w:tcPr>
            <w:tcW w:type="dxa" w:w="1728"/>
          </w:tcPr>
          <w:p>
            <w:r>
              <w:t>1.0000</w:t>
            </w:r>
          </w:p>
        </w:tc>
        <w:tc>
          <w:tcPr>
            <w:tcW w:type="dxa" w:w="1728"/>
          </w:tcPr>
          <w:p>
            <w:r>
              <w:t>1.0000</w:t>
            </w:r>
          </w:p>
        </w:tc>
      </w:tr>
      <w:tr>
        <w:tc>
          <w:tcPr>
            <w:tcW w:type="dxa" w:w="1728"/>
          </w:tcPr>
          <w:p>
            <w:r>
              <w:t>S960单光谱</w:t>
            </w:r>
          </w:p>
        </w:tc>
        <w:tc>
          <w:tcPr>
            <w:tcW w:type="dxa" w:w="1728"/>
          </w:tcPr>
          <w:p>
            <w:r>
              <w:t>线性SVM</w:t>
            </w:r>
          </w:p>
        </w:tc>
        <w:tc>
          <w:tcPr>
            <w:tcW w:type="dxa" w:w="1728"/>
          </w:tcPr>
          <w:p>
            <w:r>
              <w:t>1.0000</w:t>
            </w:r>
          </w:p>
        </w:tc>
        <w:tc>
          <w:tcPr>
            <w:tcW w:type="dxa" w:w="1728"/>
          </w:tcPr>
          <w:p>
            <w:r>
              <w:t>1.0000</w:t>
            </w:r>
          </w:p>
        </w:tc>
        <w:tc>
          <w:tcPr>
            <w:tcW w:type="dxa" w:w="1728"/>
          </w:tcPr>
          <w:p>
            <w:r>
              <w:t>1.0000</w:t>
            </w:r>
          </w:p>
        </w:tc>
      </w:tr>
      <w:tr>
        <w:tc>
          <w:tcPr>
            <w:tcW w:type="dxa" w:w="1728"/>
          </w:tcPr>
          <w:p>
            <w:r>
              <w:t>R210+S960双光谱</w:t>
            </w:r>
          </w:p>
        </w:tc>
        <w:tc>
          <w:tcPr>
            <w:tcW w:type="dxa" w:w="1728"/>
          </w:tcPr>
          <w:p>
            <w:r>
              <w:t>LightGBM分类</w:t>
            </w:r>
          </w:p>
        </w:tc>
        <w:tc>
          <w:tcPr>
            <w:tcW w:type="dxa" w:w="1728"/>
          </w:tcPr>
          <w:p>
            <w:r>
              <w:t>0.9833</w:t>
            </w:r>
          </w:p>
        </w:tc>
        <w:tc>
          <w:tcPr>
            <w:tcW w:type="dxa" w:w="1728"/>
          </w:tcPr>
          <w:p>
            <w:r>
              <w:t>1.0000</w:t>
            </w:r>
          </w:p>
        </w:tc>
        <w:tc>
          <w:tcPr>
            <w:tcW w:type="dxa" w:w="1728"/>
          </w:tcPr>
          <w:p>
            <w:r>
              <w:t>1.0000</w:t>
            </w:r>
          </w:p>
        </w:tc>
      </w:tr>
    </w:tbl>
    <w:p/>
    <w:p>
      <w:pPr>
        <w:pStyle w:val="Heading2"/>
      </w:pPr>
      <w:r>
        <w:rPr>
          <w:rFonts w:ascii="宋体" w:hAnsi="宋体" w:eastAsia="宋体"/>
        </w:rPr>
        <w:t>5.3 品质预测结果分析</w:t>
      </w:r>
    </w:p>
    <w:p>
      <w:pPr>
        <w:ind w:firstLine="480"/>
      </w:pPr>
      <w:r>
        <w:rPr>
          <w:rFonts w:ascii="宋体" w:hAnsi="宋体" w:eastAsia="宋体"/>
        </w:rPr>
        <w:t>在品质预测任务中，糖度是当前最有代表性的优势指标。测试结果显示，R210+S960双光谱 条件下的 岭回归 在糖度预测上取得测试集 R²=0.7051，RMSE=0.8071，可以为果品分级和品质判断提供较强参考。与此同时，VC 和糖酸比也取得了一定效果，适合作为综合分析中的辅助信息，帮助系统形成更完整的品质画像。</w:t>
      </w:r>
    </w:p>
    <w:p>
      <w:pPr>
        <w:ind w:firstLine="480"/>
      </w:pPr>
      <w:r>
        <w:rPr>
          <w:rFonts w:ascii="宋体" w:hAnsi="宋体" w:eastAsia="宋体"/>
        </w:rPr>
        <w:t>从两地产地的平均理化差异看，琼中绿橙在糖度和糖酸比上更高，分别达到 10.79 和 18.11；澄迈福橙在 VC 水平上更高，平均达到 40.80。这些差异让页面展示和报告结论都有了更扎实的事实依据。</w:t>
      </w:r>
    </w:p>
    <w:p>
      <w:pPr>
        <w:ind w:firstLine="480"/>
      </w:pPr>
      <w:r>
        <w:rPr>
          <w:rFonts w:ascii="宋体" w:hAnsi="宋体" w:eastAsia="宋体"/>
        </w:rPr>
        <w:t>品质预测部分的价值在于，它让作品不只是停留在“能分出产地”，而是进一步进入“能看出品质差异”的层面。特别是糖度这一指标，本身就与消费者感知和果品分级联系紧密，因此在比赛展示中更容易被理解，也更适合作为系统分析能力的代表性结果来呈现。</w:t>
      </w:r>
    </w:p>
    <w:p>
      <w:pPr>
        <w:ind w:firstLine="480"/>
      </w:pPr>
      <w:r>
        <w:rPr>
          <w:rFonts w:ascii="宋体" w:hAnsi="宋体" w:eastAsia="宋体"/>
        </w:rPr>
        <w:t>表5-2 品质预测代表性结果</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t>指标</w:t>
            </w:r>
          </w:p>
        </w:tc>
        <w:tc>
          <w:tcPr>
            <w:tcW w:type="dxa" w:w="1728"/>
          </w:tcPr>
          <w:p>
            <w:r>
              <w:t>最佳模型</w:t>
            </w:r>
          </w:p>
        </w:tc>
        <w:tc>
          <w:tcPr>
            <w:tcW w:type="dxa" w:w="1728"/>
          </w:tcPr>
          <w:p>
            <w:r>
              <w:t>特征方案</w:t>
            </w:r>
          </w:p>
        </w:tc>
        <w:tc>
          <w:tcPr>
            <w:tcW w:type="dxa" w:w="1728"/>
          </w:tcPr>
          <w:p>
            <w:r>
              <w:t>测试集R²</w:t>
            </w:r>
          </w:p>
        </w:tc>
        <w:tc>
          <w:tcPr>
            <w:tcW w:type="dxa" w:w="1728"/>
          </w:tcPr>
          <w:p>
            <w:r>
              <w:t>测试集RMSE</w:t>
            </w:r>
          </w:p>
        </w:tc>
      </w:tr>
      <w:tr>
        <w:tc>
          <w:tcPr>
            <w:tcW w:type="dxa" w:w="1728"/>
          </w:tcPr>
          <w:p>
            <w:r>
              <w:t>糖度</w:t>
            </w:r>
          </w:p>
        </w:tc>
        <w:tc>
          <w:tcPr>
            <w:tcW w:type="dxa" w:w="1728"/>
          </w:tcPr>
          <w:p>
            <w:r>
              <w:t>岭回归</w:t>
            </w:r>
          </w:p>
        </w:tc>
        <w:tc>
          <w:tcPr>
            <w:tcW w:type="dxa" w:w="1728"/>
          </w:tcPr>
          <w:p>
            <w:r>
              <w:t>R210+S960双光谱</w:t>
            </w:r>
          </w:p>
        </w:tc>
        <w:tc>
          <w:tcPr>
            <w:tcW w:type="dxa" w:w="1728"/>
          </w:tcPr>
          <w:p>
            <w:r>
              <w:t>0.7051</w:t>
            </w:r>
          </w:p>
        </w:tc>
        <w:tc>
          <w:tcPr>
            <w:tcW w:type="dxa" w:w="1728"/>
          </w:tcPr>
          <w:p>
            <w:r>
              <w:t>0.8071</w:t>
            </w:r>
          </w:p>
        </w:tc>
      </w:tr>
      <w:tr>
        <w:tc>
          <w:tcPr>
            <w:tcW w:type="dxa" w:w="1728"/>
          </w:tcPr>
          <w:p>
            <w:r>
              <w:t>VC</w:t>
            </w:r>
          </w:p>
        </w:tc>
        <w:tc>
          <w:tcPr>
            <w:tcW w:type="dxa" w:w="1728"/>
          </w:tcPr>
          <w:p>
            <w:r>
              <w:t>PLS回归</w:t>
            </w:r>
          </w:p>
        </w:tc>
        <w:tc>
          <w:tcPr>
            <w:tcW w:type="dxa" w:w="1728"/>
          </w:tcPr>
          <w:p>
            <w:r>
              <w:t>R210单光谱</w:t>
            </w:r>
          </w:p>
        </w:tc>
        <w:tc>
          <w:tcPr>
            <w:tcW w:type="dxa" w:w="1728"/>
          </w:tcPr>
          <w:p>
            <w:r>
              <w:t>0.3778</w:t>
            </w:r>
          </w:p>
        </w:tc>
        <w:tc>
          <w:tcPr>
            <w:tcW w:type="dxa" w:w="1728"/>
          </w:tcPr>
          <w:p>
            <w:r>
              <w:t>5.7642</w:t>
            </w:r>
          </w:p>
        </w:tc>
      </w:tr>
      <w:tr>
        <w:tc>
          <w:tcPr>
            <w:tcW w:type="dxa" w:w="1728"/>
          </w:tcPr>
          <w:p>
            <w:r>
              <w:t>糖酸比</w:t>
            </w:r>
          </w:p>
        </w:tc>
        <w:tc>
          <w:tcPr>
            <w:tcW w:type="dxa" w:w="1728"/>
          </w:tcPr>
          <w:p>
            <w:r>
              <w:t>PLS回归</w:t>
            </w:r>
          </w:p>
        </w:tc>
        <w:tc>
          <w:tcPr>
            <w:tcW w:type="dxa" w:w="1728"/>
          </w:tcPr>
          <w:p>
            <w:r>
              <w:t>R210单光谱</w:t>
            </w:r>
          </w:p>
        </w:tc>
        <w:tc>
          <w:tcPr>
            <w:tcW w:type="dxa" w:w="1728"/>
          </w:tcPr>
          <w:p>
            <w:r>
              <w:t>0.3654</w:t>
            </w:r>
          </w:p>
        </w:tc>
        <w:tc>
          <w:tcPr>
            <w:tcW w:type="dxa" w:w="1728"/>
          </w:tcPr>
          <w:p>
            <w:r>
              <w:t>2.9632</w:t>
            </w:r>
          </w:p>
        </w:tc>
      </w:tr>
    </w:tbl>
    <w:p/>
    <w:p>
      <w:pPr>
        <w:pStyle w:val="Heading2"/>
      </w:pPr>
      <w:r>
        <w:rPr>
          <w:rFonts w:ascii="宋体" w:hAnsi="宋体" w:eastAsia="宋体"/>
        </w:rPr>
        <w:t>5.4 液质成分预测结果分析</w:t>
      </w:r>
    </w:p>
    <w:p>
      <w:pPr>
        <w:ind w:firstLine="480"/>
      </w:pPr>
      <w:r>
        <w:rPr>
          <w:rFonts w:ascii="宋体" w:hAnsi="宋体" w:eastAsia="宋体"/>
        </w:rPr>
        <w:t>液质成分预测最能体现多模态数据的价值。基线实验中，双光谱融合岭回归模型已取得验证集平均 R²=0.6811、测试集平均 R²=0.6620。进一步引入 SNV 预处理和参数搜索后，液质成分任务的最佳验证集平均 R² 提升至 0.7104，最佳测试集平均 R² 达到 0.6975，说明双光谱路线在内部成分建模上还有明确的提升空间。</w:t>
      </w:r>
    </w:p>
    <w:p>
      <w:pPr>
        <w:ind w:firstLine="480"/>
      </w:pPr>
      <w:r>
        <w:rPr>
          <w:rFonts w:ascii="宋体" w:hAnsi="宋体" w:eastAsia="宋体"/>
        </w:rPr>
        <w:t>在重点成分上，异柠檬酸、莽草酸等指标表现尤为突出：异柠檬酸测试集最佳 R² 达到 0.8225，莽草酸达到 0.8024，蔗糖达到 0.6773。这表明系统在内部组分识别与表达方面已经具备较好的分析基础。</w:t>
      </w:r>
    </w:p>
    <w:p>
      <w:pPr>
        <w:ind w:firstLine="480"/>
      </w:pPr>
      <w:r>
        <w:rPr>
          <w:rFonts w:ascii="宋体" w:hAnsi="宋体" w:eastAsia="宋体"/>
        </w:rPr>
        <w:t>如果说产地溯源和糖度预测更容易直接被理解，那么液质成分预测的意义则在于把作品的分析深度进一步向内部品质延伸。它说明系统并非只对外部可见指标敏感，而是已经能够在一定程度上对内部成分变化作出响应，这也是多模态数据分析相较于单一判断方式更有价值的地方。</w:t>
      </w:r>
    </w:p>
    <w:p>
      <w:pPr>
        <w:ind w:firstLine="480"/>
      </w:pPr>
      <w:r>
        <w:rPr>
          <w:rFonts w:ascii="宋体" w:hAnsi="宋体" w:eastAsia="宋体"/>
        </w:rPr>
        <w:t>表5-3 液质成分预测代表性结果</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指标</w:t>
            </w:r>
          </w:p>
        </w:tc>
        <w:tc>
          <w:tcPr>
            <w:tcW w:type="dxa" w:w="2160"/>
          </w:tcPr>
          <w:p>
            <w:r>
              <w:t>最佳模型</w:t>
            </w:r>
          </w:p>
        </w:tc>
        <w:tc>
          <w:tcPr>
            <w:tcW w:type="dxa" w:w="2160"/>
          </w:tcPr>
          <w:p>
            <w:r>
              <w:t>特征方案</w:t>
            </w:r>
          </w:p>
        </w:tc>
        <w:tc>
          <w:tcPr>
            <w:tcW w:type="dxa" w:w="2160"/>
          </w:tcPr>
          <w:p>
            <w:r>
              <w:t>测试集R²</w:t>
            </w:r>
          </w:p>
        </w:tc>
      </w:tr>
      <w:tr>
        <w:tc>
          <w:tcPr>
            <w:tcW w:type="dxa" w:w="2160"/>
          </w:tcPr>
          <w:p>
            <w:r>
              <w:t>异柠檬酸</w:t>
            </w:r>
          </w:p>
        </w:tc>
        <w:tc>
          <w:tcPr>
            <w:tcW w:type="dxa" w:w="2160"/>
          </w:tcPr>
          <w:p>
            <w:r>
              <w:t>XGBoost回归</w:t>
            </w:r>
          </w:p>
        </w:tc>
        <w:tc>
          <w:tcPr>
            <w:tcW w:type="dxa" w:w="2160"/>
          </w:tcPr>
          <w:p>
            <w:r>
              <w:t>R210+S960双光谱</w:t>
            </w:r>
          </w:p>
        </w:tc>
        <w:tc>
          <w:tcPr>
            <w:tcW w:type="dxa" w:w="2160"/>
          </w:tcPr>
          <w:p>
            <w:r>
              <w:t>0.8225</w:t>
            </w:r>
          </w:p>
        </w:tc>
      </w:tr>
      <w:tr>
        <w:tc>
          <w:tcPr>
            <w:tcW w:type="dxa" w:w="2160"/>
          </w:tcPr>
          <w:p>
            <w:r>
              <w:t>莽草酸</w:t>
            </w:r>
          </w:p>
        </w:tc>
        <w:tc>
          <w:tcPr>
            <w:tcW w:type="dxa" w:w="2160"/>
          </w:tcPr>
          <w:p>
            <w:r>
              <w:t>XGBoost回归</w:t>
            </w:r>
          </w:p>
        </w:tc>
        <w:tc>
          <w:tcPr>
            <w:tcW w:type="dxa" w:w="2160"/>
          </w:tcPr>
          <w:p>
            <w:r>
              <w:t>R210+S960双光谱</w:t>
            </w:r>
          </w:p>
        </w:tc>
        <w:tc>
          <w:tcPr>
            <w:tcW w:type="dxa" w:w="2160"/>
          </w:tcPr>
          <w:p>
            <w:r>
              <w:t>0.8024</w:t>
            </w:r>
          </w:p>
        </w:tc>
      </w:tr>
      <w:tr>
        <w:tc>
          <w:tcPr>
            <w:tcW w:type="dxa" w:w="2160"/>
          </w:tcPr>
          <w:p>
            <w:r>
              <w:t>蔗糖</w:t>
            </w:r>
          </w:p>
        </w:tc>
        <w:tc>
          <w:tcPr>
            <w:tcW w:type="dxa" w:w="2160"/>
          </w:tcPr>
          <w:p>
            <w:r>
              <w:t>随机森林回归</w:t>
            </w:r>
          </w:p>
        </w:tc>
        <w:tc>
          <w:tcPr>
            <w:tcW w:type="dxa" w:w="2160"/>
          </w:tcPr>
          <w:p>
            <w:r>
              <w:t>R210+S960双光谱</w:t>
            </w:r>
          </w:p>
        </w:tc>
        <w:tc>
          <w:tcPr>
            <w:tcW w:type="dxa" w:w="2160"/>
          </w:tcPr>
          <w:p>
            <w:r>
              <w:t>0.6773</w:t>
            </w:r>
          </w:p>
        </w:tc>
      </w:tr>
      <w:tr>
        <w:tc>
          <w:tcPr>
            <w:tcW w:type="dxa" w:w="2160"/>
          </w:tcPr>
          <w:p>
            <w:r>
              <w:t>E-1-丙烯-1,2,3-三羧酸</w:t>
            </w:r>
          </w:p>
        </w:tc>
        <w:tc>
          <w:tcPr>
            <w:tcW w:type="dxa" w:w="2160"/>
          </w:tcPr>
          <w:p>
            <w:r>
              <w:t>岭回归</w:t>
            </w:r>
          </w:p>
        </w:tc>
        <w:tc>
          <w:tcPr>
            <w:tcW w:type="dxa" w:w="2160"/>
          </w:tcPr>
          <w:p>
            <w:r>
              <w:t>S960单光谱</w:t>
            </w:r>
          </w:p>
        </w:tc>
        <w:tc>
          <w:tcPr>
            <w:tcW w:type="dxa" w:w="2160"/>
          </w:tcPr>
          <w:p>
            <w:r>
              <w:t>0.7943</w:t>
            </w:r>
          </w:p>
        </w:tc>
      </w:tr>
    </w:tbl>
    <w:p/>
    <w:p>
      <w:pPr>
        <w:pStyle w:val="Heading2"/>
      </w:pPr>
      <w:r>
        <w:rPr>
          <w:rFonts w:ascii="宋体" w:hAnsi="宋体" w:eastAsia="宋体"/>
        </w:rPr>
        <w:t>5.5 综合测试结论</w:t>
      </w:r>
    </w:p>
    <w:p>
      <w:pPr>
        <w:ind w:firstLine="480"/>
      </w:pPr>
      <w:r>
        <w:rPr>
          <w:rFonts w:ascii="宋体" w:hAnsi="宋体" w:eastAsia="宋体"/>
        </w:rPr>
        <w:t>综合结果表明，项目已经围绕海南柑橘形成较完整的数据整理、智能分析与结果输出体系。产地溯源结果稳定，品质评价在糖度等关键指标上具有较强参考价值，液质成分分析进一步拓展了对内部品质的刻画深度。三类结果共同支撑了作品从样本到报告的完整展示，也体现出多模态数据在特色果品检测中的应用潜力。</w:t>
      </w:r>
    </w:p>
    <w:p>
      <w:pPr>
        <w:ind w:firstLine="480"/>
      </w:pPr>
      <w:r>
        <w:rPr>
          <w:rFonts w:ascii="宋体" w:hAnsi="宋体" w:eastAsia="宋体"/>
        </w:rPr>
        <w:t>从结果结构上看，作品已经形成比较鲜明的层次：以产地溯源作为亮点结果，以糖度预测作为实用结果，以液质成分分析作为深度结果。这样安排后，整篇报告既有能够快速抓住评审注意力的部分，也有能够体现研究扎实度和内容厚度的部分，整体叙述会更加完整。</w:t>
      </w:r>
    </w:p>
    <w:p>
      <w:pPr>
        <w:pStyle w:val="Heading1"/>
      </w:pPr>
      <w:r>
        <w:rPr>
          <w:rFonts w:ascii="宋体" w:hAnsi="宋体" w:eastAsia="宋体"/>
        </w:rPr>
        <w:t>第6章 特色创新与推广前景</w:t>
      </w:r>
    </w:p>
    <w:p>
      <w:pPr>
        <w:pStyle w:val="Heading2"/>
      </w:pPr>
      <w:r>
        <w:rPr>
          <w:rFonts w:ascii="宋体" w:hAnsi="宋体" w:eastAsia="宋体"/>
        </w:rPr>
        <w:t>6.1 作品特色与创新点</w:t>
      </w:r>
    </w:p>
    <w:p>
      <w:pPr>
        <w:ind w:firstLine="480"/>
      </w:pPr>
      <w:r>
        <w:rPr>
          <w:rFonts w:ascii="宋体" w:hAnsi="宋体" w:eastAsia="宋体"/>
        </w:rPr>
        <w:t>作品的创新首先体现在先把数据基础做实，再开展正式分析。针对多模态样本中存在的异常重复问题，项目先完成异常识别、波段统一与安全主表构建，再在同一数据底座上展开品质评价、产地判别和液质成分分析，使各项结果都建立在统一、清晰的数据依据之上。</w:t>
      </w:r>
    </w:p>
    <w:p>
      <w:pPr>
        <w:ind w:firstLine="480"/>
      </w:pPr>
      <w:r>
        <w:rPr>
          <w:rFonts w:ascii="宋体" w:hAnsi="宋体" w:eastAsia="宋体"/>
        </w:rPr>
        <w:t>作品的另一项创新，在于把分析结果整理成更适合实际使用的表达形式。项目不是只停留在单项指标输出，而是将产地、品质、成分和样本信息组织为一体化展示内容与正式报告，使分析结果能够直接服务展示说明、品牌传播和批次留存。</w:t>
      </w:r>
    </w:p>
    <w:p>
      <w:pPr>
        <w:ind w:firstLine="480"/>
      </w:pPr>
      <w:r>
        <w:rPr>
          <w:rFonts w:ascii="宋体" w:hAnsi="宋体" w:eastAsia="宋体"/>
        </w:rPr>
        <w:t>此外，作品还体现在多任务协同上的完整性。三类分析任务并不是各自孤立存在，而是共用同一套样本基础、同一套展示逻辑和同一套结果出口。这样的设计使作品避免了“实验很多但彼此分散”的问题，而能够围绕同一个主题形成更集中、更完整的表达。</w:t>
      </w:r>
    </w:p>
    <w:p>
      <w:pPr>
        <w:ind w:firstLine="480"/>
      </w:pPr>
      <w:r>
        <w:rPr>
          <w:rFonts w:ascii="宋体" w:hAnsi="宋体" w:eastAsia="宋体"/>
        </w:rPr>
        <w:t>表6-1 作品创新点概述</w:t>
      </w:r>
    </w:p>
    <w:tbl>
      <w:tblPr>
        <w:tblStyle w:val="TableGrid"/>
        <w:tblW w:type="auto" w:w="0"/>
        <w:jc w:val="center"/>
        <w:tblLook w:firstColumn="1" w:firstRow="1" w:lastColumn="0" w:lastRow="0" w:noHBand="0" w:noVBand="1" w:val="04A0"/>
      </w:tblPr>
      <w:tblGrid>
        <w:gridCol w:w="4320"/>
        <w:gridCol w:w="4320"/>
      </w:tblGrid>
      <w:tr>
        <w:tc>
          <w:tcPr>
            <w:tcW w:type="dxa" w:w="4320"/>
          </w:tcPr>
          <w:p>
            <w:r>
              <w:t>创新点</w:t>
            </w:r>
          </w:p>
        </w:tc>
        <w:tc>
          <w:tcPr>
            <w:tcW w:type="dxa" w:w="4320"/>
          </w:tcPr>
          <w:p>
            <w:r>
              <w:t>具体体现</w:t>
            </w:r>
          </w:p>
        </w:tc>
      </w:tr>
      <w:tr>
        <w:tc>
          <w:tcPr>
            <w:tcW w:type="dxa" w:w="4320"/>
          </w:tcPr>
          <w:p>
            <w:r>
              <w:t>可信数据底座创新</w:t>
            </w:r>
          </w:p>
        </w:tc>
        <w:tc>
          <w:tcPr>
            <w:tcW w:type="dxa" w:w="4320"/>
          </w:tcPr>
          <w:p>
            <w:r>
              <w:t>完成异常样本识别、HSI 剔除与安全主表重建</w:t>
            </w:r>
          </w:p>
        </w:tc>
      </w:tr>
      <w:tr>
        <w:tc>
          <w:tcPr>
            <w:tcW w:type="dxa" w:w="4320"/>
          </w:tcPr>
          <w:p>
            <w:r>
              <w:t>多维协同分析创新</w:t>
            </w:r>
          </w:p>
        </w:tc>
        <w:tc>
          <w:tcPr>
            <w:tcW w:type="dxa" w:w="4320"/>
          </w:tcPr>
          <w:p>
            <w:r>
              <w:t>以同一数据底座同时支撑品质评价、产地判别与成分解析</w:t>
            </w:r>
          </w:p>
        </w:tc>
      </w:tr>
      <w:tr>
        <w:tc>
          <w:tcPr>
            <w:tcW w:type="dxa" w:w="4320"/>
          </w:tcPr>
          <w:p>
            <w:r>
              <w:t>结果组织创新</w:t>
            </w:r>
          </w:p>
        </w:tc>
        <w:tc>
          <w:tcPr>
            <w:tcW w:type="dxa" w:w="4320"/>
          </w:tcPr>
          <w:p>
            <w:r>
              <w:t>将分析结果组织为页面展示、历史记录和正式报告</w:t>
            </w:r>
          </w:p>
        </w:tc>
      </w:tr>
      <w:tr>
        <w:tc>
          <w:tcPr>
            <w:tcW w:type="dxa" w:w="4320"/>
          </w:tcPr>
          <w:p>
            <w:r>
              <w:t>场景贯通创新</w:t>
            </w:r>
          </w:p>
        </w:tc>
        <w:tc>
          <w:tcPr>
            <w:tcW w:type="dxa" w:w="4320"/>
          </w:tcPr>
          <w:p>
            <w:r>
              <w:t>兼顾集中展示与移动使用，形成从采集到留存的完整流程</w:t>
            </w:r>
          </w:p>
        </w:tc>
      </w:tr>
    </w:tbl>
    <w:p/>
    <w:p>
      <w:pPr>
        <w:pStyle w:val="Heading2"/>
      </w:pPr>
      <w:r>
        <w:rPr>
          <w:rFonts w:ascii="宋体" w:hAnsi="宋体" w:eastAsia="宋体"/>
        </w:rPr>
        <w:t>6.2 应用推广前景</w:t>
      </w:r>
    </w:p>
    <w:p>
      <w:pPr>
        <w:ind w:firstLine="480"/>
      </w:pPr>
      <w:r>
        <w:rPr>
          <w:rFonts w:ascii="宋体" w:hAnsi="宋体" w:eastAsia="宋体"/>
        </w:rPr>
        <w:t>项目面向海南特色果品数字化检测与品牌化建设，适用于品质分级、产地核验、品牌展示、教学演示等多类场景。以澄迈福橙和琼中绿橙为示范对象，作品已经展示出多模态数据在区域特色农产品识别中的实际作用。后续还可向更多柑橘品类和其他特色农产品延展，为区域农业数字化、标准化和品牌化提供可复用的方法参考。</w:t>
      </w:r>
    </w:p>
    <w:p>
      <w:pPr>
        <w:ind w:firstLine="480"/>
      </w:pPr>
      <w:r>
        <w:rPr>
          <w:rFonts w:ascii="宋体" w:hAnsi="宋体" w:eastAsia="宋体"/>
        </w:rPr>
        <w:t>从推广路径看，作品既可以在校内作为大数据实践与农产品智能检测的综合案例，也可以在区域特色农业展示、品牌推介和样本教学中发挥作用。如果后续继续扩充样本规模、补充更多品类和图片材料，作品在展示完整度和应用说服力上还会进一步增强。</w:t>
      </w:r>
    </w:p>
    <w:p>
      <w:pPr>
        <w:pStyle w:val="Heading2"/>
      </w:pPr>
      <w:r>
        <w:rPr>
          <w:rFonts w:ascii="宋体" w:hAnsi="宋体" w:eastAsia="宋体"/>
        </w:rPr>
        <w:t>6.3 总结</w:t>
      </w:r>
    </w:p>
    <w:p>
      <w:pPr>
        <w:ind w:firstLine="480"/>
      </w:pPr>
      <w:r>
        <w:rPr>
          <w:rFonts w:ascii="宋体" w:hAnsi="宋体" w:eastAsia="宋体"/>
        </w:rPr>
        <w:t>橙源智鉴以海南柑橘为对象，将样本治理、多模态分析、品质评价、产地溯源与报告输出整合为一体。基于 399 个正式样本和双光谱数据底座，作品在产地判别、糖度预测和液质成分分析上取得了较为突出的结果，并形成了可展示、可查询、可留存的一套完整成果，体现了特色农产品智能检测的实际意义。</w:t>
      </w:r>
    </w:p>
    <w:p>
      <w:pPr>
        <w:ind w:firstLine="480"/>
      </w:pPr>
      <w:r>
        <w:rPr>
          <w:rFonts w:ascii="宋体" w:hAnsi="宋体" w:eastAsia="宋体"/>
        </w:rPr>
        <w:t>对于大数据实践赛而言，这一作品的价值不只在于给出若干实验指标，更在于它已经完成了从样本整理、数据治理、模型分析到页面展示和报告输出的整体组织。它既能说明多模态数据在特色农产品检测中的可行性，也能通过较完整的系统形态和报告材料，把研究结果清楚地呈现出来。就目前版本而言，作品已经具备继续补充图表、优化版式并进入正式提交材料整理的基础。</w:t>
      </w:r>
    </w:p>
    <w:p>
      <w:pPr>
        <w:pStyle w:val="Heading1"/>
      </w:pPr>
      <w:r>
        <w:rPr>
          <w:rFonts w:ascii="宋体" w:hAnsi="宋体" w:eastAsia="宋体"/>
        </w:rPr>
        <w:t>参考资料</w:t>
      </w:r>
    </w:p>
    <w:p>
      <w:pPr>
        <w:ind w:firstLine="480"/>
      </w:pPr>
      <w:r>
        <w:rPr>
          <w:rFonts w:ascii="宋体" w:hAnsi="宋体" w:eastAsia="宋体"/>
        </w:rPr>
        <w:t>[1] 正式实验/研究记录/正式实验概览.json</w:t>
      </w:r>
    </w:p>
    <w:p>
      <w:pPr>
        <w:ind w:firstLine="480"/>
      </w:pPr>
      <w:r>
        <w:rPr>
          <w:rFonts w:ascii="宋体" w:hAnsi="宋体" w:eastAsia="宋体"/>
        </w:rPr>
        <w:t>[2] 正式实验/研究记录/双光谱正式研究顺序记录.md</w:t>
      </w:r>
    </w:p>
    <w:p>
      <w:pPr>
        <w:ind w:firstLine="480"/>
      </w:pPr>
      <w:r>
        <w:rPr>
          <w:rFonts w:ascii="宋体" w:hAnsi="宋体" w:eastAsia="宋体"/>
        </w:rPr>
        <w:t>[3] 正式实验/研究记录/第一版双光谱基线实验摘要.json</w:t>
      </w:r>
    </w:p>
    <w:p>
      <w:pPr>
        <w:ind w:firstLine="480"/>
      </w:pPr>
      <w:r>
        <w:rPr>
          <w:rFonts w:ascii="宋体" w:hAnsi="宋体" w:eastAsia="宋体"/>
        </w:rPr>
        <w:t>[4] 正式实验/研究记录/进阶优化记录/液质预测进阶调参完整记录.csv</w:t>
      </w:r>
    </w:p>
    <w:p>
      <w:pPr>
        <w:ind w:firstLine="480"/>
      </w:pPr>
      <w:r>
        <w:rPr>
          <w:rFonts w:ascii="宋体" w:hAnsi="宋体" w:eastAsia="宋体"/>
        </w:rPr>
        <w:t>[5] 清洗结果/质检信息/汇总信息.json</w:t>
      </w:r>
    </w:p>
    <w:p>
      <w:pPr>
        <w:ind w:firstLine="480"/>
      </w:pPr>
      <w:r>
        <w:rPr>
          <w:rFonts w:ascii="宋体" w:hAnsi="宋体" w:eastAsia="宋体"/>
        </w:rPr>
        <w:t>[6] 正式实验/划分方案/统一样本划分.csv</w:t>
      </w:r>
    </w:p>
    <w:p>
      <w:pPr>
        <w:ind w:firstLine="480"/>
      </w:pPr>
      <w:r>
        <w:rPr>
          <w:rFonts w:ascii="宋体" w:hAnsi="宋体" w:eastAsia="宋体"/>
        </w:rPr>
        <w:t>[7] 正式实验/数据集/双光谱安全主表.csv</w:t>
      </w:r>
    </w:p>
    <w:p>
      <w:pPr>
        <w:ind w:firstLine="480"/>
      </w:pPr>
      <w:r>
        <w:rPr>
          <w:rFonts w:ascii="宋体" w:hAnsi="宋体" w:eastAsia="宋体"/>
        </w:rPr>
        <w:t>[8] 正式实验/基线结果/任务1_品质预测/逐目标结果.csv</w:t>
      </w:r>
    </w:p>
    <w:p>
      <w:pPr>
        <w:ind w:firstLine="480"/>
      </w:pPr>
      <w:r>
        <w:rPr>
          <w:rFonts w:ascii="宋体" w:hAnsi="宋体" w:eastAsia="宋体"/>
        </w:rPr>
        <w:t>[9] 正式实验/基线结果/任务2_产地溯源/模型汇总.csv</w:t>
      </w:r>
    </w:p>
    <w:p>
      <w:pPr>
        <w:ind w:firstLine="480"/>
      </w:pPr>
      <w:r>
        <w:rPr>
          <w:rFonts w:ascii="宋体" w:hAnsi="宋体" w:eastAsia="宋体"/>
        </w:rPr>
        <w:t>[10] 正式实验/基线结果/任务3_液质成分预测/逐目标结果.csv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eastAsia="宋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eastAsia="宋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宋体" w:hAnsi="宋体" w:eastAsia="宋体"/>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