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  <w:r>
        <w:t xml:space="preserve"> </w:t>
      </w:r>
      <w:r>
        <w:t xml:space="preserve">№2.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Владимиров</w:t>
      </w:r>
    </w:p>
    <w:p>
      <w:pPr>
        <w:pStyle w:val="Date"/>
      </w:pPr>
      <w:r>
        <w:t xml:space="preserve">Февраль</w:t>
      </w:r>
      <w:r>
        <w:t xml:space="preserve"> </w:t>
      </w:r>
      <w:r>
        <w:t xml:space="preserve">28</w:t>
      </w:r>
      <w:r>
        <w:t xml:space="preserve"> </w:t>
      </w:r>
      <w:r>
        <w:t xml:space="preserve">2021</w:t>
      </w:r>
    </w:p>
    <w:bookmarkStart w:id="23" w:name="задача-1"/>
    <w:p>
      <w:pPr>
        <w:pStyle w:val="Heading1"/>
      </w:pPr>
      <w:r>
        <w:t xml:space="preserve">Задача 1</w:t>
      </w:r>
    </w:p>
    <w:p>
      <w:pPr>
        <w:pStyle w:val="FirstParagraph"/>
      </w:pPr>
      <w:r>
        <w:t xml:space="preserve">Необходимо построить модели на данных</w:t>
      </w:r>
      <w:r>
        <w:t xml:space="preserve"> </w:t>
      </w:r>
      <w:r>
        <w:rPr>
          <w:b/>
        </w:rPr>
        <w:t xml:space="preserve">третьего примера</w:t>
      </w:r>
      <w:r>
        <w:t xml:space="preserve"> </w:t>
      </w:r>
      <w:r>
        <w:t xml:space="preserve">с параметрами распределения:</w:t>
      </w:r>
    </w:p>
    <w:p>
      <w:pPr>
        <w:numPr>
          <w:ilvl w:val="0"/>
          <w:numId w:val="1001"/>
        </w:numPr>
        <w:pStyle w:val="Compact"/>
      </w:pPr>
      <w:r>
        <w:t xml:space="preserve">x1.mean.y0 = 12;</w:t>
      </w:r>
    </w:p>
    <w:p>
      <w:pPr>
        <w:numPr>
          <w:ilvl w:val="0"/>
          <w:numId w:val="1001"/>
        </w:numPr>
        <w:pStyle w:val="Compact"/>
      </w:pPr>
      <w:r>
        <w:t xml:space="preserve">x2.mean.y0 = 23;</w:t>
      </w:r>
    </w:p>
    <w:p>
      <w:pPr>
        <w:numPr>
          <w:ilvl w:val="0"/>
          <w:numId w:val="1001"/>
        </w:numPr>
        <w:pStyle w:val="Compact"/>
      </w:pPr>
      <w:r>
        <w:t xml:space="preserve">x1.sd.y0 = 7;</w:t>
      </w:r>
    </w:p>
    <w:p>
      <w:pPr>
        <w:numPr>
          <w:ilvl w:val="0"/>
          <w:numId w:val="1001"/>
        </w:numPr>
        <w:pStyle w:val="Compact"/>
      </w:pPr>
      <w:r>
        <w:t xml:space="preserve">x2.sd.y0 = 15;</w:t>
      </w:r>
    </w:p>
    <w:p>
      <w:pPr>
        <w:numPr>
          <w:ilvl w:val="0"/>
          <w:numId w:val="1001"/>
        </w:numPr>
        <w:pStyle w:val="Compact"/>
      </w:pPr>
      <w:r>
        <w:t xml:space="preserve">x1.mean.y1 = 10;</w:t>
      </w:r>
    </w:p>
    <w:p>
      <w:pPr>
        <w:numPr>
          <w:ilvl w:val="0"/>
          <w:numId w:val="1001"/>
        </w:numPr>
        <w:pStyle w:val="Compact"/>
      </w:pPr>
      <w:r>
        <w:t xml:space="preserve">x2.mean.y1 = 19;</w:t>
      </w:r>
    </w:p>
    <w:p>
      <w:pPr>
        <w:numPr>
          <w:ilvl w:val="0"/>
          <w:numId w:val="1001"/>
        </w:numPr>
        <w:pStyle w:val="Compact"/>
      </w:pPr>
      <w:r>
        <w:t xml:space="preserve">x1.sd.y1 = 3;</w:t>
      </w:r>
    </w:p>
    <w:p>
      <w:pPr>
        <w:numPr>
          <w:ilvl w:val="0"/>
          <w:numId w:val="1001"/>
        </w:numPr>
        <w:pStyle w:val="Compact"/>
      </w:pPr>
      <w:r>
        <w:t xml:space="preserve">x2.sd.y1 = 14.</w:t>
      </w:r>
    </w:p>
    <w:p>
      <w:pPr>
        <w:pStyle w:val="FirstParagraph"/>
      </w:pPr>
      <w:r>
        <w:t xml:space="preserve">Получим:</w:t>
      </w:r>
    </w:p>
    <w:p>
      <w:pPr>
        <w:pStyle w:val="BodyText"/>
      </w:pPr>
      <m:oMath>
        <m:r>
          <m:t>n</m:t>
        </m:r>
        <m:r>
          <m:t>=</m:t>
        </m:r>
      </m:oMath>
      <w:r>
        <w:t xml:space="preserve"> </w:t>
      </w:r>
      <w:r>
        <w:t xml:space="preserve">100, при этом доля обучающей выборки равна 0.85;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0</m:t>
          </m:r>
          <m:r>
            <m:t>:</m:t>
          </m:r>
          <m:r>
            <m:t>X</m:t>
          </m:r>
          <m:r>
            <m:t>∼</m:t>
          </m:r>
          <m:r>
            <m:t>N</m:t>
          </m:r>
          <m:r>
            <m:t>(</m:t>
          </m:r>
          <m:r>
            <m:t>12</m:t>
          </m:r>
          <m:r>
            <m:t>,</m:t>
          </m:r>
          <m:r>
            <m:t>23</m:t>
          </m:r>
          <m:r>
            <m:t>)</m:t>
          </m:r>
          <m:r>
            <m:t>,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7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15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0</m:t>
          </m:r>
          <m:r>
            <m:t>:</m:t>
          </m:r>
          <m:r>
            <m:t>X</m:t>
          </m:r>
          <m:r>
            <m:t>∼</m:t>
          </m:r>
          <m:r>
            <m:t>N</m:t>
          </m:r>
          <m:r>
            <m:t>(</m:t>
          </m:r>
          <m:r>
            <m:t>10</m:t>
          </m:r>
          <m:r>
            <m:t>,</m:t>
          </m:r>
          <m:r>
            <m:t>19</m:t>
          </m:r>
          <m:r>
            <m:t>)</m:t>
          </m:r>
          <m:r>
            <m:t>,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14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Покажем обучающую выборку на графике. Сеткой точек показаны области классов, соответсвующие истинным дискриминирующим правилам. Это правило создаем, зная истинные законы распределения классов, как максиммум из двух плотностей распределения.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rn_set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Обучим модель</w:t>
      </w:r>
      <w:r>
        <w:t xml:space="preserve"> </w:t>
      </w:r>
      <w:r>
        <w:rPr>
          <w:b/>
        </w:rPr>
        <w:t xml:space="preserve">наивного байесовского классификатор</w:t>
      </w:r>
      <w:r>
        <w:t xml:space="preserve"> </w:t>
      </w:r>
      <w:r>
        <w:t xml:space="preserve">и оценим ее точность (верность) на обучающей выборке. Поскольку объясняющие переменные для классов сгенерированы как двумерные нормальные распределения и сами классы не перекрываются, следует ожидать, что данная окажется точной.</w:t>
      </w:r>
    </w:p>
    <w:p>
      <w:pPr>
        <w:pStyle w:val="SourceCode"/>
      </w:pPr>
      <w:r>
        <w:rPr>
          <w:rStyle w:val="VerbatimChar"/>
        </w:rPr>
        <w:t xml:space="preserve">## Warning in plot.window(...): "phc" -- не графический параметр</w:t>
      </w:r>
    </w:p>
    <w:p>
      <w:pPr>
        <w:pStyle w:val="SourceCode"/>
      </w:pPr>
      <w:r>
        <w:rPr>
          <w:rStyle w:val="VerbatimChar"/>
        </w:rPr>
        <w:t xml:space="preserve">## Warning in plot.xy(xy, type, ...): "phc" -- не графический параметр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"phc" -- не</w:t>
      </w:r>
      <w:r>
        <w:br/>
      </w:r>
      <w:r>
        <w:rPr>
          <w:rStyle w:val="VerbatimChar"/>
        </w:rPr>
        <w:t xml:space="preserve">## графический параметр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"phc" -- не</w:t>
      </w:r>
      <w:r>
        <w:br/>
      </w:r>
      <w:r>
        <w:rPr>
          <w:rStyle w:val="VerbatimChar"/>
        </w:rPr>
        <w:t xml:space="preserve">## графический параметр</w:t>
      </w:r>
    </w:p>
    <w:p>
      <w:pPr>
        <w:pStyle w:val="SourceCode"/>
      </w:pPr>
      <w:r>
        <w:rPr>
          <w:rStyle w:val="VerbatimChar"/>
        </w:rPr>
        <w:t xml:space="preserve">## Warning in box(...): "phc" -- не графический параметр</w:t>
      </w:r>
    </w:p>
    <w:p>
      <w:pPr>
        <w:pStyle w:val="SourceCode"/>
      </w:pPr>
      <w:r>
        <w:rPr>
          <w:rStyle w:val="VerbatimChar"/>
        </w:rPr>
        <w:t xml:space="preserve">## Warning in title(...): "phc" -- не графический параметр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ive_bayesian_classifi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Теперь построим матрицу неточностей на обучающей выборке: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p>
      <w:pPr>
        <w:pStyle w:val="BodyText"/>
      </w:pPr>
      <w:r>
        <w:t xml:space="preserve">Также выведем точность (верность) на обучающей выборке: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0.7882353</w:t>
            </w:r>
          </w:p>
        </w:tc>
      </w:tr>
    </w:tbl>
    <w:p>
      <w:pPr>
        <w:pStyle w:val="BodyText"/>
      </w:pPr>
      <w:r>
        <w:t xml:space="preserve">Точность на обучающей выборке высокая, поэтому сделаем прогноз классов на тестовую выборку, а также оценим точность модели.</w:t>
      </w:r>
    </w:p>
    <w:p>
      <w:pPr>
        <w:pStyle w:val="BodyText"/>
      </w:pPr>
      <w:r>
        <w:t xml:space="preserve">Матрица неточностей на тестовой выборке: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Точность (верность) на тестовой выборке: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</w:tbl>
    <w:p>
      <w:pPr>
        <w:pStyle w:val="BodyText"/>
      </w:pPr>
      <w:r>
        <w:t xml:space="preserve">Наивный байесовский метод разделяет классы на обучающей выборке, ошибаясь в двух случаях.</w:t>
      </w:r>
    </w:p>
    <w:p>
      <w:pPr>
        <w:pStyle w:val="BodyText"/>
      </w:pPr>
      <w:r>
        <w:t xml:space="preserve">Построим модель</w:t>
      </w:r>
      <w:r>
        <w:t xml:space="preserve"> </w:t>
      </w:r>
      <w:r>
        <w:rPr>
          <w:b/>
        </w:rPr>
        <w:t xml:space="preserve">kNN</w:t>
      </w:r>
      <w:r>
        <w:t xml:space="preserve">. С этими данными у метода не должно возникнуть проблем, так как он не проводит четкой границы между классами, а в каждом случае ориентируется на соседние наблюдения.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n_method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Рассчитаем матрицу неточностей на обучающей выборке для метода</w:t>
      </w:r>
      <w:r>
        <w:t xml:space="preserve"> </w:t>
      </w:r>
      <w:r>
        <w:rPr>
          <w:b/>
        </w:rPr>
        <w:t xml:space="preserve">kNN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BodyText"/>
      </w:pPr>
      <w:r>
        <w:t xml:space="preserve">Выведем точность (верность) на обучающей выборке для метода</w:t>
      </w:r>
      <w:r>
        <w:t xml:space="preserve"> </w:t>
      </w:r>
      <w:r>
        <w:rPr>
          <w:b/>
        </w:rPr>
        <w:t xml:space="preserve">kNN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0.8235294</w:t>
            </w:r>
          </w:p>
        </w:tc>
      </w:tr>
    </w:tbl>
    <w:p>
      <w:pPr>
        <w:pStyle w:val="BodyText"/>
      </w:pPr>
      <w:r>
        <w:t xml:space="preserve">Рассчитаем матрицу неточностей на тестовой выборке для метода</w:t>
      </w:r>
      <w:r>
        <w:t xml:space="preserve"> </w:t>
      </w:r>
      <w:r>
        <w:rPr>
          <w:b/>
        </w:rPr>
        <w:t xml:space="preserve">kNN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Выведем точность (верность) на тестовой выборке для метода</w:t>
      </w:r>
      <w:r>
        <w:t xml:space="preserve"> </w:t>
      </w:r>
      <w:r>
        <w:rPr>
          <w:b/>
        </w:rPr>
        <w:t xml:space="preserve">kNN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</w:p>
    <w:p>
      <w:pPr>
        <w:pStyle w:val="BodyText"/>
      </w:pPr>
      <w:r>
        <w:t xml:space="preserve">Как видно из точности обоих моделей, в обучащей выборке точность выше у kNN метода (0.8235294 (kNN) &gt; 0.7882353 (NB)), однако на тестовых выборках точность у обоих моделей равна (0.6666667 (kNN) = 0.6666667), при этом в обоих случаях точность довольно низкая, близко к 0.5. В качестве модели для последующих вычислений будет использоваться моделей kNN.</w:t>
      </w:r>
    </w:p>
    <w:bookmarkEnd w:id="23"/>
    <w:bookmarkStart w:id="24" w:name="задача-2"/>
    <w:p>
      <w:pPr>
        <w:pStyle w:val="Heading1"/>
      </w:pPr>
      <w:r>
        <w:t xml:space="preserve">Задача №2</w:t>
      </w:r>
    </w:p>
    <w:p>
      <w:pPr>
        <w:pStyle w:val="FirstParagraph"/>
      </w:pPr>
      <w:r>
        <w:t xml:space="preserve">По матрице неточностей модели kNN рассчитать характеристики качеств и ошибки: TPR, SPC, PPV, NPV, FNR, FPR, FDR, MCC. Данные характеристики для обучающей и тестовой выборок приведены в таблице ниже.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обучающая выборка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тестовая выборка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PPV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NPV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FNR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FDR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№2. Вариант 8</dc:title>
  <dc:creator>Андрей Владимиров</dc:creator>
  <cp:keywords/>
  <dcterms:created xsi:type="dcterms:W3CDTF">2021-02-28T12:53:39Z</dcterms:created>
  <dcterms:modified xsi:type="dcterms:W3CDTF">2021-02-28T12:53:39Z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Февраль 28 2021</vt:lpwstr>
  </property>
  <property fmtid="{D5CDD505-2E9C-101B-9397-08002B2CF9AE}" pid="3" name="output">
    <vt:lpwstr>word_document</vt:lpwstr>
  </property>
</Properties>
</file>