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8A156B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19.01</w:t>
            </w:r>
            <w:r w:rsidR="001C267C">
              <w:rPr>
                <w:sz w:val="24"/>
                <w:szCs w:val="24"/>
              </w:rPr>
              <w:t>.201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8A156B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Виноградова К.В.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A156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Тимошенко Н.С.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A156B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31.03.1981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A156B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Комаров А.С.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8A156B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 ВСА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D847D3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8A156B">
              <w:rPr>
                <w:sz w:val="24"/>
                <w:szCs w:val="24"/>
              </w:rPr>
              <w:t>1199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5C74EC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</w:t>
            </w:r>
            <w:r w:rsidR="002E2A46">
              <w:rPr>
                <w:sz w:val="24"/>
                <w:szCs w:val="24"/>
              </w:rPr>
              <w:t>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5C74EC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</w:rPr>
              <w:t>04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06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5C74E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5C74EC">
              <w:rPr>
                <w:sz w:val="24"/>
                <w:szCs w:val="24"/>
              </w:rPr>
              <w:t>10418</w:t>
            </w:r>
            <w:r w:rsidR="00790F62">
              <w:rPr>
                <w:sz w:val="24"/>
                <w:szCs w:val="24"/>
                <w:lang w:val="en-US"/>
              </w:rPr>
              <w:t>,83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15F64" w:rsidRPr="0082419D" w:rsidRDefault="00115F64" w:rsidP="00115F64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15F64" w:rsidRPr="00F70788" w:rsidRDefault="00115F64" w:rsidP="00866841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 xml:space="preserve">сериях церебральных ангиограмм </w:t>
      </w:r>
      <w:r w:rsidR="005C74EC">
        <w:rPr>
          <w:b/>
          <w:sz w:val="24"/>
          <w:szCs w:val="24"/>
        </w:rPr>
        <w:t xml:space="preserve">определяется мешотчатая аневризма офтальмического сегмента правой ВСА размерами </w:t>
      </w:r>
      <w:proofErr w:type="gramStart"/>
      <w:r w:rsidR="005C74EC">
        <w:rPr>
          <w:b/>
          <w:sz w:val="24"/>
          <w:szCs w:val="24"/>
        </w:rPr>
        <w:t>5,8х2.7</w:t>
      </w:r>
      <w:proofErr w:type="gramEnd"/>
      <w:r w:rsidR="005C74EC">
        <w:rPr>
          <w:b/>
          <w:sz w:val="24"/>
          <w:szCs w:val="24"/>
        </w:rPr>
        <w:t xml:space="preserve"> мм с шейкой 1,5 мм.</w:t>
      </w: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  <w:bookmarkStart w:id="0" w:name="_GoBack"/>
      <w:bookmarkEnd w:id="0"/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6B7"/>
    <w:rsid w:val="001F3DBD"/>
    <w:rsid w:val="00203C10"/>
    <w:rsid w:val="00227F06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45990"/>
    <w:rsid w:val="005540C4"/>
    <w:rsid w:val="00570067"/>
    <w:rsid w:val="005861C9"/>
    <w:rsid w:val="005A6C09"/>
    <w:rsid w:val="005C74EC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41CD"/>
    <w:rsid w:val="006C07D4"/>
    <w:rsid w:val="006F1E10"/>
    <w:rsid w:val="006F229A"/>
    <w:rsid w:val="006F3E1E"/>
    <w:rsid w:val="0070360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77F30"/>
    <w:rsid w:val="008A156B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779F"/>
    <w:rsid w:val="00F31317"/>
    <w:rsid w:val="00F35873"/>
    <w:rsid w:val="00F64DDD"/>
    <w:rsid w:val="00F70788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3</cp:revision>
  <cp:lastPrinted>2018-08-26T10:47:00Z</cp:lastPrinted>
  <dcterms:created xsi:type="dcterms:W3CDTF">2019-01-19T10:48:00Z</dcterms:created>
  <dcterms:modified xsi:type="dcterms:W3CDTF">2019-01-19T10:50:00Z</dcterms:modified>
</cp:coreProperties>
</file>