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Національний університет “Запорізька політехніка”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383"/>
        </w:tabs>
        <w:spacing w:after="160" w:lineRule="auto"/>
        <w:jc w:val="right"/>
        <w:rPr/>
      </w:pPr>
      <w:r w:rsidDel="00000000" w:rsidR="00000000" w:rsidRPr="00000000">
        <w:rPr>
          <w:rtl w:val="0"/>
        </w:rPr>
        <w:t xml:space="preserve">Кафедра програмних засобів</w:t>
      </w:r>
    </w:p>
    <w:p w:rsidR="00000000" w:rsidDel="00000000" w:rsidP="00000000" w:rsidRDefault="00000000" w:rsidRPr="00000000" w14:paraId="00000006">
      <w:pPr>
        <w:spacing w:after="1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з лабораторної роботи №1</w:t>
      </w:r>
    </w:p>
    <w:p w:rsidR="00000000" w:rsidDel="00000000" w:rsidP="00000000" w:rsidRDefault="00000000" w:rsidRPr="00000000" w14:paraId="0000000B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з дисциплін “Комп’ютерна графіка та обробка зображень”</w:t>
      </w:r>
    </w:p>
    <w:p w:rsidR="00000000" w:rsidDel="00000000" w:rsidP="00000000" w:rsidRDefault="00000000" w:rsidRPr="00000000" w14:paraId="0000000C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на тему: ”Створення простого зображення за допомогою бібліотеки Open GL у середовищі розробки Qt”</w:t>
      </w:r>
    </w:p>
    <w:p w:rsidR="00000000" w:rsidDel="00000000" w:rsidP="00000000" w:rsidRDefault="00000000" w:rsidRPr="00000000" w14:paraId="0000000D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варіант 7</w:t>
      </w:r>
    </w:p>
    <w:p w:rsidR="00000000" w:rsidDel="00000000" w:rsidP="00000000" w:rsidRDefault="00000000" w:rsidRPr="00000000" w14:paraId="0000000E">
      <w:pPr>
        <w:spacing w:after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jc w:val="left"/>
        <w:rPr/>
      </w:pPr>
      <w:r w:rsidDel="00000000" w:rsidR="00000000" w:rsidRPr="00000000">
        <w:rPr>
          <w:rtl w:val="0"/>
        </w:rPr>
        <w:t xml:space="preserve">Виконав:</w:t>
      </w:r>
    </w:p>
    <w:p w:rsidR="00000000" w:rsidDel="00000000" w:rsidP="00000000" w:rsidRDefault="00000000" w:rsidRPr="00000000" w14:paraId="00000015">
      <w:pPr>
        <w:spacing w:after="160" w:lineRule="auto"/>
        <w:jc w:val="left"/>
        <w:rPr/>
      </w:pPr>
      <w:r w:rsidDel="00000000" w:rsidR="00000000" w:rsidRPr="00000000">
        <w:rPr>
          <w:rtl w:val="0"/>
        </w:rPr>
        <w:t xml:space="preserve">Студент групи КНТ-221</w:t>
        <w:tab/>
        <w:tab/>
        <w:t xml:space="preserve">                                                      А.С. Кірієнко</w:t>
      </w:r>
    </w:p>
    <w:p w:rsidR="00000000" w:rsidDel="00000000" w:rsidP="00000000" w:rsidRDefault="00000000" w:rsidRPr="00000000" w14:paraId="00000016">
      <w:pPr>
        <w:spacing w:after="1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6845"/>
        </w:tabs>
        <w:spacing w:after="160" w:lineRule="auto"/>
        <w:jc w:val="left"/>
        <w:rPr/>
      </w:pPr>
      <w:r w:rsidDel="00000000" w:rsidR="00000000" w:rsidRPr="00000000">
        <w:rPr>
          <w:rtl w:val="0"/>
        </w:rPr>
        <w:t xml:space="preserve">Прийняв:</w:t>
      </w:r>
    </w:p>
    <w:p w:rsidR="00000000" w:rsidDel="00000000" w:rsidP="00000000" w:rsidRDefault="00000000" w:rsidRPr="00000000" w14:paraId="00000019">
      <w:pPr>
        <w:tabs>
          <w:tab w:val="left" w:leader="none" w:pos="6845"/>
        </w:tabs>
        <w:spacing w:after="160" w:lineRule="auto"/>
        <w:jc w:val="left"/>
        <w:rPr/>
      </w:pPr>
      <w:r w:rsidDel="00000000" w:rsidR="00000000" w:rsidRPr="00000000">
        <w:rPr>
          <w:rtl w:val="0"/>
        </w:rPr>
        <w:t xml:space="preserve">Асистент</w:t>
        <w:tab/>
        <w:t xml:space="preserve">     </w:t>
        <w:tab/>
        <w:t xml:space="preserve">   М.В. Калініна</w:t>
      </w:r>
    </w:p>
    <w:p w:rsidR="00000000" w:rsidDel="00000000" w:rsidP="00000000" w:rsidRDefault="00000000" w:rsidRPr="00000000" w14:paraId="0000001A">
      <w:pPr>
        <w:spacing w:after="1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Мета роботи:</w:t>
      </w:r>
      <w:r w:rsidDel="00000000" w:rsidR="00000000" w:rsidRPr="00000000">
        <w:rPr>
          <w:rtl w:val="0"/>
        </w:rPr>
        <w:t xml:space="preserve"> Ознайомитися з бібліотекою Open GL у середовищі розробки Qt та створити просте зображення.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Використовуючи примітиви «точка», «лінія», «трикутник»,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«чотирикутник» та «многокутник» зобразити фігуру (рис. 1.1).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005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1.1 – Рисунок до варіанту 7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виконання лабораторної роботи</w:t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Код програми знаходиться за посиланням на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https://github.com/AndrKirienko/KG_ta_OZ.git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Результат роботи програми зображено на рисунку 1.2.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7462" cy="18159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462" cy="1815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Рисунок 1.2 – Результат роботи програми 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Висновок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У процесі виконання лабораторної роботи я ознайомився з основами роботи з бібліотекою OpenGL у середовищі розробки Qt. Було вивчено методи створення графічних примітивів, таких як точка, лінія, трикутник, чотирикутник і многокутник. Для цього я реалізував програму, яка використовує ці примітиви для відображення складеної фігури згідно з заданим рисунком.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Основна мета полягала у формуванні базових навичок роботи з OpenGL для створення двовимірної графіки та взаємодії між різними елементами програми в Qt. Це дозволило на практиці застосувати знання щодо малювання простих геометричних форм та їх інтеграції у графічні додатки. Таким чином, завдання було успішно виконано, і здобуто початковий досвід використання OpenGL у середовищі Qt для побудови графічних додатків.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Відповіді на контрольні запитання</w:t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1. Опишіть склад бібліотек OpenGL.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OpenGL – це кросплатформна бібліотека для роботи з графікою, яка включає декілька важливих компонентів: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- Core OpenGL – основний API для роботи з тривимірною графікою, що надає функції для рендерингу, відображення текстур, освітлення та ін.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- GLU (OpenGL Utility Library) – допоміжна бібліотека для спрощення деяких завдань, таких як створення складних поверхонь та виконання проєкцій.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- GLEW (OpenGL Extension Wrangler Library) – бібліотека для зручного використання розширень OpenGL, що забезпечує доступ до новітніх функцій графічного обладнання.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- GLUT (OpenGL Utility Toolkit) – утиліта, що забезпечує підтримку роботи з вікнами, введенням з клавіатури та миші, а також створенням контексту OpenGL.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2. Яким чином OpenGL інтегрується в обране середовище розробки?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OpenGL інтегрується в середовище розробки за допомогою зв'язування необхідних бібліотек. У середовищі Qt, для інтеграції OpenGL, використовують модуль QtOpenGL. Це дозволяє створювати спеціальні контейнери для відображення OpenGL-контенту всередині вікон Qt. Програмісти можуть розширювати класи, такі як QOpenGLWidget або QOpenGLWindow, для управління рендерингом і відображенням графічного контенту OpenGL у Qt-додатках.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3. Як програмно описується відрисовка примітиву?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Для відрисовки примітиву в OpenGL використовують послідовність команд. Спочатку відкривається блок відрисовки примітивів за допомогою функції glBegin(), вказуючи тип примітиву (наприклад, GL_TRIANGLES, GL_LINES). Далі, задаються координати вершин за допомогою функції glVertex(). Після завершення всіх необхідних операцій, викликається функція glEnd(), яка завершує блок рендерингу.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Приклад: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glBegin(GL_TRIANGLES);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glVertex2f(0.0f, 1.0f);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glVertex2f(-1.0f, -1.0f);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glVertex2f(1.0f, -1.0f);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glEnd();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4. Опишіть функцію вказання координат вершини фігури. Які параметри вона приймає?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Функція для вказання координат вершини в OpenGL – це серія функцій glVertex(). Існують різні варіанти функції, що приймають різну кількість параметрів (2D, 3D або 4D координати). Основні варіанти: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- glVertex2f(x, y) – задає двовимірні координати вершини (типу float).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- glVertex3f(x, y, z) – задає тривимірні координати вершини (типу float).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Параметри: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- x, y, z – координати вершини в просторі.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5. Опишіть функцію встановлення кольору. Які параметри вона приймає?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Функція встановлення кольору – це glColor(). Вона визначає колір для відрисовки примітивів. Як і у випадку з функцією glVertex(), існують різні варіанти для вказання кольору з різною кількістю компонент: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- glColor3f(r, g, b) – задає колір з трьох компонент (червоний, зелений, синій) у форматі float (значення від 0 до 1).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- glColor4f(r, g, b, a) – задає колір з чотирьох компонент, де додатковий параметр a відповідає за прозорість (альфа-канал).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Параметри: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- r, g, b – значення червоного, зеленого та синього компонентів кольору (від 0 до 1).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- a – значення альфа-каналу (прозорість).</w:t>
      </w:r>
    </w:p>
    <w:sectPr>
      <w:pgSz w:h="16838" w:w="11906" w:orient="portrait"/>
      <w:pgMar w:bottom="1417.3228346456694" w:top="1417.3228346456694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5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ourier New" w:cs="Courier New" w:eastAsia="Courier New" w:hAnsi="Courier New"/>
      <w:color w:val="434343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ndrKirienko/KG_ta_OZ.g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