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  <w:pBdr>
          <w:bottom w:val="single" w:sz="4" w:space="4" w:color="76C6C5"/>
        </w:pBdr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Cumulativa por Sacado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49974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cumulativa_sacado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49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  <w:pBdr>
                <w:bottom w:val="single" w:sz="4" w:space="2" w:color="76C6C5"/>
              </w:pBdr>
            </w:pPr>
            <w:r>
              <w:rPr>
                <w:rFonts w:ascii="Gill Sans MT" w:hAnsi="Gill Sans MT"/>
                <w:b/>
                <w:color w:val="595959"/>
                <w:sz w:val="20"/>
              </w:rPr>
              <w:t>Aging da Carteira Vencida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3207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ging_com_acumulado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32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Outubro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