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BBBE" w14:textId="77777777" w:rsidR="004D2977" w:rsidRPr="00531A11" w:rsidRDefault="004D2977" w:rsidP="00531A11"/>
    <w:p>
      <w:pPr>
        <w:spacing w:before="240"/>
        <w:pBdr>
          <w:top w:val="single" w:sz="4" w:space="4" w:color="E2EEF0"/>
          <w:bottom w:val="single" w:sz="4" w:space="4" w:color="E2EEF0"/>
        </w:pBdr>
      </w:pPr>
      <w:r>
        <w:rPr>
          <w:rFonts w:ascii="Gill Sans MT" w:hAnsi="Gill Sans MT"/>
          <w:b w:val="0"/>
          <w:sz w:val="22"/>
        </w:rPr>
        <w:tab/>
        <w:t>Rentabilidade Mensal</w:t>
      </w:r>
    </w:p>
    <w:p>
      <w:r>
        <w:drawing>
          <wp:inline xmlns:a="http://schemas.openxmlformats.org/drawingml/2006/main" xmlns:pic="http://schemas.openxmlformats.org/drawingml/2006/picture">
            <wp:extent cx="6408000" cy="1587385"/>
            <wp:docPr id="1" name="Picture 1"/>
            <wp:cNvGraphicFramePr>
              <a:graphicFrameLocks noChangeAspect="1"/>
            </wp:cNvGraphicFramePr>
            <a:graphic>
              <a:graphicData uri="http://schemas.openxmlformats.org/drawingml/2006/picture">
                <pic:pic>
                  <pic:nvPicPr>
                    <pic:cNvPr id="0" name="tabela_rentabilidade_FIDC_FCT_II_SR2.png"/>
                    <pic:cNvPicPr/>
                  </pic:nvPicPr>
                  <pic:blipFill>
                    <a:blip r:embed="rId19"/>
                    <a:stretch>
                      <a:fillRect/>
                    </a:stretch>
                  </pic:blipFill>
                  <pic:spPr>
                    <a:xfrm>
                      <a:off x="0" y="0"/>
                      <a:ext cx="6408000" cy="1587385"/>
                    </a:xfrm>
                    <a:prstGeom prst="rect"/>
                  </pic:spPr>
                </pic:pic>
              </a:graphicData>
            </a:graphic>
          </wp:inline>
        </w:drawing>
      </w:r>
    </w:p>
    <w:tbl>
      <w:tblPr>
        <w:tblW w:type="auto" w:w="0"/>
        <w:tblLayout w:type="fixed"/>
        <w:tblLook w:firstColumn="1" w:firstRow="1" w:lastColumn="0" w:lastRow="0" w:noHBand="0" w:noVBand="1" w:val="04A0"/>
      </w:tblPr>
      <w:tblGrid>
        <w:gridCol w:w="5046"/>
        <w:gridCol w:w="5046"/>
      </w:tblGrid>
      <w:tr>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Retorno Acumulado</w:t>
            </w:r>
            <w:r>
              <w:br/>
            </w:r>
            <w:r>
              <w:rPr>
                <w:rFonts w:ascii="Gill Sans MT" w:hAnsi="Gill Sans MT"/>
                <w:color w:val="595959"/>
                <w:sz w:val="16"/>
              </w:rPr>
              <w:tab/>
            </w:r>
          </w:p>
          <w:p>
            <w:pPr>
              <w:jc w:val="center"/>
            </w:pPr>
            <w:r>
              <w:drawing>
                <wp:inline xmlns:a="http://schemas.openxmlformats.org/drawingml/2006/main" xmlns:pic="http://schemas.openxmlformats.org/drawingml/2006/picture">
                  <wp:extent cx="3060000" cy="1520992"/>
                  <wp:docPr id="2" name="Picture 2"/>
                  <wp:cNvGraphicFramePr>
                    <a:graphicFrameLocks noChangeAspect="1"/>
                  </wp:cNvGraphicFramePr>
                  <a:graphic>
                    <a:graphicData uri="http://schemas.openxmlformats.org/drawingml/2006/picture">
                      <pic:pic>
                        <pic:nvPicPr>
                          <pic:cNvPr id="0" name="grafico_retorno_FIDC_FCT_II_SR2.png"/>
                          <pic:cNvPicPr/>
                        </pic:nvPicPr>
                        <pic:blipFill>
                          <a:blip r:embed="rId20"/>
                          <a:stretch>
                            <a:fillRect/>
                          </a:stretch>
                        </pic:blipFill>
                        <pic:spPr>
                          <a:xfrm>
                            <a:off x="0" y="0"/>
                            <a:ext cx="3060000" cy="1520992"/>
                          </a:xfrm>
                          <a:prstGeom prst="rect"/>
                        </pic:spPr>
                      </pic:pic>
                    </a:graphicData>
                  </a:graphic>
                </wp:inline>
              </w:drawing>
            </w:r>
          </w:p>
        </w:tc>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Evolução do Patrimônio Líquido (PL)</w:t>
            </w:r>
            <w:r>
              <w:br/>
            </w:r>
            <w:r>
              <w:rPr>
                <w:rFonts w:ascii="Gill Sans MT" w:hAnsi="Gill Sans MT"/>
                <w:color w:val="595959"/>
                <w:sz w:val="16"/>
              </w:rPr>
              <w:tab/>
              <w:t>(R$ mm)</w:t>
            </w:r>
          </w:p>
          <w:p>
            <w:pPr>
              <w:jc w:val="center"/>
            </w:pPr>
            <w:r>
              <w:drawing>
                <wp:inline xmlns:a="http://schemas.openxmlformats.org/drawingml/2006/main" xmlns:pic="http://schemas.openxmlformats.org/drawingml/2006/picture">
                  <wp:extent cx="3060000" cy="1520561"/>
                  <wp:docPr id="3" name="Picture 3"/>
                  <wp:cNvGraphicFramePr>
                    <a:graphicFrameLocks noChangeAspect="1"/>
                  </wp:cNvGraphicFramePr>
                  <a:graphic>
                    <a:graphicData uri="http://schemas.openxmlformats.org/drawingml/2006/picture">
                      <pic:pic>
                        <pic:nvPicPr>
                          <pic:cNvPr id="0" name="grafico_pl_FIDC_FCT_II_SR2.png"/>
                          <pic:cNvPicPr/>
                        </pic:nvPicPr>
                        <pic:blipFill>
                          <a:blip r:embed="rId21"/>
                          <a:stretch>
                            <a:fillRect/>
                          </a:stretch>
                        </pic:blipFill>
                        <pic:spPr>
                          <a:xfrm>
                            <a:off x="0" y="0"/>
                            <a:ext cx="3060000" cy="1520561"/>
                          </a:xfrm>
                          <a:prstGeom prst="rect"/>
                        </pic:spPr>
                      </pic:pic>
                    </a:graphicData>
                  </a:graphic>
                </wp:inline>
              </w:drawing>
            </w:r>
          </w:p>
        </w:tc>
      </w:tr>
      <w:tr>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Vencimento Mensal</w:t>
            </w:r>
            <w:r>
              <w:br/>
            </w:r>
            <w:r>
              <w:rPr>
                <w:rFonts w:ascii="Gill Sans MT" w:hAnsi="Gill Sans MT"/>
                <w:color w:val="595959"/>
                <w:sz w:val="16"/>
              </w:rPr>
              <w:tab/>
              <w:t>(R$’000 e % acumulado)</w:t>
            </w:r>
          </w:p>
          <w:p>
            <w:pPr>
              <w:jc w:val="center"/>
            </w:pPr>
            <w:r>
              <w:drawing>
                <wp:inline xmlns:a="http://schemas.openxmlformats.org/drawingml/2006/main" xmlns:pic="http://schemas.openxmlformats.org/drawingml/2006/picture">
                  <wp:extent cx="3060000" cy="1864688"/>
                  <wp:docPr id="4" name="Picture 4"/>
                  <wp:cNvGraphicFramePr>
                    <a:graphicFrameLocks noChangeAspect="1"/>
                  </wp:cNvGraphicFramePr>
                  <a:graphic>
                    <a:graphicData uri="http://schemas.openxmlformats.org/drawingml/2006/picture">
                      <pic:pic>
                        <pic:nvPicPr>
                          <pic:cNvPr id="0" name="vencimento_mensal.png"/>
                          <pic:cNvPicPr/>
                        </pic:nvPicPr>
                        <pic:blipFill>
                          <a:blip r:embed="rId22"/>
                          <a:stretch>
                            <a:fillRect/>
                          </a:stretch>
                        </pic:blipFill>
                        <pic:spPr>
                          <a:xfrm>
                            <a:off x="0" y="0"/>
                            <a:ext cx="3060000" cy="1864688"/>
                          </a:xfrm>
                          <a:prstGeom prst="rect"/>
                        </pic:spPr>
                      </pic:pic>
                    </a:graphicData>
                  </a:graphic>
                </wp:inline>
              </w:drawing>
            </w:r>
          </w:p>
        </w:tc>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Vencimento Anual</w:t>
            </w:r>
            <w:r>
              <w:br/>
            </w:r>
            <w:r>
              <w:rPr>
                <w:rFonts w:ascii="Gill Sans MT" w:hAnsi="Gill Sans MT"/>
                <w:color w:val="595959"/>
                <w:sz w:val="16"/>
              </w:rPr>
              <w:tab/>
              <w:t>(R$’000 e % acumulado)</w:t>
            </w:r>
          </w:p>
          <w:p>
            <w:pPr>
              <w:jc w:val="center"/>
            </w:pPr>
            <w:r>
              <w:drawing>
                <wp:inline xmlns:a="http://schemas.openxmlformats.org/drawingml/2006/main" xmlns:pic="http://schemas.openxmlformats.org/drawingml/2006/picture">
                  <wp:extent cx="3060000" cy="1864688"/>
                  <wp:docPr id="5" name="Picture 5"/>
                  <wp:cNvGraphicFramePr>
                    <a:graphicFrameLocks noChangeAspect="1"/>
                  </wp:cNvGraphicFramePr>
                  <a:graphic>
                    <a:graphicData uri="http://schemas.openxmlformats.org/drawingml/2006/picture">
                      <pic:pic>
                        <pic:nvPicPr>
                          <pic:cNvPr id="0" name="vencimento_anual.png"/>
                          <pic:cNvPicPr/>
                        </pic:nvPicPr>
                        <pic:blipFill>
                          <a:blip r:embed="rId23"/>
                          <a:stretch>
                            <a:fillRect/>
                          </a:stretch>
                        </pic:blipFill>
                        <pic:spPr>
                          <a:xfrm>
                            <a:off x="0" y="0"/>
                            <a:ext cx="3060000" cy="1864688"/>
                          </a:xfrm>
                          <a:prstGeom prst="rect"/>
                        </pic:spPr>
                      </pic:pic>
                    </a:graphicData>
                  </a:graphic>
                </wp:inline>
              </w:drawing>
            </w:r>
          </w:p>
        </w:tc>
      </w:tr>
      <w:tr>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Concentração por UF</w:t>
            </w:r>
            <w:r>
              <w:br/>
            </w:r>
            <w:r>
              <w:rPr>
                <w:rFonts w:ascii="Gill Sans MT" w:hAnsi="Gill Sans MT"/>
                <w:color w:val="595959"/>
                <w:sz w:val="16"/>
              </w:rPr>
              <w:tab/>
              <w:t>(R$’000)</w:t>
            </w:r>
          </w:p>
          <w:p>
            <w:pPr>
              <w:jc w:val="center"/>
            </w:pPr>
            <w:r>
              <w:drawing>
                <wp:inline xmlns:a="http://schemas.openxmlformats.org/drawingml/2006/main" xmlns:pic="http://schemas.openxmlformats.org/drawingml/2006/picture">
                  <wp:extent cx="3060000" cy="1757758"/>
                  <wp:docPr id="6" name="Picture 6"/>
                  <wp:cNvGraphicFramePr>
                    <a:graphicFrameLocks noChangeAspect="1"/>
                  </wp:cNvGraphicFramePr>
                  <a:graphic>
                    <a:graphicData uri="http://schemas.openxmlformats.org/drawingml/2006/picture">
                      <pic:pic>
                        <pic:nvPicPr>
                          <pic:cNvPr id="0" name="concentracao_uf.png"/>
                          <pic:cNvPicPr/>
                        </pic:nvPicPr>
                        <pic:blipFill>
                          <a:blip r:embed="rId24"/>
                          <a:stretch>
                            <a:fillRect/>
                          </a:stretch>
                        </pic:blipFill>
                        <pic:spPr>
                          <a:xfrm>
                            <a:off x="0" y="0"/>
                            <a:ext cx="3060000" cy="1757758"/>
                          </a:xfrm>
                          <a:prstGeom prst="rect"/>
                        </pic:spPr>
                      </pic:pic>
                    </a:graphicData>
                  </a:graphic>
                </wp:inline>
              </w:drawing>
            </w:r>
          </w:p>
        </w:tc>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Distribuição por CAPAG</w:t>
            </w:r>
            <w:r>
              <w:br/>
            </w:r>
            <w:r>
              <w:rPr>
                <w:rFonts w:ascii="Gill Sans MT" w:hAnsi="Gill Sans MT"/>
                <w:color w:val="595959"/>
                <w:sz w:val="16"/>
              </w:rPr>
              <w:tab/>
              <w:t>(R$’000)</w:t>
            </w:r>
          </w:p>
          <w:p>
            <w:pPr>
              <w:jc w:val="center"/>
            </w:pPr>
            <w:r>
              <w:drawing>
                <wp:inline xmlns:a="http://schemas.openxmlformats.org/drawingml/2006/main" xmlns:pic="http://schemas.openxmlformats.org/drawingml/2006/picture">
                  <wp:extent cx="3060000" cy="1917281"/>
                  <wp:docPr id="7" name="Picture 7"/>
                  <wp:cNvGraphicFramePr>
                    <a:graphicFrameLocks noChangeAspect="1"/>
                  </wp:cNvGraphicFramePr>
                  <a:graphic>
                    <a:graphicData uri="http://schemas.openxmlformats.org/drawingml/2006/picture">
                      <pic:pic>
                        <pic:nvPicPr>
                          <pic:cNvPr id="0" name="distribuicao_capag.png"/>
                          <pic:cNvPicPr/>
                        </pic:nvPicPr>
                        <pic:blipFill>
                          <a:blip r:embed="rId25"/>
                          <a:stretch>
                            <a:fillRect/>
                          </a:stretch>
                        </pic:blipFill>
                        <pic:spPr>
                          <a:xfrm>
                            <a:off x="0" y="0"/>
                            <a:ext cx="3060000" cy="1917281"/>
                          </a:xfrm>
                          <a:prstGeom prst="rect"/>
                        </pic:spPr>
                      </pic:pic>
                    </a:graphicData>
                  </a:graphic>
                </wp:inline>
              </w:drawing>
            </w:r>
          </w:p>
        </w:tc>
      </w:tr>
      <w:tr>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Concentração Cumulativa por Sacado</w:t>
            </w:r>
            <w:r>
              <w:br/>
            </w:r>
            <w:r>
              <w:rPr>
                <w:rFonts w:ascii="Gill Sans MT" w:hAnsi="Gill Sans MT"/>
                <w:color w:val="595959"/>
                <w:sz w:val="16"/>
              </w:rPr>
              <w:tab/>
              <w:t>(%)</w:t>
            </w:r>
          </w:p>
          <w:p>
            <w:pPr>
              <w:jc w:val="center"/>
            </w:pPr>
            <w:r>
              <w:drawing>
                <wp:inline xmlns:a="http://schemas.openxmlformats.org/drawingml/2006/main" xmlns:pic="http://schemas.openxmlformats.org/drawingml/2006/picture">
                  <wp:extent cx="3060000" cy="1549974"/>
                  <wp:docPr id="8" name="Picture 8"/>
                  <wp:cNvGraphicFramePr>
                    <a:graphicFrameLocks noChangeAspect="1"/>
                  </wp:cNvGraphicFramePr>
                  <a:graphic>
                    <a:graphicData uri="http://schemas.openxmlformats.org/drawingml/2006/picture">
                      <pic:pic>
                        <pic:nvPicPr>
                          <pic:cNvPr id="0" name="concentracao_cumulativa_sacado.png"/>
                          <pic:cNvPicPr/>
                        </pic:nvPicPr>
                        <pic:blipFill>
                          <a:blip r:embed="rId26"/>
                          <a:stretch>
                            <a:fillRect/>
                          </a:stretch>
                        </pic:blipFill>
                        <pic:spPr>
                          <a:xfrm>
                            <a:off x="0" y="0"/>
                            <a:ext cx="3060000" cy="1549974"/>
                          </a:xfrm>
                          <a:prstGeom prst="rect"/>
                        </pic:spPr>
                      </pic:pic>
                    </a:graphicData>
                  </a:graphic>
                </wp:inline>
              </w:drawing>
            </w:r>
          </w:p>
        </w:tc>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Aging da Carteira Vencida</w:t>
            </w:r>
            <w:r>
              <w:br/>
            </w:r>
            <w:r>
              <w:rPr>
                <w:rFonts w:ascii="Gill Sans MT" w:hAnsi="Gill Sans MT"/>
                <w:color w:val="595959"/>
                <w:sz w:val="16"/>
              </w:rPr>
              <w:tab/>
              <w:t>(R$ mm e % acumulado)</w:t>
            </w:r>
          </w:p>
          <w:p>
            <w:pPr>
              <w:jc w:val="center"/>
            </w:pPr>
            <w:r>
              <w:drawing>
                <wp:inline xmlns:a="http://schemas.openxmlformats.org/drawingml/2006/main" xmlns:pic="http://schemas.openxmlformats.org/drawingml/2006/picture">
                  <wp:extent cx="3060000" cy="1748571"/>
                  <wp:docPr id="9" name="Picture 9"/>
                  <wp:cNvGraphicFramePr>
                    <a:graphicFrameLocks noChangeAspect="1"/>
                  </wp:cNvGraphicFramePr>
                  <a:graphic>
                    <a:graphicData uri="http://schemas.openxmlformats.org/drawingml/2006/picture">
                      <pic:pic>
                        <pic:nvPicPr>
                          <pic:cNvPr id="0" name="aging_com_acumulado.png"/>
                          <pic:cNvPicPr/>
                        </pic:nvPicPr>
                        <pic:blipFill>
                          <a:blip r:embed="rId27"/>
                          <a:stretch>
                            <a:fillRect/>
                          </a:stretch>
                        </pic:blipFill>
                        <pic:spPr>
                          <a:xfrm>
                            <a:off x="0" y="0"/>
                            <a:ext cx="3060000" cy="1748571"/>
                          </a:xfrm>
                          <a:prstGeom prst="rect"/>
                        </pic:spPr>
                      </pic:pic>
                    </a:graphicData>
                  </a:graphic>
                </wp:inline>
              </w:drawing>
            </w:r>
          </w:p>
        </w:tc>
      </w:tr>
      <w:tr>
        <w:tc>
          <w:tcPr>
            <w:tcW w:type="dxa" w:w="5216"/>
          </w:tcPr>
          <w:p/>
        </w:tc>
        <w:tc>
          <w:tcPr>
            <w:tcW w:type="dxa" w:w="5216"/>
          </w:tcPr>
          <w:p/>
        </w:tc>
      </w:tr>
    </w:tbl>
    <w:p>
      <w:pPr>
        <w:pBdr>
          <w:top w:val="single" w:sz="4" w:space="4" w:color="E2EEF0"/>
          <w:bottom w:val="single" w:sz="4" w:space="4" w:color="E2EEF0"/>
        </w:pBdr>
        <w:spacing w:after="100" w:before="500"/>
      </w:pPr>
      <w:r>
        <w:rPr>
          <w:rFonts w:ascii="Gill Sans MT" w:hAnsi="Gill Sans MT"/>
          <w:color w:val="595959"/>
          <w:sz w:val="20"/>
        </w:rPr>
        <w:tab/>
        <w:t>Dados do Fundo</w:t>
      </w:r>
    </w:p>
    <w:tbl>
      <w:tblPr>
        <w:tblW w:type="auto" w:w="0"/>
        <w:tblLook w:firstColumn="1" w:firstRow="1" w:lastColumn="0" w:lastRow="0" w:noHBand="0" w:noVBand="1" w:val="04A0"/>
      </w:tblPr>
      <w:tblGrid>
        <w:gridCol w:w="5216"/>
        <w:gridCol w:w="5216"/>
      </w:tblGrid>
      <w:tr>
        <w:tc>
          <w:tcPr>
            <w:tcW w:type="dxa" w:w="5216"/>
          </w:tcPr>
          <w:p/>
          <w:tbl>
            <w:tblPr>
              <w:tblW w:type="auto" w:w="0"/>
              <w:tblLook w:firstColumn="1" w:firstRow="1" w:lastColumn="0" w:lastRow="0" w:noHBand="0" w:noVBand="1" w:val="04A0"/>
            </w:tblPr>
            <w:tblGrid>
              <w:gridCol w:w="5216"/>
            </w:tblGrid>
            <w:tr>
              <w:tc>
                <w:tcPr>
                  <w:tcW w:type="dxa" w:w="5216"/>
                </w:tcPr>
                <w:p>
                  <w:pPr>
                    <w:spacing w:before="0" w:after="0" w:line="288" w:lineRule="auto"/>
                  </w:pPr>
                  <w:r>
                    <w:rPr>
                      <w:rFonts w:ascii="Arial" w:hAnsi="Arial"/>
                      <w:b/>
                      <w:color w:val="595959"/>
                      <w:sz w:val="17"/>
                    </w:rPr>
                    <w:t>Política de Investimento</w:t>
                    <w:br/>
                  </w:r>
                  <w:r>
                    <w:rPr>
                      <w:rFonts w:ascii="Arial" w:hAnsi="Arial"/>
                      <w:color w:val="595959"/>
                      <w:sz w:val="17"/>
                    </w:rPr>
                    <w:t>O fundo investe em direitos creditórios relacionados a crédito consignado público nas esferas municipal, estadual e federal.</w:t>
                  </w:r>
                </w:p>
              </w:tc>
            </w:tr>
            <w:tr>
              <w:tc>
                <w:tcPr>
                  <w:tcW w:type="dxa" w:w="5216"/>
                </w:tcPr>
                <w:p>
                  <w:pPr>
                    <w:spacing w:before="0" w:after="0" w:line="288" w:lineRule="auto"/>
                  </w:pPr>
                  <w:r>
                    <w:rPr>
                      <w:rFonts w:ascii="Arial" w:hAnsi="Arial"/>
                      <w:b/>
                      <w:color w:val="595959"/>
                      <w:sz w:val="17"/>
                    </w:rPr>
                    <w:t>Denominação Social</w:t>
                    <w:br/>
                  </w:r>
                  <w:r>
                    <w:rPr>
                      <w:rFonts w:ascii="Arial" w:hAnsi="Arial"/>
                      <w:color w:val="595959"/>
                      <w:sz w:val="17"/>
                    </w:rPr>
                    <w:t>FUNDO DE INVESTIMENTO EM DIREITOS CREDITÓRIOS FCT II</w:t>
                  </w:r>
                </w:p>
              </w:tc>
            </w:tr>
            <w:tr>
              <w:tc>
                <w:tcPr>
                  <w:tcW w:type="dxa" w:w="5216"/>
                </w:tcPr>
                <w:p>
                  <w:pPr>
                    <w:spacing w:before="0" w:after="0" w:line="288" w:lineRule="auto"/>
                  </w:pPr>
                  <w:r>
                    <w:rPr>
                      <w:rFonts w:ascii="Arial" w:hAnsi="Arial"/>
                      <w:b/>
                      <w:color w:val="595959"/>
                      <w:sz w:val="17"/>
                    </w:rPr>
                    <w:t>CNPJ</w:t>
                    <w:br/>
                  </w:r>
                  <w:r>
                    <w:rPr>
                      <w:rFonts w:ascii="Arial" w:hAnsi="Arial"/>
                      <w:color w:val="595959"/>
                      <w:sz w:val="17"/>
                    </w:rPr>
                    <w:t>58.055.083/0001-04</w:t>
                  </w:r>
                </w:p>
              </w:tc>
            </w:tr>
            <w:tr>
              <w:tc>
                <w:tcPr>
                  <w:tcW w:type="dxa" w:w="5216"/>
                </w:tcPr>
                <w:p>
                  <w:pPr>
                    <w:spacing w:before="0" w:after="0" w:line="288" w:lineRule="auto"/>
                  </w:pPr>
                  <w:r>
                    <w:rPr>
                      <w:rFonts w:ascii="Arial" w:hAnsi="Arial"/>
                      <w:b/>
                      <w:color w:val="595959"/>
                      <w:sz w:val="17"/>
                    </w:rPr>
                    <w:t>Data de início</w:t>
                    <w:br/>
                  </w:r>
                  <w:r>
                    <w:rPr>
                      <w:rFonts w:ascii="Arial" w:hAnsi="Arial"/>
                      <w:color w:val="595959"/>
                      <w:sz w:val="17"/>
                    </w:rPr>
                    <w:t>27/11/2024</w:t>
                  </w:r>
                </w:p>
              </w:tc>
            </w:tr>
            <w:tr>
              <w:tc>
                <w:tcPr>
                  <w:tcW w:type="dxa" w:w="5216"/>
                </w:tcPr>
                <w:p>
                  <w:pPr>
                    <w:spacing w:before="0" w:after="0" w:line="288" w:lineRule="auto"/>
                  </w:pPr>
                  <w:r>
                    <w:rPr>
                      <w:rFonts w:ascii="Arial" w:hAnsi="Arial"/>
                      <w:b/>
                      <w:color w:val="595959"/>
                      <w:sz w:val="17"/>
                    </w:rPr>
                    <w:t>Rentabilidade alvo da cota Sênior</w:t>
                    <w:br/>
                  </w:r>
                  <w:r>
                    <w:rPr>
                      <w:rFonts w:ascii="Arial" w:hAnsi="Arial"/>
                      <w:color w:val="595959"/>
                      <w:sz w:val="17"/>
                    </w:rPr>
                    <w:t>16,0% a.a.</w:t>
                  </w:r>
                </w:p>
              </w:tc>
            </w:tr>
            <w:tr>
              <w:tc>
                <w:tcPr>
                  <w:tcW w:type="dxa" w:w="5216"/>
                </w:tcPr>
                <w:p>
                  <w:pPr>
                    <w:spacing w:before="0" w:after="0" w:line="288" w:lineRule="auto"/>
                  </w:pPr>
                  <w:r>
                    <w:rPr>
                      <w:rFonts w:ascii="Arial" w:hAnsi="Arial"/>
                      <w:b/>
                      <w:color w:val="595959"/>
                      <w:sz w:val="17"/>
                    </w:rPr>
                    <w:t>Rentabilidade alvo da cota Mezanino</w:t>
                    <w:br/>
                  </w:r>
                  <w:r>
                    <w:rPr>
                      <w:rFonts w:ascii="Arial" w:hAnsi="Arial"/>
                      <w:color w:val="595959"/>
                      <w:sz w:val="17"/>
                    </w:rPr>
                    <w:t>16,5% a.a.</w:t>
                  </w:r>
                </w:p>
              </w:tc>
            </w:tr>
            <w:tr>
              <w:tc>
                <w:tcPr>
                  <w:tcW w:type="dxa" w:w="5216"/>
                </w:tcPr>
                <w:p>
                  <w:pPr>
                    <w:spacing w:before="0" w:after="0" w:line="288" w:lineRule="auto"/>
                  </w:pPr>
                  <w:r>
                    <w:rPr>
                      <w:rFonts w:ascii="Arial" w:hAnsi="Arial"/>
                      <w:b/>
                      <w:color w:val="595959"/>
                      <w:sz w:val="17"/>
                    </w:rPr>
                    <w:t>Patrimônio Líquido (Ref: 29/08/2025)</w:t>
                    <w:br/>
                  </w:r>
                  <w:r>
                    <w:rPr>
                      <w:rFonts w:ascii="Arial" w:hAnsi="Arial"/>
                      <w:color w:val="595959"/>
                      <w:sz w:val="17"/>
                    </w:rPr>
                    <w:t>R$ 170.632.834</w:t>
                  </w:r>
                </w:p>
              </w:tc>
            </w:tr>
            <w:tr>
              <w:tc>
                <w:tcPr>
                  <w:tcW w:type="dxa" w:w="5216"/>
                </w:tcPr>
                <w:p>
                  <w:pPr>
                    <w:spacing w:before="0" w:after="0" w:line="288" w:lineRule="auto"/>
                  </w:pPr>
                  <w:r>
                    <w:rPr>
                      <w:rFonts w:ascii="Arial" w:hAnsi="Arial"/>
                      <w:b/>
                      <w:color w:val="595959"/>
                      <w:sz w:val="17"/>
                    </w:rPr>
                    <w:t>Patrimônio Líquido Médio (12M)</w:t>
                    <w:br/>
                  </w:r>
                  <w:r>
                    <w:rPr>
                      <w:rFonts w:ascii="Arial" w:hAnsi="Arial"/>
                      <w:color w:val="595959"/>
                      <w:sz w:val="17"/>
                    </w:rPr>
                    <w:t>R$ 141.109.125</w:t>
                  </w:r>
                </w:p>
              </w:tc>
            </w:tr>
          </w:tbl>
          <w:p/>
        </w:tc>
        <w:tc>
          <w:tcPr>
            <w:tcW w:type="dxa" w:w="5216"/>
          </w:tcPr>
          <w:p/>
          <w:tbl>
            <w:tblPr>
              <w:tblW w:type="auto" w:w="0"/>
              <w:tblLook w:firstColumn="1" w:firstRow="1" w:lastColumn="0" w:lastRow="0" w:noHBand="0" w:noVBand="1" w:val="04A0"/>
            </w:tblPr>
            <w:tblGrid>
              <w:gridCol w:w="5216"/>
            </w:tblGrid>
            <w:tr>
              <w:tc>
                <w:tcPr>
                  <w:tcW w:type="dxa" w:w="5216"/>
                </w:tcPr>
                <w:p>
                  <w:pPr>
                    <w:spacing w:before="0" w:after="0" w:line="288" w:lineRule="auto"/>
                  </w:pPr>
                  <w:r>
                    <w:rPr>
                      <w:rFonts w:ascii="Arial" w:hAnsi="Arial"/>
                      <w:b/>
                      <w:color w:val="595959"/>
                      <w:sz w:val="17"/>
                    </w:rPr>
                    <w:t>Gestor</w:t>
                    <w:br/>
                  </w:r>
                  <w:r>
                    <w:rPr>
                      <w:rFonts w:ascii="Arial" w:hAnsi="Arial"/>
                      <w:color w:val="595959"/>
                      <w:sz w:val="17"/>
                    </w:rPr>
                    <w:t>Porto Real Investimentos</w:t>
                  </w:r>
                </w:p>
              </w:tc>
            </w:tr>
            <w:tr>
              <w:tc>
                <w:tcPr>
                  <w:tcW w:type="dxa" w:w="5216"/>
                </w:tcPr>
                <w:p>
                  <w:pPr>
                    <w:spacing w:before="0" w:after="0" w:line="288" w:lineRule="auto"/>
                  </w:pPr>
                  <w:r>
                    <w:rPr>
                      <w:rFonts w:ascii="Arial" w:hAnsi="Arial"/>
                      <w:b/>
                      <w:color w:val="595959"/>
                      <w:sz w:val="17"/>
                    </w:rPr>
                    <w:t>Administrador</w:t>
                    <w:br/>
                  </w:r>
                  <w:r>
                    <w:rPr>
                      <w:rFonts w:ascii="Arial" w:hAnsi="Arial"/>
                      <w:color w:val="595959"/>
                      <w:sz w:val="17"/>
                    </w:rPr>
                    <w:t>Banvox DTVM</w:t>
                  </w:r>
                </w:p>
              </w:tc>
            </w:tr>
            <w:tr>
              <w:tc>
                <w:tcPr>
                  <w:tcW w:type="dxa" w:w="5216"/>
                </w:tcPr>
                <w:p>
                  <w:pPr>
                    <w:spacing w:before="0" w:after="0" w:line="288" w:lineRule="auto"/>
                  </w:pPr>
                  <w:r>
                    <w:rPr>
                      <w:rFonts w:ascii="Arial" w:hAnsi="Arial"/>
                      <w:b/>
                      <w:color w:val="595959"/>
                      <w:sz w:val="17"/>
                    </w:rPr>
                    <w:t>Custodiante</w:t>
                    <w:br/>
                  </w:r>
                  <w:r>
                    <w:rPr>
                      <w:rFonts w:ascii="Arial" w:hAnsi="Arial"/>
                      <w:color w:val="595959"/>
                      <w:sz w:val="17"/>
                    </w:rPr>
                    <w:t>Banvox DTVM</w:t>
                  </w:r>
                </w:p>
              </w:tc>
            </w:tr>
            <w:tr>
              <w:tc>
                <w:tcPr>
                  <w:tcW w:type="dxa" w:w="5216"/>
                </w:tcPr>
                <w:p>
                  <w:pPr>
                    <w:spacing w:before="0" w:after="0" w:line="288" w:lineRule="auto"/>
                  </w:pPr>
                  <w:r>
                    <w:rPr>
                      <w:rFonts w:ascii="Arial" w:hAnsi="Arial"/>
                      <w:b/>
                      <w:color w:val="595959"/>
                      <w:sz w:val="17"/>
                    </w:rPr>
                    <w:t>Taxa de gestão</w:t>
                    <w:br/>
                  </w:r>
                  <w:r>
                    <w:rPr>
                      <w:rFonts w:ascii="Arial" w:hAnsi="Arial"/>
                      <w:color w:val="595959"/>
                      <w:sz w:val="17"/>
                    </w:rPr>
                    <w:t>2,5%</w:t>
                  </w:r>
                </w:p>
              </w:tc>
            </w:tr>
            <w:tr>
              <w:tc>
                <w:tcPr>
                  <w:tcW w:type="dxa" w:w="5216"/>
                </w:tcPr>
                <w:p>
                  <w:pPr>
                    <w:spacing w:before="0" w:after="0" w:line="288" w:lineRule="auto"/>
                  </w:pPr>
                  <w:r>
                    <w:rPr>
                      <w:rFonts w:ascii="Arial" w:hAnsi="Arial"/>
                      <w:b/>
                      <w:color w:val="595959"/>
                      <w:sz w:val="17"/>
                    </w:rPr>
                    <w:t>Taxa de administração</w:t>
                    <w:br/>
                  </w:r>
                  <w:r>
                    <w:rPr>
                      <w:rFonts w:ascii="Arial" w:hAnsi="Arial"/>
                      <w:color w:val="595959"/>
                      <w:sz w:val="17"/>
                    </w:rPr>
                    <w:t>0,11%</w:t>
                  </w:r>
                </w:p>
              </w:tc>
            </w:tr>
            <w:tr>
              <w:tc>
                <w:tcPr>
                  <w:tcW w:type="dxa" w:w="5216"/>
                </w:tcPr>
                <w:p>
                  <w:pPr>
                    <w:spacing w:before="0" w:after="0" w:line="288" w:lineRule="auto"/>
                  </w:pPr>
                  <w:r>
                    <w:rPr>
                      <w:rFonts w:ascii="Arial" w:hAnsi="Arial"/>
                      <w:b/>
                      <w:color w:val="595959"/>
                      <w:sz w:val="17"/>
                    </w:rPr>
                    <w:t>Taxa máxima de custódia</w:t>
                    <w:br/>
                  </w:r>
                  <w:r>
                    <w:rPr>
                      <w:rFonts w:ascii="Arial" w:hAnsi="Arial"/>
                      <w:color w:val="595959"/>
                      <w:sz w:val="17"/>
                    </w:rPr>
                    <w:t>0,03%</w:t>
                  </w:r>
                </w:p>
              </w:tc>
            </w:tr>
            <w:tr>
              <w:tc>
                <w:tcPr>
                  <w:tcW w:type="dxa" w:w="5216"/>
                </w:tcPr>
                <w:p>
                  <w:pPr>
                    <w:spacing w:before="0" w:after="0" w:line="288" w:lineRule="auto"/>
                  </w:pPr>
                  <w:r>
                    <w:rPr>
                      <w:rFonts w:ascii="Arial" w:hAnsi="Arial"/>
                      <w:b/>
                      <w:color w:val="595959"/>
                      <w:sz w:val="17"/>
                    </w:rPr>
                    <w:t>Taxa de performance</w:t>
                    <w:br/>
                  </w:r>
                  <w:r>
                    <w:rPr>
                      <w:rFonts w:ascii="Arial" w:hAnsi="Arial"/>
                      <w:color w:val="595959"/>
                      <w:sz w:val="17"/>
                    </w:rPr>
                    <w:t>Não há</w:t>
                  </w:r>
                </w:p>
              </w:tc>
            </w:tr>
            <w:tr>
              <w:tc>
                <w:tcPr>
                  <w:tcW w:type="dxa" w:w="5216"/>
                </w:tcPr>
                <w:p>
                  <w:pPr>
                    <w:spacing w:before="0" w:after="0" w:line="288" w:lineRule="auto"/>
                  </w:pPr>
                  <w:r>
                    <w:rPr>
                      <w:rFonts w:ascii="Arial" w:hAnsi="Arial"/>
                      <w:b/>
                      <w:color w:val="595959"/>
                      <w:sz w:val="17"/>
                    </w:rPr>
                    <w:t>Forma de condomínio</w:t>
                    <w:br/>
                  </w:r>
                  <w:r>
                    <w:rPr>
                      <w:rFonts w:ascii="Arial" w:hAnsi="Arial"/>
                      <w:color w:val="595959"/>
                      <w:sz w:val="17"/>
                    </w:rPr>
                    <w:t>Fechado</w:t>
                  </w:r>
                </w:p>
              </w:tc>
            </w:tr>
          </w:tbl>
          <w:p/>
        </w:tc>
      </w:tr>
    </w:tbl>
    <w:p>
      <w:pPr>
        <w:pBdr>
          <w:top w:val="single" w:sz="4" w:space="1" w:color="E2EEF0"/>
          <w:bottom w:val="single" w:sz="4" w:space="1" w:color="E2EEF0"/>
        </w:pBdr>
      </w:pPr>
      <w:r>
        <w:rPr>
          <w:rFonts w:ascii="Gill Sans MT" w:hAnsi="Gill Sans MT"/>
          <w:color w:val="595959"/>
          <w:sz w:val="20"/>
        </w:rPr>
        <w:tab/>
        <w:t xml:space="preserve"> Disclaimer</w:t>
      </w:r>
    </w:p>
    <w:p>
      <w:pPr>
        <w:jc w:val="both"/>
      </w:pPr>
      <w:r>
        <w:rPr>
          <w:rFonts w:ascii="Arial" w:hAnsi="Arial"/>
          <w:color w:val="A6A6A6"/>
          <w:sz w:val="17"/>
        </w:rPr>
        <w:t>As informações contidas neste material são de caráter exclusivamente informativo. A rentabilidade passada não representa garantia de rentabilidade futura. Fundos de investimento não contam com a garantia do administrador, do gestor da carteira, de qualquer mecanismo de seguro ou, ainda, do Fundo Garantidor de Créditos ‐ FGC. Os fundos de crédito privado estão sujeitos a risco de perda substancial de seu patrimônio líquido em caso de eventos que acarretem o não pagamento dos ativos integrantes de sua carteira, inclusive por força de intervenção, liquidação, regime de administração temporária, falência, recuperação judicial ou extrajudicial dos emissores responsáveis pelos ativos do fundo. Não há garantia de que este fundo terá o tratamento tributário para fundos de longo prazo. A rentabilidade divulgada não é líquida de impostos e taxa.</w:t>
      </w:r>
    </w:p>
    <w:sectPr w:rsidR="004D2977" w:rsidRPr="00531A11" w:rsidSect="00711403">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907" w:header="646"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723FD" w14:textId="77777777" w:rsidR="00E364EA" w:rsidRDefault="00E364EA" w:rsidP="005A20E2">
      <w:pPr>
        <w:spacing w:after="0"/>
      </w:pPr>
      <w:r>
        <w:separator/>
      </w:r>
    </w:p>
    <w:p w14:paraId="4BBC7162" w14:textId="77777777" w:rsidR="00E364EA" w:rsidRDefault="00E364EA"/>
    <w:p w14:paraId="17569997" w14:textId="77777777" w:rsidR="00E364EA" w:rsidRDefault="00E364EA" w:rsidP="009B4773"/>
    <w:p w14:paraId="704EF94A" w14:textId="77777777" w:rsidR="00E364EA" w:rsidRDefault="00E364EA" w:rsidP="00513832"/>
  </w:endnote>
  <w:endnote w:type="continuationSeparator" w:id="0">
    <w:p w14:paraId="460E9C66" w14:textId="77777777" w:rsidR="00E364EA" w:rsidRDefault="00E364EA" w:rsidP="005A20E2">
      <w:pPr>
        <w:spacing w:after="0"/>
      </w:pPr>
      <w:r>
        <w:continuationSeparator/>
      </w:r>
    </w:p>
    <w:p w14:paraId="3992CD52" w14:textId="77777777" w:rsidR="00E364EA" w:rsidRDefault="00E364EA"/>
    <w:p w14:paraId="4FDB9B94" w14:textId="77777777" w:rsidR="00E364EA" w:rsidRDefault="00E364EA" w:rsidP="009B4773"/>
    <w:p w14:paraId="36EC5FF9" w14:textId="77777777" w:rsidR="00E364EA" w:rsidRDefault="00E364EA"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DF222" w14:textId="77777777" w:rsidR="00531A11" w:rsidRDefault="00531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DE44F" w14:textId="77777777" w:rsidR="00262E2E" w:rsidRPr="00262E2E" w:rsidRDefault="00262E2E" w:rsidP="00262E2E">
    <w:pPr>
      <w:tabs>
        <w:tab w:val="left" w:pos="689"/>
      </w:tabs>
      <w:spacing w:before="0" w:after="0"/>
      <w:rPr>
        <w:sz w:val="18"/>
        <w:szCs w:val="16"/>
      </w:rPr>
    </w:pPr>
    <w:r w:rsidRPr="00581B5B">
      <w:rPr>
        <w:noProof/>
        <w:lang w:val="pt-BR"/>
      </w:rPr>
      <mc:AlternateContent>
        <mc:Choice Requires="wps">
          <w:drawing>
            <wp:anchor distT="45720" distB="45720" distL="114300" distR="114300" simplePos="0" relativeHeight="251704320" behindDoc="1" locked="0" layoutInCell="1" allowOverlap="1" wp14:anchorId="7EA3AC9A" wp14:editId="539F9D7F">
              <wp:simplePos x="0" y="0"/>
              <wp:positionH relativeFrom="margin">
                <wp:posOffset>-1843405</wp:posOffset>
              </wp:positionH>
              <wp:positionV relativeFrom="page">
                <wp:align>bottom</wp:align>
              </wp:positionV>
              <wp:extent cx="10058400" cy="1110671"/>
              <wp:effectExtent l="0" t="0" r="0" b="0"/>
              <wp:wrapNone/>
              <wp:docPr id="14"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10671"/>
                      </a:xfrm>
                      <a:prstGeom prst="rect">
                        <a:avLst/>
                      </a:prstGeom>
                      <a:solidFill>
                        <a:srgbClr val="76C6C5">
                          <a:alpha val="10196"/>
                        </a:srgbClr>
                      </a:solidFill>
                      <a:ln w="9525">
                        <a:noFill/>
                        <a:miter lim="800000"/>
                        <a:headEnd/>
                        <a:tailEnd/>
                      </a:ln>
                    </wps:spPr>
                    <wps:txbx>
                      <w:txbxContent>
                        <w:p w14:paraId="4D81F6D8" w14:textId="77777777" w:rsidR="00262E2E" w:rsidRDefault="00262E2E" w:rsidP="00262E2E"/>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EA3AC9A" id="_x0000_t202" coordsize="21600,21600" o:spt="202" path="m,l,21600r21600,l21600,xe">
              <v:stroke joinstyle="miter"/>
              <v:path gradientshapeok="t" o:connecttype="rect"/>
            </v:shapetype>
            <v:shape id="_x0000_s1027" type="#_x0000_t202" alt="&quot;&quot;" style="position:absolute;margin-left:-145.15pt;margin-top:0;width:11in;height:87.45pt;z-index:-251612160;visibility:visible;mso-wrap-style:square;mso-width-percent:0;mso-height-percent:0;mso-wrap-distance-left:9pt;mso-wrap-distance-top:3.6pt;mso-wrap-distance-right:9pt;mso-wrap-distance-bottom:3.6pt;mso-position-horizontal:absolute;mso-position-horizontal-relative:margin;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" fillcolor="#76c6c5" stroked="f">
              <v:fill opacity="6682f"/>
              <v:textbox inset="20mm,8mm">
                <w:txbxContent>
                  <w:p w14:paraId="4D81F6D8" w14:textId="77777777" w:rsidR="00262E2E" w:rsidRDefault="00262E2E" w:rsidP="00262E2E"/>
                </w:txbxContent>
              </v:textbox>
              <w10:wrap anchorx="margin" anchory="page"/>
            </v:shape>
          </w:pict>
        </mc:Fallback>
      </mc:AlternateConten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6236"/>
      <w:gridCol w:w="1985"/>
    </w:tblGrid>
    <w:tr w:rsidR="00FE48A9" w:rsidRPr="00531A11" w14:paraId="149D9695" w14:textId="77777777" w:rsidTr="009C2B6B">
      <w:tc>
        <w:tcPr>
          <w:tcW w:w="2268" w:type="dxa"/>
          <w:vAlign w:val="center"/>
        </w:tcPr>
        <w:p w14:paraId="5EFC946C" w14:textId="7E162CF0" w:rsidR="00FE48A9" w:rsidRPr="00F33E2E" w:rsidRDefault="00FE48A9" w:rsidP="007D451E">
          <w:pPr>
            <w:pStyle w:val="Footer"/>
            <w:pBdr>
              <w:top w:val="none" w:sz="0" w:space="0" w:color="auto"/>
            </w:pBdr>
            <w:spacing w:before="0"/>
            <w:jc w:val="center"/>
            <w:rPr>
              <w:lang w:val="pt-BR"/>
            </w:rPr>
          </w:pPr>
          <w:r>
            <w:drawing>
              <wp:inline xmlns:a="http://schemas.openxmlformats.org/drawingml/2006/main" xmlns:pic="http://schemas.openxmlformats.org/drawingml/2006/picture">
                <wp:extent cx="629712" cy="360000"/>
                <wp:docPr id="15" name="Picture 15"/>
                <wp:cNvGraphicFramePr>
                  <a:graphicFrameLocks noChangeAspect="1"/>
                </wp:cNvGraphicFramePr>
                <a:graphic>
                  <a:graphicData uri="http://schemas.openxmlformats.org/drawingml/2006/picture">
                    <pic:pic>
                      <pic:nvPicPr>
                        <pic:cNvPr id="0" name="anbima.png"/>
                        <pic:cNvPicPr/>
                      </pic:nvPicPr>
                      <pic:blipFill>
                        <a:blip r:embed="rId1"/>
                        <a:stretch>
                          <a:fillRect/>
                        </a:stretch>
                      </pic:blipFill>
                      <pic:spPr>
                        <a:xfrm>
                          <a:off x="0" y="0"/>
                          <a:ext cx="629712" cy="360000"/>
                        </a:xfrm>
                        <a:prstGeom prst="rect"/>
                      </pic:spPr>
                    </pic:pic>
                  </a:graphicData>
                </a:graphic>
              </wp:inline>
            </w:drawing>
          </w:r>
        </w:p>
      </w:tc>
      <w:tc>
        <w:tcPr>
          <w:tcW w:w="5669" w:type="dxa"/>
          <w:vAlign w:val="center"/>
        </w:tcPr>
        <w:p w14:paraId="57DE772C" w14:textId="1417866C" w:rsidR="00FE48A9" w:rsidRPr="00F33E2E" w:rsidRDefault="00FE48A9" w:rsidP="00262E2E">
          <w:pPr>
            <w:spacing w:before="0" w:after="0"/>
            <w:jc w:val="center"/>
            <w:rPr>
              <w:color w:val="7F7F7F" w:themeColor="text1" w:themeTint="80"/>
              <w:sz w:val="18"/>
              <w:szCs w:val="18"/>
              <w:lang w:val="pt-BR"/>
            </w:rPr>
          </w:pPr>
          <w:r>
            <w:rPr>
              <w:rFonts w:ascii="Arial" w:hAnsi="Arial"/>
              <w:color w:val="7F7F7F"/>
              <w:sz w:val="18"/>
            </w:rPr>
            <w:t>PORTO REAL ASSET</w:t>
            <w:br/>
            <w:t>Av. São Gabriel 301 – 2º andar – Itaim Bibi – São Paulo (SP)</w:t>
            <w:br/>
          </w:r>
          <w:r>
            <w:rPr>
              <w:rFonts w:ascii="Arial" w:hAnsi="Arial"/>
              <w:color w:val="000000"/>
              <w:sz w:val="18"/>
              <w:u w:val="single"/>
            </w:rPr>
            <w:t>contato@portorealasset.com.br</w:t>
          </w:r>
        </w:p>
      </w:tc>
      <w:tc>
        <w:tcPr>
          <w:tcW w:w="2268" w:type="dxa"/>
          <w:vAlign w:val="center"/>
        </w:tcPr>
        <w:p w14:paraId="27737D60" w14:textId="154D498E" w:rsidR="00FE48A9" w:rsidRPr="007D451E" w:rsidRDefault="00FE48A9" w:rsidP="00531A11">
          <w:pPr>
            <w:pStyle w:val="Footer"/>
            <w:pBdr>
              <w:top w:val="none" w:sz="0" w:space="0" w:color="auto"/>
            </w:pBdr>
            <w:spacing w:before="0"/>
            <w:jc w:val="right"/>
            <w:rPr>
              <w:lang w:val="pt-BR"/>
            </w:rPr>
          </w:pPr>
          <w:r>
            <w:rPr>
              <w:rFonts w:ascii="Arial" w:hAnsi="Arial"/>
              <w:color w:val="595959"/>
              <w:sz w:val="16"/>
            </w:rPr>
            <w:t>Documento estritamente privado e confidencial</w:t>
          </w:r>
        </w:p>
        <w:p>
          <w:pPr>
            <w:jc w:val="right"/>
          </w:pPr>
          <w:r>
            <w:rPr>
              <w:rFonts w:ascii="Arial" w:hAnsi="Arial"/>
              <w:color w:val="595959"/>
              <w:sz w:val="16"/>
            </w:rPr>
            <w:t xml:space="preserve">Página </w:t>
          </w:r>
          <w:r>
            <w:rPr>
              <w:rFonts w:ascii="Arial" w:hAnsi="Arial"/>
              <w:color w:val="595959"/>
              <w:sz w:val="16"/>
            </w:rPr>
            <w:fldChar w:fldCharType="begin"/>
            <w:instrText xml:space="preserve">PAGE</w:instrText>
            <w:fldChar w:fldCharType="end"/>
          </w:r>
          <w:r>
            <w:rPr>
              <w:rFonts w:ascii="Arial" w:hAnsi="Arial"/>
              <w:color w:val="595959"/>
              <w:sz w:val="16"/>
            </w:rPr>
            <w:t xml:space="preserve"> de </w:t>
          </w:r>
          <w:r>
            <w:rPr>
              <w:rFonts w:ascii="Arial" w:hAnsi="Arial"/>
              <w:color w:val="595959"/>
              <w:sz w:val="16"/>
            </w:rPr>
            <w:fldChar w:fldCharType="begin"/>
            <w:instrText xml:space="preserve">NUMPAGES</w:instrText>
            <w:fldChar w:fldCharType="end"/>
          </w:r>
        </w:p>
      </w:tc>
    </w:tr>
  </w:tbl>
  <w:p w14:paraId="7CA68946" w14:textId="77777777" w:rsidR="009020F4" w:rsidRPr="0009762F" w:rsidRDefault="009020F4" w:rsidP="0009762F">
    <w:pPr>
      <w:spacing w:after="0"/>
      <w:rPr>
        <w:sz w:val="2"/>
        <w:szCs w:val="2"/>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89699"/>
      <w:docPartObj>
        <w:docPartGallery w:val="Page Numbers (Bottom of Page)"/>
        <w:docPartUnique/>
      </w:docPartObj>
    </w:sdtPr>
    <w:sdtEndPr>
      <w:rPr>
        <w:noProof/>
      </w:rPr>
    </w:sdtEndPr>
    <w:sdtContent>
      <w:sdt>
        <w:sdtPr>
          <w:id w:val="724266714"/>
          <w:docPartObj>
            <w:docPartGallery w:val="Page Numbers (Bottom of Page)"/>
            <w:docPartUnique/>
          </w:docPartObj>
        </w:sdtPr>
        <w:sdtEndPr>
          <w:rPr>
            <w:noProof/>
          </w:rPr>
        </w:sdtEndPr>
        <w:sdtContent>
          <w:p w14:paraId="1FF8625D" w14:textId="77777777" w:rsidR="007D2C96" w:rsidRDefault="007D2C9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16E257DD" w14:textId="77777777" w:rsidR="007D2C96" w:rsidRDefault="00000000"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B67B3" w14:textId="77777777" w:rsidR="00E364EA" w:rsidRDefault="00E364EA" w:rsidP="005A20E2">
      <w:pPr>
        <w:spacing w:after="0"/>
      </w:pPr>
      <w:r>
        <w:separator/>
      </w:r>
    </w:p>
    <w:p w14:paraId="415616E4" w14:textId="77777777" w:rsidR="00E364EA" w:rsidRDefault="00E364EA"/>
    <w:p w14:paraId="1EB91301" w14:textId="77777777" w:rsidR="00E364EA" w:rsidRDefault="00E364EA" w:rsidP="009B4773"/>
    <w:p w14:paraId="3D1ACF9A" w14:textId="77777777" w:rsidR="00E364EA" w:rsidRDefault="00E364EA" w:rsidP="00513832"/>
  </w:footnote>
  <w:footnote w:type="continuationSeparator" w:id="0">
    <w:p w14:paraId="7FCD2D24" w14:textId="77777777" w:rsidR="00E364EA" w:rsidRDefault="00E364EA" w:rsidP="005A20E2">
      <w:pPr>
        <w:spacing w:after="0"/>
      </w:pPr>
      <w:r>
        <w:continuationSeparator/>
      </w:r>
    </w:p>
    <w:p w14:paraId="7D49AFBE" w14:textId="77777777" w:rsidR="00E364EA" w:rsidRDefault="00E364EA"/>
    <w:p w14:paraId="0EE7FAFF" w14:textId="77777777" w:rsidR="00E364EA" w:rsidRDefault="00E364EA" w:rsidP="009B4773"/>
    <w:p w14:paraId="7494BC8F" w14:textId="77777777" w:rsidR="00E364EA" w:rsidRDefault="00E364EA"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6A01D" w14:textId="77777777" w:rsidR="00531A11" w:rsidRDefault="00531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407"/>
    </w:tblGrid>
    <w:tr w:rsidR="0003454C" w14:paraId="1C1A8EB9" w14:textId="77777777" w:rsidTr="006C617D">
      <w:tc>
        <w:tcPr>
          <w:tcW w:w="6663" w:type="dxa"/>
        </w:tcPr>
        <w:p w14:paraId="3E9BEB1E" w14:textId="75AF6428" w:rsidR="0003454C" w:rsidRDefault="0003454C" w:rsidP="0003123C">
          <w:pPr>
            <w:pStyle w:val="Header"/>
            <w:spacing w:before="0"/>
            <w:rPr>
              <w:rFonts w:asciiTheme="majorHAnsi" w:hAnsiTheme="majorHAnsi"/>
              <w:b/>
              <w:color w:val="107082" w:themeColor="accent2"/>
              <w:sz w:val="28"/>
              <w:lang w:val="pt-BR"/>
            </w:rPr>
          </w:pPr>
          <w:r/>
          <w:r>
            <w:rPr>
              <w:rFonts w:ascii="Gill Sans MT" w:hAnsi="Gill Sans MT"/>
              <w:b/>
              <w:color w:val="107082"/>
              <w:sz w:val="28"/>
            </w:rPr>
            <w:t>LÂMINA DE PERFORMANCE E ESTOQUE</w:t>
          </w:r>
          <w:r>
            <w:br/>
          </w:r>
          <w:r>
            <w:rPr>
              <w:rFonts w:ascii="Arial" w:hAnsi="Arial"/>
              <w:i/>
              <w:color w:val="262626"/>
              <w:sz w:val="24"/>
            </w:rPr>
            <w:t>Outubro 2025</w:t>
          </w:r>
        </w:p>
      </w:tc>
      <w:tc>
        <w:tcPr>
          <w:tcW w:w="3407" w:type="dxa"/>
          <w:vMerge w:val="restart"/>
          <w:vAlign w:val="center"/>
        </w:tcPr>
        <w:p w14:paraId="7E97AED1" w14:textId="36AE232C" w:rsidR="0003454C" w:rsidRDefault="002E391B" w:rsidP="00BC345A">
          <w:pPr>
            <w:pStyle w:val="Header"/>
            <w:spacing w:before="0"/>
            <w:jc w:val="right"/>
            <w:rPr>
              <w:rFonts w:asciiTheme="majorHAnsi" w:hAnsiTheme="majorHAnsi"/>
              <w:b/>
              <w:color w:val="107082" w:themeColor="accent2"/>
              <w:sz w:val="28"/>
              <w:lang w:val="pt-BR"/>
            </w:rPr>
          </w:pPr>
          <w:r/>
          <w:r>
            <w:drawing>
              <wp:inline xmlns:a="http://schemas.openxmlformats.org/drawingml/2006/main" xmlns:pic="http://schemas.openxmlformats.org/drawingml/2006/picture">
                <wp:extent cx="1774800" cy="541314"/>
                <wp:docPr id="907020630" name="Picture 907020630"/>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774800" cy="541314"/>
                        </a:xfrm>
                        <a:prstGeom prst="rect"/>
                      </pic:spPr>
                    </pic:pic>
                  </a:graphicData>
                </a:graphic>
              </wp:inline>
            </w:drawing>
          </w:r>
        </w:p>
      </w:tc>
    </w:tr>
    <w:tr w:rsidR="0003454C" w14:paraId="6CC0A7FA" w14:textId="77777777" w:rsidTr="006C617D">
      <w:tc>
        <w:tcPr>
          <w:tcW w:w="6663" w:type="dxa"/>
        </w:tcPr>
        <w:p w14:paraId="41E2205B" w14:textId="16D86D1F" w:rsidR="0003454C" w:rsidRPr="003F0477" w:rsidRDefault="0003454C" w:rsidP="0003123C">
          <w:pPr>
            <w:pStyle w:val="Header"/>
            <w:spacing w:before="0"/>
            <w:rPr>
              <w:rFonts w:asciiTheme="majorHAnsi" w:hAnsiTheme="majorHAnsi"/>
              <w:b/>
              <w:color w:val="107082" w:themeColor="accent2"/>
              <w:sz w:val="28"/>
              <w:lang w:val="pt-BR"/>
            </w:rPr>
          </w:pPr>
        </w:p>
      </w:tc>
      <w:tc>
        <w:tcPr>
          <w:tcW w:w="3407" w:type="dxa"/>
          <w:vMerge/>
        </w:tcPr>
        <w:p w14:paraId="1B001209" w14:textId="77777777" w:rsidR="0003454C" w:rsidRDefault="0003454C" w:rsidP="0003123C">
          <w:pPr>
            <w:pStyle w:val="Header"/>
            <w:spacing w:before="0"/>
            <w:rPr>
              <w:rFonts w:asciiTheme="majorHAnsi" w:hAnsiTheme="majorHAnsi"/>
              <w:b/>
              <w:color w:val="107082" w:themeColor="accent2"/>
              <w:sz w:val="28"/>
              <w:lang w:val="pt-BR"/>
            </w:rPr>
          </w:pPr>
        </w:p>
      </w:tc>
    </w:tr>
  </w:tbl>
  <w:p w14:paraId="35F91151" w14:textId="07DF0992" w:rsidR="00DA5F99" w:rsidRPr="00581B5B" w:rsidRDefault="00DA5F99" w:rsidP="0003123C">
    <w:pPr>
      <w:pStyle w:val="Header"/>
      <w:spacing w:before="0"/>
      <w:rPr>
        <w:lang w:val="pt-BR"/>
      </w:rPr>
    </w:pPr>
    <w:r w:rsidRPr="00581B5B">
      <w:rPr>
        <w:noProof/>
        <w:lang w:val="pt-BR"/>
      </w:rPr>
      <mc:AlternateContent>
        <mc:Choice Requires="wps">
          <w:drawing>
            <wp:anchor distT="45720" distB="45720" distL="114300" distR="114300" simplePos="0" relativeHeight="251702272" behindDoc="1" locked="0" layoutInCell="1" allowOverlap="1" wp14:anchorId="3E24A7D2" wp14:editId="3167DCE5">
              <wp:simplePos x="0" y="0"/>
              <wp:positionH relativeFrom="page">
                <wp:align>center</wp:align>
              </wp:positionH>
              <wp:positionV relativeFrom="page">
                <wp:align>top</wp:align>
              </wp:positionV>
              <wp:extent cx="10058400" cy="1143000"/>
              <wp:effectExtent l="0" t="0" r="0" b="0"/>
              <wp:wrapNone/>
              <wp:docPr id="90702062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76C6C5">
                          <a:alpha val="10196"/>
                        </a:srgbClr>
                      </a:solidFill>
                      <a:ln w="9525">
                        <a:noFill/>
                        <a:miter lim="800000"/>
                        <a:headEnd/>
                        <a:tailEnd/>
                      </a:ln>
                    </wps:spPr>
                    <wps:txbx>
                      <w:txbxContent>
                        <w:p w14:paraId="6348CE72" w14:textId="77777777" w:rsidR="00DA5F99" w:rsidRDefault="00DA5F99"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E24A7D2"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1420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" fillcolor="#76c6c5" stroked="f">
              <v:fill opacity="6682f"/>
              <v:textbox inset="20mm,8mm">
                <w:txbxContent>
                  <w:p w14:paraId="6348CE72" w14:textId="77777777" w:rsidR="00DA5F99" w:rsidRDefault="00DA5F99" w:rsidP="0003123C"/>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4EAF1" w14:textId="77777777" w:rsidR="00531A11" w:rsidRDefault="00531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2C729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4B53C5"/>
    <w:multiLevelType w:val="hybridMultilevel"/>
    <w:tmpl w:val="E2402E06"/>
    <w:lvl w:ilvl="0" w:tplc="AC0A954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224B06"/>
    <w:multiLevelType w:val="hybridMultilevel"/>
    <w:tmpl w:val="077ECA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7655F9"/>
    <w:multiLevelType w:val="hybridMultilevel"/>
    <w:tmpl w:val="50E6E748"/>
    <w:lvl w:ilvl="0" w:tplc="AC0A954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F614C8"/>
    <w:multiLevelType w:val="hybridMultilevel"/>
    <w:tmpl w:val="C33C8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E5B497C"/>
    <w:multiLevelType w:val="hybridMultilevel"/>
    <w:tmpl w:val="DDCE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735DCE"/>
    <w:multiLevelType w:val="hybridMultilevel"/>
    <w:tmpl w:val="F1002F90"/>
    <w:lvl w:ilvl="0" w:tplc="AC0A954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347ED1"/>
    <w:multiLevelType w:val="hybridMultilevel"/>
    <w:tmpl w:val="77A4424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59372">
    <w:abstractNumId w:val="32"/>
  </w:num>
  <w:num w:numId="2" w16cid:durableId="1421104680">
    <w:abstractNumId w:val="41"/>
  </w:num>
  <w:num w:numId="3" w16cid:durableId="150949163">
    <w:abstractNumId w:val="18"/>
  </w:num>
  <w:num w:numId="4" w16cid:durableId="527718369">
    <w:abstractNumId w:val="28"/>
  </w:num>
  <w:num w:numId="5" w16cid:durableId="1726224027">
    <w:abstractNumId w:val="14"/>
  </w:num>
  <w:num w:numId="6" w16cid:durableId="697893202">
    <w:abstractNumId w:val="8"/>
  </w:num>
  <w:num w:numId="7" w16cid:durableId="174417966">
    <w:abstractNumId w:val="40"/>
  </w:num>
  <w:num w:numId="8" w16cid:durableId="840002160">
    <w:abstractNumId w:val="13"/>
  </w:num>
  <w:num w:numId="9" w16cid:durableId="1920866986">
    <w:abstractNumId w:val="42"/>
  </w:num>
  <w:num w:numId="10" w16cid:durableId="1182547498">
    <w:abstractNumId w:val="37"/>
  </w:num>
  <w:num w:numId="11" w16cid:durableId="1507599649">
    <w:abstractNumId w:val="4"/>
  </w:num>
  <w:num w:numId="12" w16cid:durableId="1206680002">
    <w:abstractNumId w:val="11"/>
  </w:num>
  <w:num w:numId="13" w16cid:durableId="222717805">
    <w:abstractNumId w:val="17"/>
  </w:num>
  <w:num w:numId="14" w16cid:durableId="799958533">
    <w:abstractNumId w:val="26"/>
  </w:num>
  <w:num w:numId="15" w16cid:durableId="1627814783">
    <w:abstractNumId w:val="21"/>
  </w:num>
  <w:num w:numId="16" w16cid:durableId="391394174">
    <w:abstractNumId w:val="7"/>
  </w:num>
  <w:num w:numId="17" w16cid:durableId="2132049762">
    <w:abstractNumId w:val="30"/>
  </w:num>
  <w:num w:numId="18" w16cid:durableId="1760904864">
    <w:abstractNumId w:val="44"/>
  </w:num>
  <w:num w:numId="19" w16cid:durableId="515771933">
    <w:abstractNumId w:val="10"/>
  </w:num>
  <w:num w:numId="20" w16cid:durableId="477692425">
    <w:abstractNumId w:val="35"/>
  </w:num>
  <w:num w:numId="21" w16cid:durableId="1968050238">
    <w:abstractNumId w:val="12"/>
  </w:num>
  <w:num w:numId="22" w16cid:durableId="1472944471">
    <w:abstractNumId w:val="22"/>
  </w:num>
  <w:num w:numId="23" w16cid:durableId="116989178">
    <w:abstractNumId w:val="24"/>
  </w:num>
  <w:num w:numId="24" w16cid:durableId="1328439805">
    <w:abstractNumId w:val="20"/>
  </w:num>
  <w:num w:numId="25" w16cid:durableId="1487431694">
    <w:abstractNumId w:val="23"/>
  </w:num>
  <w:num w:numId="26" w16cid:durableId="1490755113">
    <w:abstractNumId w:val="9"/>
  </w:num>
  <w:num w:numId="27" w16cid:durableId="922835146">
    <w:abstractNumId w:val="38"/>
  </w:num>
  <w:num w:numId="28" w16cid:durableId="793018116">
    <w:abstractNumId w:val="16"/>
  </w:num>
  <w:num w:numId="29" w16cid:durableId="734746450">
    <w:abstractNumId w:val="6"/>
  </w:num>
  <w:num w:numId="30" w16cid:durableId="2060203586">
    <w:abstractNumId w:val="19"/>
  </w:num>
  <w:num w:numId="31" w16cid:durableId="2019505840">
    <w:abstractNumId w:val="5"/>
  </w:num>
  <w:num w:numId="32" w16cid:durableId="1752502460">
    <w:abstractNumId w:val="34"/>
  </w:num>
  <w:num w:numId="33" w16cid:durableId="1427574313">
    <w:abstractNumId w:val="36"/>
  </w:num>
  <w:num w:numId="34" w16cid:durableId="769155558">
    <w:abstractNumId w:val="3"/>
  </w:num>
  <w:num w:numId="35" w16cid:durableId="1761217905">
    <w:abstractNumId w:val="1"/>
  </w:num>
  <w:num w:numId="36" w16cid:durableId="1492059762">
    <w:abstractNumId w:val="2"/>
  </w:num>
  <w:num w:numId="37" w16cid:durableId="496919808">
    <w:abstractNumId w:val="0"/>
  </w:num>
  <w:num w:numId="38" w16cid:durableId="36008403">
    <w:abstractNumId w:val="39"/>
  </w:num>
  <w:num w:numId="39" w16cid:durableId="1318419341">
    <w:abstractNumId w:val="31"/>
  </w:num>
  <w:num w:numId="40" w16cid:durableId="716703330">
    <w:abstractNumId w:val="27"/>
  </w:num>
  <w:num w:numId="41" w16cid:durableId="482894903">
    <w:abstractNumId w:val="15"/>
  </w:num>
  <w:num w:numId="42" w16cid:durableId="1937790446">
    <w:abstractNumId w:val="33"/>
  </w:num>
  <w:num w:numId="43" w16cid:durableId="11303554">
    <w:abstractNumId w:val="29"/>
  </w:num>
  <w:num w:numId="44" w16cid:durableId="283082314">
    <w:abstractNumId w:val="25"/>
  </w:num>
  <w:num w:numId="45" w16cid:durableId="1684238720">
    <w:abstractNumId w:val="4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56"/>
    <w:rsid w:val="0000092E"/>
    <w:rsid w:val="00001CB0"/>
    <w:rsid w:val="00003408"/>
    <w:rsid w:val="00012A83"/>
    <w:rsid w:val="00017C3C"/>
    <w:rsid w:val="00021F2E"/>
    <w:rsid w:val="0002411D"/>
    <w:rsid w:val="00026EAE"/>
    <w:rsid w:val="0003123C"/>
    <w:rsid w:val="00032A10"/>
    <w:rsid w:val="0003454C"/>
    <w:rsid w:val="00043FFE"/>
    <w:rsid w:val="00044074"/>
    <w:rsid w:val="0004430C"/>
    <w:rsid w:val="00051A24"/>
    <w:rsid w:val="000612A6"/>
    <w:rsid w:val="00061D1F"/>
    <w:rsid w:val="00066DE2"/>
    <w:rsid w:val="00071992"/>
    <w:rsid w:val="000720E0"/>
    <w:rsid w:val="00075E39"/>
    <w:rsid w:val="00077931"/>
    <w:rsid w:val="000811A0"/>
    <w:rsid w:val="00084E91"/>
    <w:rsid w:val="0008568C"/>
    <w:rsid w:val="000900B6"/>
    <w:rsid w:val="00090ACB"/>
    <w:rsid w:val="00095A47"/>
    <w:rsid w:val="00095AB5"/>
    <w:rsid w:val="00096BE1"/>
    <w:rsid w:val="0009762F"/>
    <w:rsid w:val="000A649E"/>
    <w:rsid w:val="000A7626"/>
    <w:rsid w:val="000B1B5F"/>
    <w:rsid w:val="000B5DA2"/>
    <w:rsid w:val="000B6224"/>
    <w:rsid w:val="000C1C28"/>
    <w:rsid w:val="000C5872"/>
    <w:rsid w:val="000E0979"/>
    <w:rsid w:val="000E1544"/>
    <w:rsid w:val="00100314"/>
    <w:rsid w:val="00103BFA"/>
    <w:rsid w:val="001155CE"/>
    <w:rsid w:val="00121F6B"/>
    <w:rsid w:val="001225D9"/>
    <w:rsid w:val="00124370"/>
    <w:rsid w:val="00160392"/>
    <w:rsid w:val="00180DFE"/>
    <w:rsid w:val="00194301"/>
    <w:rsid w:val="001A1BC3"/>
    <w:rsid w:val="001A5429"/>
    <w:rsid w:val="001D09A9"/>
    <w:rsid w:val="001D1C22"/>
    <w:rsid w:val="001D59C9"/>
    <w:rsid w:val="001E11F1"/>
    <w:rsid w:val="001E1E58"/>
    <w:rsid w:val="001E762D"/>
    <w:rsid w:val="001F6DF9"/>
    <w:rsid w:val="00203CE1"/>
    <w:rsid w:val="0020526F"/>
    <w:rsid w:val="002066C8"/>
    <w:rsid w:val="00206719"/>
    <w:rsid w:val="002143E0"/>
    <w:rsid w:val="00223259"/>
    <w:rsid w:val="00225BBB"/>
    <w:rsid w:val="00234FE7"/>
    <w:rsid w:val="00235BED"/>
    <w:rsid w:val="00240312"/>
    <w:rsid w:val="00246858"/>
    <w:rsid w:val="00247B17"/>
    <w:rsid w:val="00252E4A"/>
    <w:rsid w:val="00260C10"/>
    <w:rsid w:val="00262E2E"/>
    <w:rsid w:val="002642A8"/>
    <w:rsid w:val="002651A9"/>
    <w:rsid w:val="00272DED"/>
    <w:rsid w:val="00281D33"/>
    <w:rsid w:val="00294D9A"/>
    <w:rsid w:val="002A137B"/>
    <w:rsid w:val="002A5D7C"/>
    <w:rsid w:val="002C3292"/>
    <w:rsid w:val="002D4AFA"/>
    <w:rsid w:val="002D5AFC"/>
    <w:rsid w:val="002E391B"/>
    <w:rsid w:val="00303DF9"/>
    <w:rsid w:val="003062C0"/>
    <w:rsid w:val="0031130D"/>
    <w:rsid w:val="00314A6F"/>
    <w:rsid w:val="003265E9"/>
    <w:rsid w:val="00326B44"/>
    <w:rsid w:val="00334394"/>
    <w:rsid w:val="00347AF5"/>
    <w:rsid w:val="00360C82"/>
    <w:rsid w:val="00360F98"/>
    <w:rsid w:val="00362478"/>
    <w:rsid w:val="00364758"/>
    <w:rsid w:val="00370AB8"/>
    <w:rsid w:val="00374421"/>
    <w:rsid w:val="00395BAF"/>
    <w:rsid w:val="00396142"/>
    <w:rsid w:val="003B42F6"/>
    <w:rsid w:val="003B5758"/>
    <w:rsid w:val="003C747B"/>
    <w:rsid w:val="003D59A7"/>
    <w:rsid w:val="003E78A7"/>
    <w:rsid w:val="003F0477"/>
    <w:rsid w:val="003F0714"/>
    <w:rsid w:val="003F13B0"/>
    <w:rsid w:val="003F5F4A"/>
    <w:rsid w:val="004020D0"/>
    <w:rsid w:val="00402F6A"/>
    <w:rsid w:val="00403423"/>
    <w:rsid w:val="00412CEE"/>
    <w:rsid w:val="00414C3D"/>
    <w:rsid w:val="00415C88"/>
    <w:rsid w:val="00422669"/>
    <w:rsid w:val="00423C21"/>
    <w:rsid w:val="004254C8"/>
    <w:rsid w:val="004262DD"/>
    <w:rsid w:val="0042646F"/>
    <w:rsid w:val="00435096"/>
    <w:rsid w:val="00436022"/>
    <w:rsid w:val="004411FB"/>
    <w:rsid w:val="00443212"/>
    <w:rsid w:val="00452DC0"/>
    <w:rsid w:val="00470BC3"/>
    <w:rsid w:val="00472B1D"/>
    <w:rsid w:val="00474166"/>
    <w:rsid w:val="004840AD"/>
    <w:rsid w:val="004905BB"/>
    <w:rsid w:val="00493EC0"/>
    <w:rsid w:val="00495909"/>
    <w:rsid w:val="004A3055"/>
    <w:rsid w:val="004B2B93"/>
    <w:rsid w:val="004B5251"/>
    <w:rsid w:val="004B5779"/>
    <w:rsid w:val="004C7B3E"/>
    <w:rsid w:val="004D0825"/>
    <w:rsid w:val="004D14B3"/>
    <w:rsid w:val="004D2977"/>
    <w:rsid w:val="004D6477"/>
    <w:rsid w:val="004E67B3"/>
    <w:rsid w:val="00513832"/>
    <w:rsid w:val="00526C37"/>
    <w:rsid w:val="00531A11"/>
    <w:rsid w:val="00532652"/>
    <w:rsid w:val="00533047"/>
    <w:rsid w:val="00541694"/>
    <w:rsid w:val="0056286C"/>
    <w:rsid w:val="00577B45"/>
    <w:rsid w:val="00581B5B"/>
    <w:rsid w:val="005919AF"/>
    <w:rsid w:val="0059571D"/>
    <w:rsid w:val="005A20E2"/>
    <w:rsid w:val="005B3466"/>
    <w:rsid w:val="005B3E33"/>
    <w:rsid w:val="005B6A1A"/>
    <w:rsid w:val="005B7697"/>
    <w:rsid w:val="005C2194"/>
    <w:rsid w:val="005D2146"/>
    <w:rsid w:val="005E3F21"/>
    <w:rsid w:val="005F44DA"/>
    <w:rsid w:val="005F6388"/>
    <w:rsid w:val="0060110B"/>
    <w:rsid w:val="00614026"/>
    <w:rsid w:val="00626FD8"/>
    <w:rsid w:val="006303C4"/>
    <w:rsid w:val="006329E1"/>
    <w:rsid w:val="00633E73"/>
    <w:rsid w:val="00644ECF"/>
    <w:rsid w:val="006458C3"/>
    <w:rsid w:val="0065229E"/>
    <w:rsid w:val="00655308"/>
    <w:rsid w:val="00664450"/>
    <w:rsid w:val="00664C68"/>
    <w:rsid w:val="006653CB"/>
    <w:rsid w:val="00670C93"/>
    <w:rsid w:val="006762F6"/>
    <w:rsid w:val="006825C4"/>
    <w:rsid w:val="00682CAF"/>
    <w:rsid w:val="00690742"/>
    <w:rsid w:val="006936EB"/>
    <w:rsid w:val="00695777"/>
    <w:rsid w:val="006A359E"/>
    <w:rsid w:val="006B2383"/>
    <w:rsid w:val="006C07E8"/>
    <w:rsid w:val="006C0DC6"/>
    <w:rsid w:val="006C42CF"/>
    <w:rsid w:val="006C52A4"/>
    <w:rsid w:val="006C617D"/>
    <w:rsid w:val="006D0144"/>
    <w:rsid w:val="006E3FC8"/>
    <w:rsid w:val="006E4DF8"/>
    <w:rsid w:val="006F1C41"/>
    <w:rsid w:val="00700A3F"/>
    <w:rsid w:val="00705158"/>
    <w:rsid w:val="00711403"/>
    <w:rsid w:val="007134FC"/>
    <w:rsid w:val="007157EF"/>
    <w:rsid w:val="00717AD8"/>
    <w:rsid w:val="00722043"/>
    <w:rsid w:val="0073193C"/>
    <w:rsid w:val="0073670F"/>
    <w:rsid w:val="007369CC"/>
    <w:rsid w:val="00740FCE"/>
    <w:rsid w:val="00750877"/>
    <w:rsid w:val="00753E67"/>
    <w:rsid w:val="00754986"/>
    <w:rsid w:val="00754B10"/>
    <w:rsid w:val="0076068B"/>
    <w:rsid w:val="00783073"/>
    <w:rsid w:val="00791F57"/>
    <w:rsid w:val="00795170"/>
    <w:rsid w:val="007B17C4"/>
    <w:rsid w:val="007B1F5A"/>
    <w:rsid w:val="007B341F"/>
    <w:rsid w:val="007B3AB6"/>
    <w:rsid w:val="007B5AFF"/>
    <w:rsid w:val="007C07AC"/>
    <w:rsid w:val="007C136F"/>
    <w:rsid w:val="007C5AF4"/>
    <w:rsid w:val="007D2C96"/>
    <w:rsid w:val="007D36E9"/>
    <w:rsid w:val="007D451E"/>
    <w:rsid w:val="007D5767"/>
    <w:rsid w:val="007F793B"/>
    <w:rsid w:val="00800F8E"/>
    <w:rsid w:val="00812A42"/>
    <w:rsid w:val="00813EC8"/>
    <w:rsid w:val="00817F8C"/>
    <w:rsid w:val="00820E51"/>
    <w:rsid w:val="0083428B"/>
    <w:rsid w:val="008403C2"/>
    <w:rsid w:val="008422E6"/>
    <w:rsid w:val="0084284E"/>
    <w:rsid w:val="00863B11"/>
    <w:rsid w:val="0086725B"/>
    <w:rsid w:val="00874E0D"/>
    <w:rsid w:val="00876F99"/>
    <w:rsid w:val="008820B3"/>
    <w:rsid w:val="00882D31"/>
    <w:rsid w:val="00886169"/>
    <w:rsid w:val="0089181A"/>
    <w:rsid w:val="008965F6"/>
    <w:rsid w:val="008A2B5E"/>
    <w:rsid w:val="008A5002"/>
    <w:rsid w:val="008A5A73"/>
    <w:rsid w:val="008B4BAD"/>
    <w:rsid w:val="008D3386"/>
    <w:rsid w:val="008D5536"/>
    <w:rsid w:val="008E2EB8"/>
    <w:rsid w:val="008E3A18"/>
    <w:rsid w:val="008E742C"/>
    <w:rsid w:val="008F704C"/>
    <w:rsid w:val="0090206C"/>
    <w:rsid w:val="009020F4"/>
    <w:rsid w:val="00902998"/>
    <w:rsid w:val="00912C1B"/>
    <w:rsid w:val="0092125E"/>
    <w:rsid w:val="00924319"/>
    <w:rsid w:val="00930F56"/>
    <w:rsid w:val="009500FA"/>
    <w:rsid w:val="00952A7A"/>
    <w:rsid w:val="00974BF8"/>
    <w:rsid w:val="00974DD3"/>
    <w:rsid w:val="009777EB"/>
    <w:rsid w:val="009778A3"/>
    <w:rsid w:val="00986064"/>
    <w:rsid w:val="0099688C"/>
    <w:rsid w:val="009A15ED"/>
    <w:rsid w:val="009A3B33"/>
    <w:rsid w:val="009A42B0"/>
    <w:rsid w:val="009A45A0"/>
    <w:rsid w:val="009B35B5"/>
    <w:rsid w:val="009B4773"/>
    <w:rsid w:val="009C2B6B"/>
    <w:rsid w:val="009D2556"/>
    <w:rsid w:val="009E30F6"/>
    <w:rsid w:val="009F41A6"/>
    <w:rsid w:val="009F5B70"/>
    <w:rsid w:val="00A00E11"/>
    <w:rsid w:val="00A06CEF"/>
    <w:rsid w:val="00A13027"/>
    <w:rsid w:val="00A146FF"/>
    <w:rsid w:val="00A162A9"/>
    <w:rsid w:val="00A25CD6"/>
    <w:rsid w:val="00A41799"/>
    <w:rsid w:val="00A55786"/>
    <w:rsid w:val="00A630FD"/>
    <w:rsid w:val="00A70872"/>
    <w:rsid w:val="00A74908"/>
    <w:rsid w:val="00A8484D"/>
    <w:rsid w:val="00A8609A"/>
    <w:rsid w:val="00A91213"/>
    <w:rsid w:val="00A960DC"/>
    <w:rsid w:val="00A97B72"/>
    <w:rsid w:val="00AA29B1"/>
    <w:rsid w:val="00AA3987"/>
    <w:rsid w:val="00AA66D7"/>
    <w:rsid w:val="00AC100C"/>
    <w:rsid w:val="00AC249E"/>
    <w:rsid w:val="00AC3653"/>
    <w:rsid w:val="00AC4859"/>
    <w:rsid w:val="00AC7337"/>
    <w:rsid w:val="00AC76AD"/>
    <w:rsid w:val="00AE0241"/>
    <w:rsid w:val="00AE5008"/>
    <w:rsid w:val="00B225BE"/>
    <w:rsid w:val="00B26302"/>
    <w:rsid w:val="00B37B3B"/>
    <w:rsid w:val="00B44C47"/>
    <w:rsid w:val="00B50CA2"/>
    <w:rsid w:val="00B563BE"/>
    <w:rsid w:val="00B57756"/>
    <w:rsid w:val="00B57F4F"/>
    <w:rsid w:val="00B62DB0"/>
    <w:rsid w:val="00B63E56"/>
    <w:rsid w:val="00B74A29"/>
    <w:rsid w:val="00B7636D"/>
    <w:rsid w:val="00B80CF1"/>
    <w:rsid w:val="00B8284B"/>
    <w:rsid w:val="00B94D6A"/>
    <w:rsid w:val="00BA2A38"/>
    <w:rsid w:val="00BA31C4"/>
    <w:rsid w:val="00BA3BB7"/>
    <w:rsid w:val="00BA4E74"/>
    <w:rsid w:val="00BA75E3"/>
    <w:rsid w:val="00BB02E6"/>
    <w:rsid w:val="00BB6F46"/>
    <w:rsid w:val="00BB7214"/>
    <w:rsid w:val="00BC345A"/>
    <w:rsid w:val="00BD0AAE"/>
    <w:rsid w:val="00BD0C60"/>
    <w:rsid w:val="00BF5292"/>
    <w:rsid w:val="00C17BCF"/>
    <w:rsid w:val="00C3246A"/>
    <w:rsid w:val="00C42816"/>
    <w:rsid w:val="00C46402"/>
    <w:rsid w:val="00C56433"/>
    <w:rsid w:val="00C65564"/>
    <w:rsid w:val="00C902BF"/>
    <w:rsid w:val="00CA61D8"/>
    <w:rsid w:val="00CB3E3F"/>
    <w:rsid w:val="00CC2DA1"/>
    <w:rsid w:val="00CD1D98"/>
    <w:rsid w:val="00CE395E"/>
    <w:rsid w:val="00CE6F10"/>
    <w:rsid w:val="00CF0586"/>
    <w:rsid w:val="00CF1267"/>
    <w:rsid w:val="00D07FF1"/>
    <w:rsid w:val="00D13200"/>
    <w:rsid w:val="00D24B3C"/>
    <w:rsid w:val="00D26769"/>
    <w:rsid w:val="00D27AF8"/>
    <w:rsid w:val="00D31198"/>
    <w:rsid w:val="00D419DE"/>
    <w:rsid w:val="00D6543F"/>
    <w:rsid w:val="00D74E0C"/>
    <w:rsid w:val="00D80D0C"/>
    <w:rsid w:val="00D82614"/>
    <w:rsid w:val="00D83966"/>
    <w:rsid w:val="00D86DBC"/>
    <w:rsid w:val="00D91D46"/>
    <w:rsid w:val="00D94688"/>
    <w:rsid w:val="00D96A64"/>
    <w:rsid w:val="00D96CD3"/>
    <w:rsid w:val="00DA1776"/>
    <w:rsid w:val="00DA5F99"/>
    <w:rsid w:val="00DB4C65"/>
    <w:rsid w:val="00DB5A2E"/>
    <w:rsid w:val="00DC0528"/>
    <w:rsid w:val="00DC1104"/>
    <w:rsid w:val="00DC2470"/>
    <w:rsid w:val="00DC7466"/>
    <w:rsid w:val="00DC7E1C"/>
    <w:rsid w:val="00DD59BC"/>
    <w:rsid w:val="00DE16D8"/>
    <w:rsid w:val="00DE4AC5"/>
    <w:rsid w:val="00DE65A2"/>
    <w:rsid w:val="00DF2DCC"/>
    <w:rsid w:val="00E01D0E"/>
    <w:rsid w:val="00E12568"/>
    <w:rsid w:val="00E13283"/>
    <w:rsid w:val="00E15D61"/>
    <w:rsid w:val="00E16215"/>
    <w:rsid w:val="00E237E8"/>
    <w:rsid w:val="00E31650"/>
    <w:rsid w:val="00E35169"/>
    <w:rsid w:val="00E364EA"/>
    <w:rsid w:val="00E4656C"/>
    <w:rsid w:val="00E53724"/>
    <w:rsid w:val="00E552C8"/>
    <w:rsid w:val="00E642B8"/>
    <w:rsid w:val="00E75006"/>
    <w:rsid w:val="00E80F1A"/>
    <w:rsid w:val="00E812D2"/>
    <w:rsid w:val="00E836BF"/>
    <w:rsid w:val="00E84350"/>
    <w:rsid w:val="00E85863"/>
    <w:rsid w:val="00E862EA"/>
    <w:rsid w:val="00E91AE4"/>
    <w:rsid w:val="00E949CD"/>
    <w:rsid w:val="00EA0625"/>
    <w:rsid w:val="00EA0789"/>
    <w:rsid w:val="00EA431D"/>
    <w:rsid w:val="00EA459B"/>
    <w:rsid w:val="00EB35A3"/>
    <w:rsid w:val="00EC4BCD"/>
    <w:rsid w:val="00ED54F1"/>
    <w:rsid w:val="00EF5B7A"/>
    <w:rsid w:val="00EF6520"/>
    <w:rsid w:val="00F158C7"/>
    <w:rsid w:val="00F243F4"/>
    <w:rsid w:val="00F24CB9"/>
    <w:rsid w:val="00F26E21"/>
    <w:rsid w:val="00F31749"/>
    <w:rsid w:val="00F33E2E"/>
    <w:rsid w:val="00F33F5E"/>
    <w:rsid w:val="00F379BC"/>
    <w:rsid w:val="00F60840"/>
    <w:rsid w:val="00F75B86"/>
    <w:rsid w:val="00F76940"/>
    <w:rsid w:val="00F77933"/>
    <w:rsid w:val="00F8411A"/>
    <w:rsid w:val="00F94D07"/>
    <w:rsid w:val="00FB7270"/>
    <w:rsid w:val="00FC1405"/>
    <w:rsid w:val="00FC4EE0"/>
    <w:rsid w:val="00FD02A1"/>
    <w:rsid w:val="00FD0460"/>
    <w:rsid w:val="00FD4651"/>
    <w:rsid w:val="00FE161B"/>
    <w:rsid w:val="00FE48A9"/>
    <w:rsid w:val="00FE6172"/>
    <w:rsid w:val="00FF0913"/>
    <w:rsid w:val="00FF517E"/>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5B2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403C2"/>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347AF5"/>
    <w:pPr>
      <w:keepNext/>
      <w:keepLines/>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8E3A18"/>
    <w:pPr>
      <w:pBdr>
        <w:top w:val="single" w:sz="8" w:space="1" w:color="64B2C1" w:themeColor="background2"/>
      </w:pBdr>
      <w:spacing w:after="0" w:line="240" w:lineRule="auto"/>
    </w:pPr>
    <w:rPr>
      <w:sz w:val="18"/>
    </w:rPr>
  </w:style>
  <w:style w:type="character" w:customStyle="1" w:styleId="FooterChar">
    <w:name w:val="Footer Char"/>
    <w:basedOn w:val="DefaultParagraphFont"/>
    <w:link w:val="Footer"/>
    <w:uiPriority w:val="99"/>
    <w:rsid w:val="008E3A18"/>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A162A9"/>
    <w:pPr>
      <w:spacing w:after="0"/>
      <w:contextualSpacing/>
      <w:jc w:val="center"/>
    </w:pPr>
    <w:rPr>
      <w:rFonts w:asciiTheme="majorHAnsi" w:eastAsiaTheme="majorEastAsia" w:hAnsiTheme="majorHAnsi" w:cstheme="majorBidi"/>
      <w:b/>
      <w:caps/>
      <w:color w:val="FFFFFF" w:themeColor="background1"/>
      <w:spacing w:val="-10"/>
      <w:kern w:val="28"/>
      <w:sz w:val="96"/>
      <w:szCs w:val="56"/>
    </w:rPr>
  </w:style>
  <w:style w:type="character" w:customStyle="1" w:styleId="TitleChar">
    <w:name w:val="Title Char"/>
    <w:basedOn w:val="DefaultParagraphFont"/>
    <w:link w:val="Title"/>
    <w:uiPriority w:val="10"/>
    <w:rsid w:val="00A162A9"/>
    <w:rPr>
      <w:rFonts w:asciiTheme="majorHAnsi" w:eastAsiaTheme="majorEastAsia" w:hAnsiTheme="majorHAnsi" w:cstheme="majorBidi"/>
      <w:b/>
      <w:caps/>
      <w:color w:val="FFFFFF" w:themeColor="background1"/>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347AF5"/>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7D2C96"/>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E237E8"/>
    <w:pPr>
      <w:spacing w:before="0" w:after="0" w:line="240" w:lineRule="auto"/>
    </w:pPr>
    <w:rPr>
      <w:color w:val="0D0D0D" w:themeColor="text1" w:themeTint="F2"/>
      <w:sz w:val="18"/>
    </w:rPr>
  </w:style>
  <w:style w:type="paragraph" w:customStyle="1" w:styleId="TableHeadings">
    <w:name w:val="Table Headings"/>
    <w:basedOn w:val="Normal"/>
    <w:qFormat/>
    <w:rsid w:val="00A162A9"/>
    <w:pPr>
      <w:spacing w:before="0" w:after="0" w:line="216" w:lineRule="auto"/>
      <w:ind w:left="85"/>
    </w:pPr>
    <w:rPr>
      <w:b/>
      <w:caps/>
      <w:color w:val="FFFFFF" w:themeColor="background1"/>
      <w:sz w:val="18"/>
      <w:szCs w:val="18"/>
    </w:rPr>
  </w:style>
  <w:style w:type="character" w:styleId="PageNumber">
    <w:name w:val="page number"/>
    <w:basedOn w:val="DefaultParagraphFont"/>
    <w:uiPriority w:val="99"/>
    <w:rsid w:val="00096BE1"/>
    <w:rPr>
      <w:color w:val="auto"/>
      <w:sz w:val="18"/>
      <w:bdr w:val="none" w:sz="0" w:space="0" w:color="auto"/>
    </w:rPr>
  </w:style>
  <w:style w:type="table" w:styleId="PlainTable5">
    <w:name w:val="Plain Table 5"/>
    <w:basedOn w:val="TableNormal"/>
    <w:uiPriority w:val="45"/>
    <w:rsid w:val="00581B5B"/>
    <w:pPr>
      <w:spacing w:after="0" w:line="240" w:lineRule="auto"/>
    </w:pPr>
    <w:rPr>
      <w:lang w:val="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sid w:val="00DD59BC"/>
    <w:pPr>
      <w:spacing w:before="0" w:after="160" w:line="240" w:lineRule="auto"/>
    </w:pPr>
    <w:rPr>
      <w:color w:val="auto"/>
      <w:sz w:val="20"/>
      <w:szCs w:val="20"/>
      <w:lang w:val="pt-BR"/>
    </w:rPr>
  </w:style>
  <w:style w:type="character" w:customStyle="1" w:styleId="CommentTextChar">
    <w:name w:val="Comment Text Char"/>
    <w:basedOn w:val="DefaultParagraphFont"/>
    <w:link w:val="CommentText"/>
    <w:uiPriority w:val="99"/>
    <w:semiHidden/>
    <w:rsid w:val="00DD59BC"/>
    <w:rPr>
      <w:sz w:val="20"/>
      <w:szCs w:val="20"/>
      <w:lang w:val="pt-BR"/>
    </w:rPr>
  </w:style>
  <w:style w:type="paragraph" w:styleId="Caption">
    <w:name w:val="caption"/>
    <w:basedOn w:val="Normal"/>
    <w:next w:val="Normal"/>
    <w:uiPriority w:val="35"/>
    <w:unhideWhenUsed/>
    <w:qFormat/>
    <w:rsid w:val="00DD59BC"/>
    <w:pPr>
      <w:spacing w:before="0" w:after="200" w:line="240" w:lineRule="auto"/>
    </w:pPr>
    <w:rPr>
      <w:i/>
      <w:iCs/>
      <w:color w:val="00292E" w:themeColor="text2"/>
      <w:sz w:val="18"/>
      <w:szCs w:val="18"/>
      <w:lang w:val="pt-BR"/>
    </w:rPr>
  </w:style>
  <w:style w:type="character" w:styleId="UnresolvedMention">
    <w:name w:val="Unresolved Mention"/>
    <w:basedOn w:val="DefaultParagraphFont"/>
    <w:uiPriority w:val="99"/>
    <w:semiHidden/>
    <w:unhideWhenUsed/>
    <w:rsid w:val="007D4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01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AppData\Roaming\Microsoft\Templates\Professional%20services%20business%20plan.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9A196-CAFF-4056-A692-209B0BE006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085782C-80A3-4631-8B23-449B6BFEB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B5A451-D620-45E3-8A95-3AA89D51373E}">
  <ds:schemaRefs>
    <ds:schemaRef ds:uri="http://schemas.microsoft.com/sharepoint/v3/contenttype/forms"/>
  </ds:schemaRefs>
</ds:datastoreItem>
</file>

<file path=customXml/itemProps4.xml><?xml version="1.0" encoding="utf-8"?>
<ds:datastoreItem xmlns:ds="http://schemas.openxmlformats.org/officeDocument/2006/customXml" ds:itemID="{6CE66F37-5CD3-47FE-B71E-5568217D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services business plan.dotx</Template>
  <TotalTime>0</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2025-01-23T18:06:00Z</dcterms:created>
  <dcterms:modified xsi:type="dcterms:W3CDTF">2025-04-02T17:58:00Z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