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EB928" w14:textId="33A5E335" w:rsidR="009E77AD" w:rsidRDefault="00000000">
      <w:pPr>
        <w:pStyle w:val="Title"/>
      </w:pPr>
      <w:r>
        <w:t>DIEM Product</w:t>
      </w:r>
      <w:r w:rsidR="001C406E">
        <w:t>s</w:t>
      </w:r>
      <w:r>
        <w:t xml:space="preserve"> Launch and Communication Strategy</w:t>
      </w:r>
    </w:p>
    <w:p w14:paraId="47222E0A" w14:textId="28BC364E" w:rsidR="009E77AD" w:rsidRDefault="00000000">
      <w:pPr>
        <w:spacing w:after="320"/>
      </w:pPr>
      <w:r>
        <w:rPr>
          <w:color w:val="163B57"/>
          <w:sz w:val="26"/>
        </w:rPr>
        <w:t xml:space="preserve">Launch of the </w:t>
      </w:r>
      <w:r w:rsidR="00D33BC5">
        <w:rPr>
          <w:color w:val="163B57"/>
          <w:sz w:val="26"/>
        </w:rPr>
        <w:t xml:space="preserve">new </w:t>
      </w:r>
      <w:r>
        <w:rPr>
          <w:color w:val="163B57"/>
          <w:sz w:val="26"/>
        </w:rPr>
        <w:t>DIEM Hub</w:t>
      </w:r>
      <w:r w:rsidR="00D33BC5">
        <w:rPr>
          <w:color w:val="163B57"/>
          <w:sz w:val="26"/>
        </w:rPr>
        <w:t>,</w:t>
      </w:r>
      <w:r>
        <w:rPr>
          <w:color w:val="163B57"/>
          <w:sz w:val="26"/>
        </w:rPr>
        <w:t xml:space="preserve"> Household Survey Explorer</w:t>
      </w:r>
      <w:r w:rsidR="00D33BC5">
        <w:rPr>
          <w:color w:val="163B57"/>
          <w:sz w:val="26"/>
        </w:rPr>
        <w:t>,</w:t>
      </w:r>
      <w:r>
        <w:rPr>
          <w:color w:val="163B57"/>
          <w:sz w:val="26"/>
        </w:rPr>
        <w:t xml:space="preserve"> and EVE 2.0</w:t>
      </w:r>
    </w:p>
    <w:p w14:paraId="054D0ECD" w14:textId="577C0AA7" w:rsidR="009E77AD" w:rsidRDefault="00000000">
      <w:pPr>
        <w:spacing w:after="240" w:line="283" w:lineRule="auto"/>
      </w:pPr>
      <w:r>
        <w:rPr>
          <w:sz w:val="22"/>
        </w:rPr>
        <w:t>DIEM will launch three connected public products before the end of the year. The campaign will present them as a renewed DIEM offer while giving each audience a clear reason to use the product most relevant to its work.</w:t>
      </w:r>
    </w:p>
    <w:p w14:paraId="783D87CA" w14:textId="77777777" w:rsidR="009E77AD" w:rsidRDefault="00000000">
      <w:pPr>
        <w:pStyle w:val="Heading1"/>
      </w:pPr>
      <w:r>
        <w:t>The offer</w:t>
      </w:r>
    </w:p>
    <w:p w14:paraId="6B8F4EDC" w14:textId="1CE53866" w:rsidR="009E77AD" w:rsidRDefault="00000000">
      <w:r>
        <w:rPr>
          <w:b/>
        </w:rPr>
        <w:t xml:space="preserve">DIEM Hub. </w:t>
      </w:r>
      <w:r>
        <w:t xml:space="preserve">The public front door for discovering DIEM </w:t>
      </w:r>
      <w:r w:rsidR="00D33BC5">
        <w:t>work</w:t>
      </w:r>
      <w:r>
        <w:t xml:space="preserve"> by country, product and analytical pathway.</w:t>
      </w:r>
    </w:p>
    <w:p w14:paraId="73D13F23" w14:textId="77777777" w:rsidR="009E77AD" w:rsidRDefault="00000000">
      <w:r>
        <w:rPr>
          <w:b/>
        </w:rPr>
        <w:t xml:space="preserve">Household Survey Explorer. </w:t>
      </w:r>
      <w:r>
        <w:t>A clearer way to explore household monitoring results across countries, rounds and themes, with analysis, export and sharing in one experience.</w:t>
      </w:r>
    </w:p>
    <w:p w14:paraId="3D700D3D" w14:textId="4CE3664B" w:rsidR="009E77AD" w:rsidRDefault="00000000">
      <w:r>
        <w:rPr>
          <w:b/>
        </w:rPr>
        <w:t xml:space="preserve">EVE 2.0. </w:t>
      </w:r>
      <w:r>
        <w:t xml:space="preserve">A stronger flood evidence and impact-assessment platform combining better </w:t>
      </w:r>
      <w:r w:rsidR="00D33BC5">
        <w:t>analysis</w:t>
      </w:r>
      <w:r>
        <w:t>,</w:t>
      </w:r>
      <w:r w:rsidR="00D33BC5">
        <w:t xml:space="preserve"> more </w:t>
      </w:r>
      <w:r>
        <w:t xml:space="preserve">relevant data from other FAO teams, VISTA and Floodex with field data collection and validation capabilities. </w:t>
      </w:r>
      <w:r w:rsidR="00D33BC5">
        <w:t xml:space="preserve">In term of launching/communication strategy, </w:t>
      </w:r>
      <w:r>
        <w:t>VISTA is part of EVE 2.0, not a separate launch.</w:t>
      </w:r>
    </w:p>
    <w:p w14:paraId="0EB8A9D1" w14:textId="77777777" w:rsidR="009E77AD" w:rsidRDefault="00000000">
      <w:pPr>
        <w:pStyle w:val="Heading1"/>
      </w:pPr>
      <w:r>
        <w:t>Objectives</w:t>
      </w:r>
    </w:p>
    <w:p w14:paraId="5D57636F" w14:textId="4AD81CB1" w:rsidR="009E77AD" w:rsidRDefault="00000000">
      <w:pPr>
        <w:pStyle w:val="ListBullet"/>
        <w:ind w:left="331" w:hanging="202"/>
      </w:pPr>
      <w:r>
        <w:t>Introduce the new Hub as the main entry point to DIEM.</w:t>
      </w:r>
    </w:p>
    <w:p w14:paraId="7C8E6F1D" w14:textId="5FD19D26" w:rsidR="009E77AD" w:rsidRDefault="00000000">
      <w:pPr>
        <w:pStyle w:val="ListBullet"/>
        <w:ind w:left="331" w:hanging="202"/>
      </w:pPr>
      <w:r>
        <w:t>Replace the legacy Hub and move users from the former Monitoring System old dashboards to the new Household Survey Explorer.</w:t>
      </w:r>
    </w:p>
    <w:p w14:paraId="7F49AAE9" w14:textId="154C805F" w:rsidR="009E77AD" w:rsidRDefault="00000000">
      <w:pPr>
        <w:pStyle w:val="ListBullet"/>
        <w:ind w:left="331" w:hanging="202"/>
      </w:pPr>
      <w:r>
        <w:t xml:space="preserve">Build awareness and practical use of EVE 2.0 and its expanded flood </w:t>
      </w:r>
      <w:r w:rsidR="00D33BC5">
        <w:t>analysis capabilties</w:t>
      </w:r>
      <w:r>
        <w:t xml:space="preserve"> and field assessment offer.</w:t>
      </w:r>
    </w:p>
    <w:p w14:paraId="482EA4C1" w14:textId="77777777" w:rsidR="009E77AD" w:rsidRDefault="00000000">
      <w:pPr>
        <w:pStyle w:val="ListBullet"/>
        <w:ind w:left="331" w:hanging="202"/>
      </w:pPr>
      <w:r>
        <w:t>Explain which products are relevant to each country and audience.</w:t>
      </w:r>
    </w:p>
    <w:p w14:paraId="4073608C" w14:textId="77777777" w:rsidR="009E77AD" w:rsidRDefault="00000000">
      <w:pPr>
        <w:pStyle w:val="ListBullet"/>
        <w:ind w:left="331" w:hanging="202"/>
      </w:pPr>
      <w:r>
        <w:t>Turn awareness into use through country outreach, training and continuing support for all DIEM countries.</w:t>
      </w:r>
    </w:p>
    <w:p w14:paraId="254BABEF" w14:textId="77777777" w:rsidR="009E77AD" w:rsidRDefault="00000000">
      <w:pPr>
        <w:pStyle w:val="Heading1"/>
      </w:pPr>
      <w:r>
        <w:t>Audiences and actions</w:t>
      </w:r>
    </w:p>
    <w:tbl>
      <w:tblPr>
        <w:tblW w:w="0" w:type="auto"/>
        <w:jc w:val="center"/>
        <w:tblLayout w:type="fixed"/>
        <w:tblLook w:val="04A0" w:firstRow="1" w:lastRow="0" w:firstColumn="1" w:lastColumn="0" w:noHBand="0" w:noVBand="1"/>
      </w:tblPr>
      <w:tblGrid>
        <w:gridCol w:w="3384"/>
        <w:gridCol w:w="6696"/>
      </w:tblGrid>
      <w:tr w:rsidR="009E77AD" w14:paraId="077BF360" w14:textId="77777777">
        <w:trPr>
          <w:tblHeader/>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163B57"/>
            <w:tcMar>
              <w:top w:w="95" w:type="dxa"/>
              <w:left w:w="110" w:type="dxa"/>
              <w:bottom w:w="95" w:type="dxa"/>
              <w:right w:w="110" w:type="dxa"/>
            </w:tcMar>
            <w:vAlign w:val="center"/>
          </w:tcPr>
          <w:p w14:paraId="630FB7D4" w14:textId="77777777" w:rsidR="009E77AD" w:rsidRDefault="00000000">
            <w:pPr>
              <w:spacing w:after="0"/>
            </w:pPr>
            <w:r>
              <w:rPr>
                <w:b/>
                <w:color w:val="FFFFFF"/>
                <w:sz w:val="18"/>
              </w:rPr>
              <w:t>Audience</w:t>
            </w:r>
          </w:p>
        </w:tc>
        <w:tc>
          <w:tcPr>
            <w:tcW w:w="6696" w:type="dxa"/>
            <w:tcBorders>
              <w:top w:val="single" w:sz="6" w:space="0" w:color="D9D9D9"/>
              <w:left w:val="single" w:sz="6" w:space="0" w:color="D9D9D9"/>
              <w:bottom w:val="single" w:sz="6" w:space="0" w:color="D9D9D9"/>
              <w:right w:val="single" w:sz="6" w:space="0" w:color="D9D9D9"/>
            </w:tcBorders>
            <w:shd w:val="clear" w:color="auto" w:fill="163B57"/>
            <w:tcMar>
              <w:top w:w="95" w:type="dxa"/>
              <w:left w:w="110" w:type="dxa"/>
              <w:bottom w:w="95" w:type="dxa"/>
              <w:right w:w="110" w:type="dxa"/>
            </w:tcMar>
            <w:vAlign w:val="center"/>
          </w:tcPr>
          <w:p w14:paraId="6D0C2F35" w14:textId="77777777" w:rsidR="009E77AD" w:rsidRDefault="00000000">
            <w:pPr>
              <w:spacing w:after="0"/>
            </w:pPr>
            <w:r>
              <w:rPr>
                <w:b/>
                <w:color w:val="FFFFFF"/>
                <w:sz w:val="18"/>
              </w:rPr>
              <w:t>Priority action</w:t>
            </w:r>
          </w:p>
        </w:tc>
      </w:tr>
      <w:tr w:rsidR="009E77AD" w14:paraId="05D2B58D"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10" w:type="dxa"/>
              <w:bottom w:w="95" w:type="dxa"/>
              <w:right w:w="110" w:type="dxa"/>
            </w:tcMar>
            <w:vAlign w:val="center"/>
          </w:tcPr>
          <w:p w14:paraId="39346BBD" w14:textId="77777777" w:rsidR="009E77AD" w:rsidRDefault="00000000">
            <w:pPr>
              <w:spacing w:after="0" w:line="252" w:lineRule="auto"/>
            </w:pPr>
            <w:r>
              <w:rPr>
                <w:sz w:val="17"/>
              </w:rPr>
              <w:t>FAO and OER colleagues</w:t>
            </w:r>
          </w:p>
        </w:tc>
        <w:tc>
          <w:tcPr>
            <w:tcW w:w="669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10" w:type="dxa"/>
              <w:bottom w:w="95" w:type="dxa"/>
              <w:right w:w="110" w:type="dxa"/>
            </w:tcMar>
            <w:vAlign w:val="center"/>
          </w:tcPr>
          <w:p w14:paraId="2B15FE8A" w14:textId="77777777" w:rsidR="009E77AD" w:rsidRDefault="00000000">
            <w:pPr>
              <w:spacing w:after="0" w:line="252" w:lineRule="auto"/>
            </w:pPr>
            <w:r>
              <w:rPr>
                <w:sz w:val="17"/>
              </w:rPr>
              <w:t>Understand the three-product offer and direct users to the appropriate product.</w:t>
            </w:r>
          </w:p>
        </w:tc>
      </w:tr>
      <w:tr w:rsidR="009E77AD" w14:paraId="6142A76F"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5F9FB"/>
            <w:tcMar>
              <w:top w:w="95" w:type="dxa"/>
              <w:left w:w="110" w:type="dxa"/>
              <w:bottom w:w="95" w:type="dxa"/>
              <w:right w:w="110" w:type="dxa"/>
            </w:tcMar>
            <w:vAlign w:val="center"/>
          </w:tcPr>
          <w:p w14:paraId="7F8B8549" w14:textId="04A6D994" w:rsidR="009E77AD" w:rsidRDefault="00000000">
            <w:pPr>
              <w:spacing w:after="0" w:line="252" w:lineRule="auto"/>
            </w:pPr>
            <w:r>
              <w:rPr>
                <w:sz w:val="17"/>
              </w:rPr>
              <w:t>All FAO Rep</w:t>
            </w:r>
            <w:r w:rsidR="00D33BC5">
              <w:rPr>
                <w:sz w:val="17"/>
              </w:rPr>
              <w:t>s</w:t>
            </w:r>
          </w:p>
        </w:tc>
        <w:tc>
          <w:tcPr>
            <w:tcW w:w="6696" w:type="dxa"/>
            <w:tcBorders>
              <w:top w:val="single" w:sz="6" w:space="0" w:color="D9D9D9"/>
              <w:left w:val="single" w:sz="6" w:space="0" w:color="D9D9D9"/>
              <w:bottom w:val="single" w:sz="6" w:space="0" w:color="D9D9D9"/>
              <w:right w:val="single" w:sz="6" w:space="0" w:color="D9D9D9"/>
            </w:tcBorders>
            <w:shd w:val="clear" w:color="auto" w:fill="F5F9FB"/>
            <w:tcMar>
              <w:top w:w="95" w:type="dxa"/>
              <w:left w:w="110" w:type="dxa"/>
              <w:bottom w:w="95" w:type="dxa"/>
              <w:right w:w="110" w:type="dxa"/>
            </w:tcMar>
            <w:vAlign w:val="center"/>
          </w:tcPr>
          <w:p w14:paraId="26854206" w14:textId="51AAFFF4" w:rsidR="009E77AD" w:rsidRDefault="00000000">
            <w:pPr>
              <w:spacing w:after="0" w:line="252" w:lineRule="auto"/>
            </w:pPr>
            <w:r>
              <w:rPr>
                <w:sz w:val="17"/>
              </w:rPr>
              <w:t>S</w:t>
            </w:r>
            <w:r w:rsidR="00D33BC5">
              <w:rPr>
                <w:sz w:val="17"/>
              </w:rPr>
              <w:t>hould s</w:t>
            </w:r>
            <w:r>
              <w:rPr>
                <w:sz w:val="17"/>
              </w:rPr>
              <w:t>hare the new</w:t>
            </w:r>
            <w:r w:rsidR="00D33BC5">
              <w:rPr>
                <w:sz w:val="17"/>
              </w:rPr>
              <w:t xml:space="preserve">s </w:t>
            </w:r>
            <w:r>
              <w:rPr>
                <w:sz w:val="17"/>
              </w:rPr>
              <w:t>with relevant national counterparts.</w:t>
            </w:r>
          </w:p>
        </w:tc>
      </w:tr>
      <w:tr w:rsidR="009E77AD" w14:paraId="3A00136A"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10" w:type="dxa"/>
              <w:bottom w:w="95" w:type="dxa"/>
              <w:right w:w="110" w:type="dxa"/>
            </w:tcMar>
            <w:vAlign w:val="center"/>
          </w:tcPr>
          <w:p w14:paraId="551E438F" w14:textId="77777777" w:rsidR="009E77AD" w:rsidRDefault="00000000">
            <w:pPr>
              <w:spacing w:after="0" w:line="252" w:lineRule="auto"/>
            </w:pPr>
            <w:r>
              <w:rPr>
                <w:sz w:val="17"/>
              </w:rPr>
              <w:t>Active monitoring countries</w:t>
            </w:r>
          </w:p>
        </w:tc>
        <w:tc>
          <w:tcPr>
            <w:tcW w:w="669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10" w:type="dxa"/>
              <w:bottom w:w="95" w:type="dxa"/>
              <w:right w:w="110" w:type="dxa"/>
            </w:tcMar>
            <w:vAlign w:val="center"/>
          </w:tcPr>
          <w:p w14:paraId="0512B6EB" w14:textId="77777777" w:rsidR="009E77AD" w:rsidRDefault="00000000">
            <w:pPr>
              <w:spacing w:after="0" w:line="252" w:lineRule="auto"/>
            </w:pPr>
            <w:r>
              <w:rPr>
                <w:sz w:val="17"/>
              </w:rPr>
              <w:t>Promote the Hub and Household Survey Explorer and nominate users for training.</w:t>
            </w:r>
          </w:p>
        </w:tc>
      </w:tr>
      <w:tr w:rsidR="009E77AD" w14:paraId="46FA1C6E"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5F9FB"/>
            <w:tcMar>
              <w:top w:w="95" w:type="dxa"/>
              <w:left w:w="110" w:type="dxa"/>
              <w:bottom w:w="95" w:type="dxa"/>
              <w:right w:w="110" w:type="dxa"/>
            </w:tcMar>
            <w:vAlign w:val="center"/>
          </w:tcPr>
          <w:p w14:paraId="2FF58C45" w14:textId="77777777" w:rsidR="009E77AD" w:rsidRDefault="00000000">
            <w:pPr>
              <w:spacing w:after="0" w:line="252" w:lineRule="auto"/>
            </w:pPr>
            <w:r>
              <w:rPr>
                <w:sz w:val="17"/>
              </w:rPr>
              <w:t>Flood-hazard countries</w:t>
            </w:r>
          </w:p>
        </w:tc>
        <w:tc>
          <w:tcPr>
            <w:tcW w:w="6696" w:type="dxa"/>
            <w:tcBorders>
              <w:top w:val="single" w:sz="6" w:space="0" w:color="D9D9D9"/>
              <w:left w:val="single" w:sz="6" w:space="0" w:color="D9D9D9"/>
              <w:bottom w:val="single" w:sz="6" w:space="0" w:color="D9D9D9"/>
              <w:right w:val="single" w:sz="6" w:space="0" w:color="D9D9D9"/>
            </w:tcBorders>
            <w:shd w:val="clear" w:color="auto" w:fill="F5F9FB"/>
            <w:tcMar>
              <w:top w:w="95" w:type="dxa"/>
              <w:left w:w="110" w:type="dxa"/>
              <w:bottom w:w="95" w:type="dxa"/>
              <w:right w:w="110" w:type="dxa"/>
            </w:tcMar>
            <w:vAlign w:val="center"/>
          </w:tcPr>
          <w:p w14:paraId="7A1306D5" w14:textId="77777777" w:rsidR="009E77AD" w:rsidRDefault="00000000">
            <w:pPr>
              <w:spacing w:after="0" w:line="252" w:lineRule="auto"/>
            </w:pPr>
            <w:r>
              <w:rPr>
                <w:sz w:val="17"/>
              </w:rPr>
              <w:t>Promote EVE 2.0 and identify operational users for training.</w:t>
            </w:r>
          </w:p>
        </w:tc>
      </w:tr>
      <w:tr w:rsidR="009E77AD" w14:paraId="1A75751C" w14:textId="77777777">
        <w:trPr>
          <w:cantSplit/>
          <w:jc w:val="center"/>
        </w:trPr>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95" w:type="dxa"/>
              <w:left w:w="110" w:type="dxa"/>
              <w:bottom w:w="95" w:type="dxa"/>
              <w:right w:w="110" w:type="dxa"/>
            </w:tcMar>
            <w:vAlign w:val="center"/>
          </w:tcPr>
          <w:p w14:paraId="042175F7" w14:textId="77777777" w:rsidR="009E77AD" w:rsidRDefault="00000000">
            <w:pPr>
              <w:spacing w:after="0" w:line="252" w:lineRule="auto"/>
            </w:pPr>
            <w:r>
              <w:rPr>
                <w:sz w:val="17"/>
              </w:rPr>
              <w:t>Governments, partners, researchers and donors</w:t>
            </w:r>
          </w:p>
        </w:tc>
        <w:tc>
          <w:tcPr>
            <w:tcW w:w="6696" w:type="dxa"/>
            <w:tcBorders>
              <w:top w:val="single" w:sz="6" w:space="0" w:color="D9D9D9"/>
              <w:left w:val="single" w:sz="6" w:space="0" w:color="D9D9D9"/>
              <w:bottom w:val="single" w:sz="6" w:space="0" w:color="D9D9D9"/>
              <w:right w:val="single" w:sz="6" w:space="0" w:color="D9D9D9"/>
            </w:tcBorders>
            <w:shd w:val="clear" w:color="auto" w:fill="FFFFFF"/>
            <w:tcMar>
              <w:top w:w="95" w:type="dxa"/>
              <w:left w:w="110" w:type="dxa"/>
              <w:bottom w:w="95" w:type="dxa"/>
              <w:right w:w="110" w:type="dxa"/>
            </w:tcMar>
            <w:vAlign w:val="center"/>
          </w:tcPr>
          <w:p w14:paraId="12B73B95" w14:textId="77777777" w:rsidR="009E77AD" w:rsidRDefault="00000000">
            <w:pPr>
              <w:spacing w:after="0" w:line="252" w:lineRule="auto"/>
            </w:pPr>
            <w:r>
              <w:rPr>
                <w:sz w:val="17"/>
              </w:rPr>
              <w:t>Find, use and share authoritative DIEM evidence through the relevant product.</w:t>
            </w:r>
          </w:p>
        </w:tc>
      </w:tr>
    </w:tbl>
    <w:p w14:paraId="271A6C92" w14:textId="77777777" w:rsidR="009E77AD" w:rsidRDefault="009E77AD">
      <w:pPr>
        <w:spacing w:after="0"/>
      </w:pPr>
    </w:p>
    <w:p w14:paraId="3BC3D5C3" w14:textId="77777777" w:rsidR="009E77AD" w:rsidRDefault="00000000">
      <w:pPr>
        <w:pStyle w:val="Heading1"/>
      </w:pPr>
      <w:r>
        <w:t>Launch sequence</w:t>
      </w:r>
    </w:p>
    <w:tbl>
      <w:tblPr>
        <w:tblW w:w="0" w:type="auto"/>
        <w:jc w:val="center"/>
        <w:tblLayout w:type="fixed"/>
        <w:tblLook w:val="04A0" w:firstRow="1" w:lastRow="0" w:firstColumn="1" w:lastColumn="0" w:noHBand="0" w:noVBand="1"/>
      </w:tblPr>
      <w:tblGrid>
        <w:gridCol w:w="2232"/>
        <w:gridCol w:w="7848"/>
      </w:tblGrid>
      <w:tr w:rsidR="009E77AD" w14:paraId="6F915C5F"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B57"/>
            <w:tcMar>
              <w:top w:w="95" w:type="dxa"/>
              <w:left w:w="110" w:type="dxa"/>
              <w:bottom w:w="95" w:type="dxa"/>
              <w:right w:w="110" w:type="dxa"/>
            </w:tcMar>
            <w:vAlign w:val="center"/>
          </w:tcPr>
          <w:p w14:paraId="62EC6092" w14:textId="77777777" w:rsidR="009E77AD" w:rsidRDefault="00000000">
            <w:pPr>
              <w:spacing w:after="0"/>
            </w:pPr>
            <w:r>
              <w:rPr>
                <w:b/>
                <w:color w:val="FFFFFF"/>
                <w:sz w:val="18"/>
              </w:rPr>
              <w:t>Milestone</w:t>
            </w:r>
          </w:p>
        </w:tc>
        <w:tc>
          <w:tcPr>
            <w:tcW w:w="7848" w:type="dxa"/>
            <w:tcBorders>
              <w:top w:val="single" w:sz="6" w:space="0" w:color="D9D9D9"/>
              <w:left w:val="single" w:sz="6" w:space="0" w:color="D9D9D9"/>
              <w:bottom w:val="single" w:sz="6" w:space="0" w:color="D9D9D9"/>
              <w:right w:val="single" w:sz="6" w:space="0" w:color="D9D9D9"/>
            </w:tcBorders>
            <w:shd w:val="clear" w:color="auto" w:fill="163B57"/>
            <w:tcMar>
              <w:top w:w="95" w:type="dxa"/>
              <w:left w:w="110" w:type="dxa"/>
              <w:bottom w:w="95" w:type="dxa"/>
              <w:right w:w="110" w:type="dxa"/>
            </w:tcMar>
            <w:vAlign w:val="center"/>
          </w:tcPr>
          <w:p w14:paraId="2141ACDD" w14:textId="77777777" w:rsidR="009E77AD" w:rsidRDefault="00000000">
            <w:pPr>
              <w:spacing w:after="0"/>
            </w:pPr>
            <w:r>
              <w:rPr>
                <w:b/>
                <w:color w:val="FFFFFF"/>
                <w:sz w:val="18"/>
              </w:rPr>
              <w:t>Main activity</w:t>
            </w:r>
          </w:p>
        </w:tc>
      </w:tr>
      <w:tr w:rsidR="009E77AD" w14:paraId="47A10FD2"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10" w:type="dxa"/>
              <w:bottom w:w="95" w:type="dxa"/>
              <w:right w:w="110" w:type="dxa"/>
            </w:tcMar>
            <w:vAlign w:val="center"/>
          </w:tcPr>
          <w:p w14:paraId="36918A4B" w14:textId="77777777" w:rsidR="009E77AD" w:rsidRDefault="00000000">
            <w:pPr>
              <w:spacing w:after="0" w:line="252" w:lineRule="auto"/>
            </w:pPr>
            <w:r>
              <w:rPr>
                <w:sz w:val="17"/>
              </w:rPr>
              <w:t>T0 Align</w:t>
            </w:r>
          </w:p>
        </w:tc>
        <w:tc>
          <w:tcPr>
            <w:tcW w:w="784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10" w:type="dxa"/>
              <w:bottom w:w="95" w:type="dxa"/>
              <w:right w:w="110" w:type="dxa"/>
            </w:tcMar>
            <w:vAlign w:val="center"/>
          </w:tcPr>
          <w:p w14:paraId="08733ABD" w14:textId="77777777" w:rsidR="009E77AD" w:rsidRDefault="00000000">
            <w:pPr>
              <w:spacing w:after="0" w:line="252" w:lineRule="auto"/>
            </w:pPr>
            <w:r>
              <w:rPr>
                <w:sz w:val="17"/>
              </w:rPr>
              <w:t>Confirm the shared narrative, final product descriptions, owners, audiences and required communication assets.</w:t>
            </w:r>
          </w:p>
        </w:tc>
      </w:tr>
      <w:tr w:rsidR="009E77AD" w14:paraId="31F045C7"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9FB"/>
            <w:tcMar>
              <w:top w:w="95" w:type="dxa"/>
              <w:left w:w="110" w:type="dxa"/>
              <w:bottom w:w="95" w:type="dxa"/>
              <w:right w:w="110" w:type="dxa"/>
            </w:tcMar>
            <w:vAlign w:val="center"/>
          </w:tcPr>
          <w:p w14:paraId="08E8B6BF" w14:textId="4AEB761B" w:rsidR="009E77AD" w:rsidRDefault="00000000">
            <w:pPr>
              <w:spacing w:after="0" w:line="252" w:lineRule="auto"/>
            </w:pPr>
            <w:r>
              <w:rPr>
                <w:sz w:val="17"/>
              </w:rPr>
              <w:t>T1 Team</w:t>
            </w:r>
            <w:r w:rsidR="00D33BC5">
              <w:rPr>
                <w:sz w:val="17"/>
              </w:rPr>
              <w:t xml:space="preserve"> 1A</w:t>
            </w:r>
            <w:r>
              <w:rPr>
                <w:sz w:val="17"/>
              </w:rPr>
              <w:t xml:space="preserve"> review</w:t>
            </w:r>
          </w:p>
        </w:tc>
        <w:tc>
          <w:tcPr>
            <w:tcW w:w="7848" w:type="dxa"/>
            <w:tcBorders>
              <w:top w:val="single" w:sz="6" w:space="0" w:color="D9D9D9"/>
              <w:left w:val="single" w:sz="6" w:space="0" w:color="D9D9D9"/>
              <w:bottom w:val="single" w:sz="6" w:space="0" w:color="D9D9D9"/>
              <w:right w:val="single" w:sz="6" w:space="0" w:color="D9D9D9"/>
            </w:tcBorders>
            <w:shd w:val="clear" w:color="auto" w:fill="F5F9FB"/>
            <w:tcMar>
              <w:top w:w="95" w:type="dxa"/>
              <w:left w:w="110" w:type="dxa"/>
              <w:bottom w:w="95" w:type="dxa"/>
              <w:right w:w="110" w:type="dxa"/>
            </w:tcMar>
            <w:vAlign w:val="center"/>
          </w:tcPr>
          <w:p w14:paraId="62B76D7D" w14:textId="3823CF8D" w:rsidR="009E77AD" w:rsidRDefault="00000000">
            <w:pPr>
              <w:spacing w:after="0" w:line="252" w:lineRule="auto"/>
            </w:pPr>
            <w:r>
              <w:rPr>
                <w:sz w:val="17"/>
              </w:rPr>
              <w:t>Present the new Hub to Team 1A</w:t>
            </w:r>
            <w:r w:rsidR="00D33BC5">
              <w:rPr>
                <w:sz w:val="17"/>
              </w:rPr>
              <w:t xml:space="preserve"> (also EVE and HH survey explorer?)</w:t>
            </w:r>
            <w:r>
              <w:rPr>
                <w:sz w:val="17"/>
              </w:rPr>
              <w:t xml:space="preserve"> and allow one working day to incorporate relevant comments.</w:t>
            </w:r>
          </w:p>
        </w:tc>
      </w:tr>
      <w:tr w:rsidR="009E77AD" w14:paraId="1E5A8285"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10" w:type="dxa"/>
              <w:bottom w:w="95" w:type="dxa"/>
              <w:right w:w="110" w:type="dxa"/>
            </w:tcMar>
            <w:vAlign w:val="center"/>
          </w:tcPr>
          <w:p w14:paraId="69B1B650" w14:textId="77777777" w:rsidR="009E77AD" w:rsidRDefault="00000000">
            <w:pPr>
              <w:spacing w:after="0" w:line="252" w:lineRule="auto"/>
            </w:pPr>
            <w:r>
              <w:rPr>
                <w:sz w:val="17"/>
              </w:rPr>
              <w:lastRenderedPageBreak/>
              <w:t>T2 Clearance and preparation</w:t>
            </w:r>
          </w:p>
        </w:tc>
        <w:tc>
          <w:tcPr>
            <w:tcW w:w="784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10" w:type="dxa"/>
              <w:bottom w:w="95" w:type="dxa"/>
              <w:right w:w="110" w:type="dxa"/>
            </w:tcMar>
            <w:vAlign w:val="center"/>
          </w:tcPr>
          <w:p w14:paraId="61ABFECA" w14:textId="07C2AB76" w:rsidR="009E77AD" w:rsidRDefault="00000000">
            <w:pPr>
              <w:spacing w:after="0" w:line="252" w:lineRule="auto"/>
            </w:pPr>
            <w:r>
              <w:rPr>
                <w:sz w:val="17"/>
              </w:rPr>
              <w:t>Ask OCC for rapid clearance of the Hub, supported by a concise old-versus-new comparison.</w:t>
            </w:r>
            <w:r w:rsidR="00116E52">
              <w:rPr>
                <w:sz w:val="17"/>
              </w:rPr>
              <w:t xml:space="preserve"> ESS clearance for Household Survey Explorer and EVE 2.0 already obtained.</w:t>
            </w:r>
          </w:p>
        </w:tc>
      </w:tr>
      <w:tr w:rsidR="009E77AD" w14:paraId="308F3CFF"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9FB"/>
            <w:tcMar>
              <w:top w:w="95" w:type="dxa"/>
              <w:left w:w="110" w:type="dxa"/>
              <w:bottom w:w="95" w:type="dxa"/>
              <w:right w:w="110" w:type="dxa"/>
            </w:tcMar>
            <w:vAlign w:val="center"/>
          </w:tcPr>
          <w:p w14:paraId="114DFAD1" w14:textId="77777777" w:rsidR="009E77AD" w:rsidRDefault="00000000">
            <w:pPr>
              <w:spacing w:after="0" w:line="252" w:lineRule="auto"/>
            </w:pPr>
            <w:r>
              <w:rPr>
                <w:sz w:val="17"/>
              </w:rPr>
              <w:t>T3 Quiet publication</w:t>
            </w:r>
          </w:p>
        </w:tc>
        <w:tc>
          <w:tcPr>
            <w:tcW w:w="7848" w:type="dxa"/>
            <w:tcBorders>
              <w:top w:val="single" w:sz="6" w:space="0" w:color="D9D9D9"/>
              <w:left w:val="single" w:sz="6" w:space="0" w:color="D9D9D9"/>
              <w:bottom w:val="single" w:sz="6" w:space="0" w:color="D9D9D9"/>
              <w:right w:val="single" w:sz="6" w:space="0" w:color="D9D9D9"/>
            </w:tcBorders>
            <w:shd w:val="clear" w:color="auto" w:fill="F5F9FB"/>
            <w:tcMar>
              <w:top w:w="95" w:type="dxa"/>
              <w:left w:w="110" w:type="dxa"/>
              <w:bottom w:w="95" w:type="dxa"/>
              <w:right w:w="110" w:type="dxa"/>
            </w:tcMar>
            <w:vAlign w:val="center"/>
          </w:tcPr>
          <w:p w14:paraId="779BD6E0" w14:textId="5B3CE5BA" w:rsidR="009E77AD" w:rsidRDefault="00000000">
            <w:pPr>
              <w:spacing w:after="0" w:line="252" w:lineRule="auto"/>
            </w:pPr>
            <w:r>
              <w:rPr>
                <w:sz w:val="17"/>
              </w:rPr>
              <w:t>After OCC clearance, publish and replace the legacy Hub. Replace the former Monitoring System old dashboards with the Household Survey Explorer as soon as possible.</w:t>
            </w:r>
          </w:p>
        </w:tc>
      </w:tr>
      <w:tr w:rsidR="009E77AD" w14:paraId="027A211A"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10" w:type="dxa"/>
              <w:bottom w:w="95" w:type="dxa"/>
              <w:right w:w="110" w:type="dxa"/>
            </w:tcMar>
            <w:vAlign w:val="center"/>
          </w:tcPr>
          <w:p w14:paraId="0223D297" w14:textId="77777777" w:rsidR="009E77AD" w:rsidRDefault="00000000">
            <w:pPr>
              <w:spacing w:after="0" w:line="252" w:lineRule="auto"/>
            </w:pPr>
            <w:r>
              <w:rPr>
                <w:sz w:val="17"/>
              </w:rPr>
              <w:t>T4 Internal launch</w:t>
            </w:r>
          </w:p>
        </w:tc>
        <w:tc>
          <w:tcPr>
            <w:tcW w:w="784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10" w:type="dxa"/>
              <w:bottom w:w="95" w:type="dxa"/>
              <w:right w:w="110" w:type="dxa"/>
            </w:tcMar>
            <w:vAlign w:val="center"/>
          </w:tcPr>
          <w:p w14:paraId="33529710" w14:textId="08985EC0" w:rsidR="009E77AD" w:rsidRDefault="00000000">
            <w:pPr>
              <w:spacing w:after="0" w:line="252" w:lineRule="auto"/>
            </w:pPr>
            <w:r>
              <w:rPr>
                <w:sz w:val="17"/>
              </w:rPr>
              <w:t xml:space="preserve">Hold a one-hour OER event and activate FAO </w:t>
            </w:r>
            <w:r w:rsidR="001C406E">
              <w:rPr>
                <w:sz w:val="17"/>
              </w:rPr>
              <w:t xml:space="preserve">HQ </w:t>
            </w:r>
            <w:r>
              <w:rPr>
                <w:sz w:val="17"/>
              </w:rPr>
              <w:t>screens, the intranet and the FAO latest mailing list.</w:t>
            </w:r>
          </w:p>
        </w:tc>
      </w:tr>
      <w:tr w:rsidR="009E77AD" w14:paraId="6D1B3DBC"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9FB"/>
            <w:tcMar>
              <w:top w:w="95" w:type="dxa"/>
              <w:left w:w="110" w:type="dxa"/>
              <w:bottom w:w="95" w:type="dxa"/>
              <w:right w:w="110" w:type="dxa"/>
            </w:tcMar>
            <w:vAlign w:val="center"/>
          </w:tcPr>
          <w:p w14:paraId="22549639" w14:textId="77777777" w:rsidR="009E77AD" w:rsidRDefault="00000000">
            <w:pPr>
              <w:spacing w:after="0" w:line="252" w:lineRule="auto"/>
            </w:pPr>
            <w:r>
              <w:rPr>
                <w:sz w:val="17"/>
              </w:rPr>
              <w:t>T5 External campaign</w:t>
            </w:r>
          </w:p>
        </w:tc>
        <w:tc>
          <w:tcPr>
            <w:tcW w:w="7848" w:type="dxa"/>
            <w:tcBorders>
              <w:top w:val="single" w:sz="6" w:space="0" w:color="D9D9D9"/>
              <w:left w:val="single" w:sz="6" w:space="0" w:color="D9D9D9"/>
              <w:bottom w:val="single" w:sz="6" w:space="0" w:color="D9D9D9"/>
              <w:right w:val="single" w:sz="6" w:space="0" w:color="D9D9D9"/>
            </w:tcBorders>
            <w:shd w:val="clear" w:color="auto" w:fill="F5F9FB"/>
            <w:tcMar>
              <w:top w:w="95" w:type="dxa"/>
              <w:left w:w="110" w:type="dxa"/>
              <w:bottom w:w="95" w:type="dxa"/>
              <w:right w:w="110" w:type="dxa"/>
            </w:tcMar>
            <w:vAlign w:val="center"/>
          </w:tcPr>
          <w:p w14:paraId="2213CFE5" w14:textId="77777777" w:rsidR="009E77AD" w:rsidRDefault="00000000">
            <w:pPr>
              <w:spacing w:after="0" w:line="252" w:lineRule="auto"/>
            </w:pPr>
            <w:r>
              <w:rPr>
                <w:sz w:val="17"/>
              </w:rPr>
              <w:t>Promote the Hub and Explorer together, and EVE 2.0 including VISTA, through DIEM, OCC, ESS and partner channels.</w:t>
            </w:r>
          </w:p>
        </w:tc>
      </w:tr>
      <w:tr w:rsidR="009E77AD" w14:paraId="2C4C2A3C" w14:textId="77777777">
        <w:trPr>
          <w:cantSplit/>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5" w:type="dxa"/>
              <w:left w:w="110" w:type="dxa"/>
              <w:bottom w:w="95" w:type="dxa"/>
              <w:right w:w="110" w:type="dxa"/>
            </w:tcMar>
            <w:vAlign w:val="center"/>
          </w:tcPr>
          <w:p w14:paraId="491C4251" w14:textId="77777777" w:rsidR="009E77AD" w:rsidRDefault="00000000">
            <w:pPr>
              <w:spacing w:after="0" w:line="252" w:lineRule="auto"/>
            </w:pPr>
            <w:r>
              <w:rPr>
                <w:sz w:val="17"/>
              </w:rPr>
              <w:t>T6 Adoption and support</w:t>
            </w:r>
          </w:p>
        </w:tc>
        <w:tc>
          <w:tcPr>
            <w:tcW w:w="7848" w:type="dxa"/>
            <w:tcBorders>
              <w:top w:val="single" w:sz="6" w:space="0" w:color="D9D9D9"/>
              <w:left w:val="single" w:sz="6" w:space="0" w:color="D9D9D9"/>
              <w:bottom w:val="single" w:sz="6" w:space="0" w:color="D9D9D9"/>
              <w:right w:val="single" w:sz="6" w:space="0" w:color="D9D9D9"/>
            </w:tcBorders>
            <w:shd w:val="clear" w:color="auto" w:fill="FFFFFF"/>
            <w:tcMar>
              <w:top w:w="95" w:type="dxa"/>
              <w:left w:w="110" w:type="dxa"/>
              <w:bottom w:w="95" w:type="dxa"/>
              <w:right w:w="110" w:type="dxa"/>
            </w:tcMar>
            <w:vAlign w:val="center"/>
          </w:tcPr>
          <w:p w14:paraId="5C29025A" w14:textId="77777777" w:rsidR="009E77AD" w:rsidRDefault="00000000">
            <w:pPr>
              <w:spacing w:after="0" w:line="252" w:lineRule="auto"/>
            </w:pPr>
            <w:r>
              <w:rPr>
                <w:sz w:val="17"/>
              </w:rPr>
              <w:t>Deliver targeted training, support champion countries intensively and provide lighter online support and guidance to all DIEM countries.</w:t>
            </w:r>
          </w:p>
        </w:tc>
      </w:tr>
    </w:tbl>
    <w:p w14:paraId="00FD1D16" w14:textId="77777777" w:rsidR="009E77AD" w:rsidRDefault="009E77AD">
      <w:pPr>
        <w:spacing w:after="0"/>
      </w:pPr>
    </w:p>
    <w:p w14:paraId="09518DF1" w14:textId="77777777" w:rsidR="009E77AD" w:rsidRDefault="00000000">
      <w:r>
        <w:t>All milestones should happen before the end of the year. Preparation can run in parallel so that communication follows soon after quiet publication.</w:t>
      </w:r>
    </w:p>
    <w:p w14:paraId="18BF0BD4" w14:textId="77777777" w:rsidR="009E77AD" w:rsidRDefault="00000000">
      <w:pPr>
        <w:pStyle w:val="Heading1"/>
      </w:pPr>
      <w:r>
        <w:t>Communication activities</w:t>
      </w:r>
    </w:p>
    <w:p w14:paraId="7435889C" w14:textId="7740B1AB" w:rsidR="009E77AD" w:rsidRDefault="001C406E">
      <w:pPr>
        <w:pStyle w:val="Heading2"/>
      </w:pPr>
      <w:r>
        <w:t>FAO-Internal communication</w:t>
      </w:r>
    </w:p>
    <w:p w14:paraId="44C6C0E5" w14:textId="044425B1" w:rsidR="009E77AD" w:rsidRDefault="001C406E">
      <w:r>
        <w:t xml:space="preserve">We should prepare two packages: one for the Hub and Household Survey Explorer, and one for EVE 2.0. These should be adapted for FAO </w:t>
      </w:r>
      <w:r w:rsidR="00D33BC5">
        <w:t xml:space="preserve">HQ </w:t>
      </w:r>
      <w:r>
        <w:t>screens, the intranet and the FAO latest mailing list</w:t>
      </w:r>
      <w:r w:rsidR="00D33BC5">
        <w:t xml:space="preserve"> (in-FAO)</w:t>
      </w:r>
      <w:r>
        <w:t>. The DIEM newsletter should announce all three products to the DIEM community.</w:t>
      </w:r>
    </w:p>
    <w:p w14:paraId="17E2E8EF" w14:textId="77777777" w:rsidR="009E77AD" w:rsidRDefault="00000000">
      <w:r>
        <w:t>Rein should be asked to convene a one-hour OER event. It should briefly show the Hub, the Household Survey Explorer and EVE 2.0 through a connected country journey, then explain country outreach, training and support.</w:t>
      </w:r>
    </w:p>
    <w:p w14:paraId="770EE732" w14:textId="77777777" w:rsidR="009E77AD" w:rsidRDefault="00000000">
      <w:pPr>
        <w:pStyle w:val="Heading2"/>
      </w:pPr>
      <w:r>
        <w:t>External communication</w:t>
      </w:r>
    </w:p>
    <w:p w14:paraId="11C86938" w14:textId="77777777" w:rsidR="009E77AD" w:rsidRDefault="00000000">
      <w:r>
        <w:t>Communication colleagues should support two coordinated campaigns: the Hub and Household Survey Explorer for broad DIEM evidence and monitoring audiences; and EVE 2.0, including VISTA, for flood, emergency, early warning, GIS and impact-assessment audiences.</w:t>
      </w:r>
    </w:p>
    <w:p w14:paraId="50794D27" w14:textId="437E5BB8" w:rsidR="009E77AD" w:rsidRDefault="00000000">
      <w:r>
        <w:t xml:space="preserve">Sophie and ESS have offered promotion through the monthly Statistics newsletter, a banner on the FAO Statistics website when supported by an OCC news or PR article, and amplification through FAO Statistics social channels and the Global Network of Data Officers and Statisticians on </w:t>
      </w:r>
      <w:r w:rsidR="001C406E">
        <w:t xml:space="preserve">ESS </w:t>
      </w:r>
      <w:r>
        <w:t>LinkedIn</w:t>
      </w:r>
      <w:r w:rsidR="001C406E">
        <w:t xml:space="preserve"> page</w:t>
      </w:r>
      <w:r>
        <w:t>.</w:t>
      </w:r>
    </w:p>
    <w:p w14:paraId="5891B9C4" w14:textId="7755909D" w:rsidR="009E77AD" w:rsidRDefault="00000000">
      <w:r>
        <w:t xml:space="preserve">All FAO Representatives should receive a ready-to-send Hub message. </w:t>
      </w:r>
      <w:r w:rsidR="001C406E">
        <w:t>Communcation on t</w:t>
      </w:r>
      <w:r>
        <w:t>he Household Survey Explorer should be added for countries with active monitoring systems, while EVE 2.0 should be added for countries with flood hazards. Country-specific links should be used wherever possible.</w:t>
      </w:r>
    </w:p>
    <w:p w14:paraId="699083EB" w14:textId="77777777" w:rsidR="009E77AD" w:rsidRDefault="00000000">
      <w:pPr>
        <w:pStyle w:val="Heading1"/>
      </w:pPr>
      <w:r>
        <w:t>Communication materials</w:t>
      </w:r>
    </w:p>
    <w:p w14:paraId="6821C7E7" w14:textId="77777777" w:rsidR="009E77AD" w:rsidRDefault="00000000">
      <w:pPr>
        <w:pStyle w:val="ListBullet"/>
        <w:ind w:left="331" w:hanging="202"/>
      </w:pPr>
      <w:r>
        <w:t>One short narrative and approved description for each product.</w:t>
      </w:r>
    </w:p>
    <w:p w14:paraId="72FEDA95" w14:textId="77777777" w:rsidR="009E77AD" w:rsidRDefault="00000000">
      <w:pPr>
        <w:pStyle w:val="ListBullet"/>
        <w:ind w:left="331" w:hanging="202"/>
      </w:pPr>
      <w:r>
        <w:t>Two communication packs: Hub plus Explorer, and EVE 2.0 including VISTA.</w:t>
      </w:r>
    </w:p>
    <w:p w14:paraId="36147506" w14:textId="77197EA0" w:rsidR="009E77AD" w:rsidRDefault="00000000">
      <w:pPr>
        <w:pStyle w:val="ListBullet"/>
        <w:ind w:left="331" w:hanging="202"/>
      </w:pPr>
      <w:r>
        <w:t xml:space="preserve">OCC news or web copy and DIEM and </w:t>
      </w:r>
      <w:r w:rsidR="001C406E">
        <w:t>ESS</w:t>
      </w:r>
      <w:r>
        <w:t xml:space="preserve"> newsletter copy.</w:t>
      </w:r>
    </w:p>
    <w:p w14:paraId="49DA3A6D" w14:textId="5B0456C9" w:rsidR="009E77AD" w:rsidRDefault="001C406E">
      <w:pPr>
        <w:pStyle w:val="ListBullet"/>
        <w:ind w:left="331" w:hanging="202"/>
      </w:pPr>
      <w:r>
        <w:t>Intranet and HQ screen graphics.</w:t>
      </w:r>
    </w:p>
    <w:p w14:paraId="540039DE" w14:textId="77777777" w:rsidR="009E77AD" w:rsidRDefault="00000000">
      <w:pPr>
        <w:pStyle w:val="ListBullet"/>
        <w:ind w:left="331" w:hanging="202"/>
      </w:pPr>
      <w:r>
        <w:t>OER invitation, agenda and demonstration script.</w:t>
      </w:r>
    </w:p>
    <w:p w14:paraId="27B8E46C" w14:textId="77777777" w:rsidR="009E77AD" w:rsidRDefault="00000000">
      <w:pPr>
        <w:pStyle w:val="ListBullet"/>
        <w:ind w:left="331" w:hanging="202"/>
      </w:pPr>
      <w:r>
        <w:t>Ready-to-send country email templates, direct links and a training-interest form.</w:t>
      </w:r>
    </w:p>
    <w:p w14:paraId="7B1FD6DA" w14:textId="77777777" w:rsidR="009E77AD" w:rsidRDefault="00000000">
      <w:pPr>
        <w:pStyle w:val="Heading1"/>
      </w:pPr>
      <w:r>
        <w:t>Training and country support</w:t>
      </w:r>
    </w:p>
    <w:p w14:paraId="0F825E50" w14:textId="77777777" w:rsidR="009E77AD" w:rsidRDefault="00000000">
      <w:r>
        <w:t>Formal Hub training is unlikely to be necessary; short guidance should be sufficient. Training is needed for EVE 2.0, including risk and field data functions, and for the Household Survey Explorer.</w:t>
      </w:r>
    </w:p>
    <w:p w14:paraId="1768D2F2" w14:textId="4ABA29CB" w:rsidR="009E77AD" w:rsidRDefault="00000000">
      <w:r>
        <w:t xml:space="preserve">Countries should be associated with one or both training streams according to monitoring activity, flood exposure, operational need, skills and interest. If funding is available, Andrea or regional advisers could deliver intensive two- to </w:t>
      </w:r>
      <w:r>
        <w:lastRenderedPageBreak/>
        <w:t xml:space="preserve">three-day missions in one or two champion countries. If not, </w:t>
      </w:r>
      <w:r w:rsidR="001C406E">
        <w:t>we could opt for a</w:t>
      </w:r>
      <w:r>
        <w:t xml:space="preserve"> two-day online training of trainers, with one day for EVE 2.0 and one for the Household Survey Explorer.</w:t>
      </w:r>
    </w:p>
    <w:p w14:paraId="2B714404" w14:textId="77777777" w:rsidR="009E77AD" w:rsidRDefault="00000000">
      <w:r>
        <w:t>Champion countries should receive deeper follow-up, but all DIEM countries should have access to an appropriate level of support through recordings, short online orientations, office hours, guidance material or regional sessions.</w:t>
      </w:r>
    </w:p>
    <w:p w14:paraId="334B067A" w14:textId="77777777" w:rsidR="009E77AD" w:rsidRDefault="00000000">
      <w:pPr>
        <w:pStyle w:val="Heading1"/>
      </w:pPr>
      <w:r>
        <w:t>Coordination and results</w:t>
      </w:r>
    </w:p>
    <w:p w14:paraId="60443290" w14:textId="7A0942FC" w:rsidR="009E77AD" w:rsidRDefault="00000000">
      <w:r>
        <w:t xml:space="preserve">The DIEM product team should own the narrative, technical accuracy, country targeting and demonstrations. Team 1A provides the first Hub review; OCC clears the Hub and supports external communication; communication colleagues prepare channel-ready assets; Sophie and ESS amplify through Statistics channels; Rein convenes the OER event; FAO Representatives support country dissemination; and </w:t>
      </w:r>
      <w:r w:rsidR="001C406E">
        <w:t>Hub team</w:t>
      </w:r>
      <w:r>
        <w:t xml:space="preserve"> and regional advisers lead training and country support.</w:t>
      </w:r>
    </w:p>
    <w:p w14:paraId="335499A7" w14:textId="19D24B77" w:rsidR="009E77AD" w:rsidRDefault="001C406E">
      <w:r>
        <w:t xml:space="preserve">We should create and maintain one milestone tracker, asset list, country list and distribution calendar. </w:t>
      </w:r>
    </w:p>
    <w:sectPr w:rsidR="009E77AD" w:rsidSect="00034616">
      <w:footerReference w:type="default" r:id="rId8"/>
      <w:pgSz w:w="12240" w:h="15840"/>
      <w:pgMar w:top="1037"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D1958" w14:textId="77777777" w:rsidR="003F65C6" w:rsidRDefault="003F65C6">
      <w:pPr>
        <w:spacing w:after="0" w:line="240" w:lineRule="auto"/>
      </w:pPr>
      <w:r>
        <w:separator/>
      </w:r>
    </w:p>
  </w:endnote>
  <w:endnote w:type="continuationSeparator" w:id="0">
    <w:p w14:paraId="10E76B15" w14:textId="77777777" w:rsidR="003F65C6" w:rsidRDefault="003F6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C8F44" w14:textId="77777777" w:rsidR="009E77AD" w:rsidRDefault="00000000">
    <w:pPr>
      <w:pStyle w:val="Footer"/>
      <w:jc w:val="right"/>
    </w:pPr>
    <w:r>
      <w:rPr>
        <w:b/>
        <w:color w:val="0B6FA4"/>
        <w:sz w:val="17"/>
      </w:rPr>
      <w:t>FAO Data in Emergencies</w:t>
    </w:r>
    <w:r>
      <w:rPr>
        <w:color w:val="646464"/>
      </w:rPr>
      <w:t xml:space="preserve">  |  Launch strategy</w:t>
    </w:r>
    <w:r>
      <w:rPr>
        <w:color w:val="646464"/>
        <w:sz w:val="17"/>
      </w:rPr>
      <w:t xml:space="preserve">Page </w:t>
    </w:r>
    <w:r>
      <w:rPr>
        <w:color w:val="646464"/>
        <w:sz w:val="17"/>
      </w:rPr>
      <w:fldChar w:fldCharType="begin"/>
    </w:r>
    <w:r>
      <w:rPr>
        <w:color w:val="646464"/>
        <w:sz w:val="17"/>
      </w:rPr>
      <w:instrText xml:space="preserve"> PAGE </w:instrText>
    </w:r>
    <w:r>
      <w:rPr>
        <w:color w:val="646464"/>
        <w:sz w:val="17"/>
      </w:rPr>
      <w:fldChar w:fldCharType="separate"/>
    </w:r>
    <w:r w:rsidR="00D33BC5">
      <w:rPr>
        <w:noProof/>
        <w:color w:val="646464"/>
        <w:sz w:val="17"/>
      </w:rPr>
      <w:t>1</w:t>
    </w:r>
    <w:r>
      <w:rPr>
        <w:color w:val="6464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CAFF9" w14:textId="77777777" w:rsidR="003F65C6" w:rsidRDefault="003F65C6">
      <w:pPr>
        <w:spacing w:after="0" w:line="240" w:lineRule="auto"/>
      </w:pPr>
      <w:r>
        <w:separator/>
      </w:r>
    </w:p>
  </w:footnote>
  <w:footnote w:type="continuationSeparator" w:id="0">
    <w:p w14:paraId="1D476A20" w14:textId="77777777" w:rsidR="003F65C6" w:rsidRDefault="003F65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26005">
    <w:abstractNumId w:val="8"/>
  </w:num>
  <w:num w:numId="2" w16cid:durableId="591091274">
    <w:abstractNumId w:val="6"/>
  </w:num>
  <w:num w:numId="3" w16cid:durableId="1667248188">
    <w:abstractNumId w:val="5"/>
  </w:num>
  <w:num w:numId="4" w16cid:durableId="1165701078">
    <w:abstractNumId w:val="4"/>
  </w:num>
  <w:num w:numId="5" w16cid:durableId="700008228">
    <w:abstractNumId w:val="7"/>
  </w:num>
  <w:num w:numId="6" w16cid:durableId="570434591">
    <w:abstractNumId w:val="3"/>
  </w:num>
  <w:num w:numId="7" w16cid:durableId="1383015904">
    <w:abstractNumId w:val="2"/>
  </w:num>
  <w:num w:numId="8" w16cid:durableId="1948736847">
    <w:abstractNumId w:val="1"/>
  </w:num>
  <w:num w:numId="9" w16cid:durableId="1924952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E52"/>
    <w:rsid w:val="0015074B"/>
    <w:rsid w:val="001C406E"/>
    <w:rsid w:val="0029639D"/>
    <w:rsid w:val="00326F90"/>
    <w:rsid w:val="003F65C6"/>
    <w:rsid w:val="00553FC5"/>
    <w:rsid w:val="00915154"/>
    <w:rsid w:val="009E77AD"/>
    <w:rsid w:val="00AA1D8D"/>
    <w:rsid w:val="00B47730"/>
    <w:rsid w:val="00CB0664"/>
    <w:rsid w:val="00D2754D"/>
    <w:rsid w:val="00D33BC5"/>
    <w:rsid w:val="00D564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1B72B"/>
  <w14:defaultImageDpi w14:val="300"/>
  <w15:docId w15:val="{0EE58EA2-B362-439F-9594-E16A9E16A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rial" w:hAnsi="Arial"/>
      <w:color w:val="000000"/>
      <w:sz w:val="19"/>
    </w:rPr>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5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Pages>
  <Words>962</Words>
  <Characters>5515</Characters>
  <Application>Microsoft Office Word</Application>
  <DocSecurity>0</DocSecurity>
  <Lines>104</Lines>
  <Paragraphs>77</Paragraphs>
  <ScaleCrop>false</ScaleCrop>
  <HeadingPairs>
    <vt:vector size="2" baseType="variant">
      <vt:variant>
        <vt:lpstr>Title</vt:lpstr>
      </vt:variant>
      <vt:variant>
        <vt:i4>1</vt:i4>
      </vt:variant>
    </vt:vector>
  </HeadingPairs>
  <TitlesOfParts>
    <vt:vector size="1" baseType="lpstr">
      <vt:lpstr>DIEM Product Launch and Communication Strategy</vt:lpstr>
    </vt:vector>
  </TitlesOfParts>
  <Manager/>
  <Company/>
  <LinksUpToDate>false</LinksUpToDate>
  <CharactersWithSpaces>6400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DIEM Product Launch and Communication Strategy</dc:title>
  <dc:subject>Launch of the DIEM Hub Household Survey Explorer and EVE 2.0</dc:subject>
  <dc:creator>FAO Data in Emergencies</dc:creator>
  <cp:keywords>DIEM, launch, communication, Hub, Household Survey Explorer, EVE, VISTA</cp:keywords>
  <dc:description>generated by python-docx</dc:description>
  <cp:lastModifiedBy>Amparore, Andrea (OER)</cp:lastModifiedBy>
  <cp:revision>4</cp:revision>
  <dcterms:created xsi:type="dcterms:W3CDTF">2013-12-23T23:15:00Z</dcterms:created>
  <dcterms:modified xsi:type="dcterms:W3CDTF">2026-09-11T14:54:00Z</dcterms:modified>
  <cp:category/>
</cp:coreProperties>
</file>