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65.png" ContentType="image/png"/>
  <Override PartName="/word/media/rId55.pdf" ContentType="application/pdf"/>
  <Override PartName="/word/media/rId59.pdf" ContentType="application/pdf"/>
  <Override PartName="/word/media/rId42.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4"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 These dissolved phosphate species are highly reactive; they are subject to adsorption onto the surfaces of clays and oxides and can precipitate with cations like calcium, iron, and aluminum to form minerals with low solubility. Consequently, while the total amount of P in a soil can be large, only a small fraction is in the soil solution at any given moment, posing a central challenge for agriculture. The efficacy of P fertilization is often low due to these rapid immobilization processes, and P lost from agricultural fields can become an environmental pollutant, disturbing P-limited aquatic ecosystems.</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 The efficacy of P fertilization is often low due to these rapid and competing immobilization processes, and P lost from agricultural fields can become an environmental pollutant, disturbing P-limited aquatic ecosystems.</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traditional soil testing methods (e.g., Olsen-P, AAE10, CO₂-water) were developed to quantify the</w:t>
      </w:r>
      <w:r>
        <w:t xml:space="preserve"> </w:t>
      </w:r>
      <w:r>
        <w:rPr>
          <w:b/>
          <w:bCs/>
        </w:rPr>
        <w:t xml:space="preserve">size of the readily available P pool</w:t>
      </w:r>
      <w:r>
        <w:t xml:space="preserve">. This static measurement is often referred to as the</w:t>
      </w:r>
      <w:r>
        <w:t xml:space="preserve"> </w:t>
      </w:r>
      <w:r>
        <w:rPr>
          <w:b/>
          <w:bCs/>
        </w:rPr>
        <w:t xml:space="preserve">“capacity factor”</w:t>
      </w:r>
      <w:r>
        <w:t xml:space="preserve">. 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 Modern research has reinforced this view, showing that fertilization strategies based solely on maintaining a critical soil test P (STP) concentration can be inefficient.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p>
    <w:bookmarkEnd w:id="22"/>
    <w:bookmarkStart w:id="23" w:name="objectives-and-research-questions"/>
    <w:p>
      <w:pPr>
        <w:pStyle w:val="Heading2"/>
      </w:pPr>
      <w:r>
        <w:t xml:space="preserve">2.3 Objectives and Research Questions</w:t>
      </w:r>
    </w:p>
    <w:p>
      <w:pPr>
        <w:pStyle w:val="FirstParagraph"/>
      </w:pPr>
      <w:r>
        <w:t xml:space="preserve">An ideal set of parameters for P management should meet several criteria. The parameters should correlate strongly with P export and P balance in a steady-state system. They must also respond to fertilizer inputs and, most importantly, capture the diffusive, kinetic nature of P supply to plant roots.</w:t>
      </w:r>
    </w:p>
    <w:p>
      <w:pPr>
        <w:pStyle w:val="BodyText"/>
      </w:pPr>
      <w:r>
        <w:t xml:space="preserve">This thesis hypothesizes that</w:t>
      </w:r>
      <w:r>
        <w:t xml:space="preserve"> </w:t>
      </w:r>
      <w:r>
        <w:rPr>
          <w:b/>
          <w:bCs/>
        </w:rPr>
        <w:t xml:space="preserve">kinetic parameters describing P desorption, derived from a simple laboratory extraction, can serve as effective predictors for agronomic outcomes.</w:t>
      </w:r>
      <w:r>
        <w:t xml:space="preserve"> </w:t>
      </w:r>
      <w:r>
        <w:t xml:space="preserve">Using soils from the long-term STYCS experiment in Switzerland, this study employs a modified version of the Flossmann &amp; Richter kinetic test to derive the desorption rate (</w:t>
      </w:r>
      <m:oMath>
        <m:r>
          <m:t>k</m:t>
        </m:r>
      </m:oMath>
      <w:r>
        <w:t xml:space="preserve">)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p>
      <w:pPr>
        <w:pStyle w:val="Compact"/>
        <w:numPr>
          <w:ilvl w:val="0"/>
          <w:numId w:val="1001"/>
        </w:numPr>
      </w:pPr>
      <w:r>
        <w:t xml:space="preserve">Is the P desorption kinetic method replicable and effective for the soils from the STYCS trial?</w:t>
      </w:r>
    </w:p>
    <w:p>
      <w:pPr>
        <w:pStyle w:val="Compact"/>
        <w:numPr>
          <w:ilvl w:val="0"/>
          <w:numId w:val="1001"/>
        </w:numPr>
      </w:pPr>
      <w:r>
        <w:t xml:space="preserve">How do the kinetic coefficients,</w:t>
      </w:r>
      <w:r>
        <w:t xml:space="preserve"> </w:t>
      </w:r>
      <m:oMath>
        <m:r>
          <m:t>k</m:t>
        </m:r>
      </m:oMath>
      <w:r>
        <w:t xml:space="preserve"> </w:t>
      </w:r>
      <w:r>
        <w:t xml:space="preserve">and</w:t>
      </w:r>
      <w:r>
        <w:t xml:space="preserve"> </w:t>
      </w:r>
      <m:oMath>
        <m:sSup>
          <m:e>
            <m:r>
              <m:t>P</m:t>
            </m:r>
          </m:e>
          <m:sup>
            <m:r>
              <m:t>S</m:t>
            </m:r>
          </m:sup>
        </m:sSup>
      </m:oMath>
      <w:r>
        <w:t xml:space="preserve">, correlate with key soil properties (organic carbon, clay content, pH)?</w:t>
      </w:r>
    </w:p>
    <w:p>
      <w:pPr>
        <w:pStyle w:val="Compact"/>
        <w:numPr>
          <w:ilvl w:val="0"/>
          <w:numId w:val="1001"/>
        </w:numPr>
      </w:pPr>
      <w:r>
        <w:t xml:space="preserve">How well do the standard STP methods (</w:t>
      </w:r>
      <m:oMath>
        <m:sSub>
          <m:e>
            <m:r>
              <m:t>P</m:t>
            </m:r>
          </m:e>
          <m:sub>
            <m:r>
              <m:t>C</m:t>
            </m:r>
            <m:sSub>
              <m:e>
                <m:r>
                  <m:t>O</m:t>
                </m:r>
              </m:e>
              <m:sub>
                <m:r>
                  <m:t>2</m:t>
                </m:r>
              </m:sub>
            </m:sSub>
          </m:sub>
        </m:sSub>
      </m:oMath>
      <w:r>
        <w:t xml:space="preserve"> </w:t>
      </w:r>
      <w:r>
        <w:t xml:space="preserve">&amp;</w:t>
      </w:r>
      <w:r>
        <w:t xml:space="preserve"> </w:t>
      </w:r>
      <m:oMath>
        <m:sSub>
          <m:e>
            <m:r>
              <m:t>P</m:t>
            </m:r>
          </m:e>
          <m:sub>
            <m:r>
              <m:t>A</m:t>
            </m:r>
            <m:r>
              <m:t>A</m:t>
            </m:r>
            <m:r>
              <m:t>E</m:t>
            </m:r>
            <m:r>
              <m:t>10</m:t>
            </m:r>
          </m:sub>
        </m:sSub>
      </m:oMath>
      <w:r>
        <w:t xml:space="preserve">) predict crop yield, P export, and P balance?</w:t>
      </w:r>
    </w:p>
    <w:p>
      <w:pPr>
        <w:pStyle w:val="Compact"/>
        <w:numPr>
          <w:ilvl w:val="0"/>
          <w:numId w:val="1001"/>
        </w:numPr>
      </w:pPr>
      <w:r>
        <w:t xml:space="preserve">Can the kinetic parameters,</w:t>
      </w:r>
      <w:r>
        <w:t xml:space="preserve"> </w:t>
      </w:r>
      <m:oMath>
        <m:r>
          <m:t>k</m:t>
        </m:r>
      </m:oMath>
      <w:r>
        <w:t xml:space="preserve"> </w:t>
      </w:r>
      <w:r>
        <w:t xml:space="preserve">and</w:t>
      </w:r>
      <w:r>
        <w:t xml:space="preserve"> </w:t>
      </w:r>
      <m:oMath>
        <m:sSup>
          <m:e>
            <m:r>
              <m:t>P</m:t>
            </m:r>
          </m:e>
          <m:sup>
            <m:r>
              <m:t>S</m:t>
            </m:r>
          </m:sup>
        </m:sSup>
      </m:oMath>
      <w:r>
        <w:t xml:space="preserve">, improve the prediction of these agronomic outcomes compared to the standard static tests?</w:t>
      </w:r>
    </w:p>
    <w:bookmarkEnd w:id="23"/>
    <w:bookmarkEnd w:id="24"/>
    <w:bookmarkStart w:id="41" w:name="sec-materials-and-methods"/>
    <w:p>
      <w:pPr>
        <w:pStyle w:val="Heading1"/>
      </w:pPr>
      <w:r>
        <w:t xml:space="preserve">3. Materials and Methods</w:t>
      </w:r>
    </w:p>
    <w:bookmarkStart w:id="25"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et al., 2021)</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5"/>
    <w:bookmarkStart w:id="28"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26"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2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Soil samples for this thesis were collected on [Your Sampling Date] from the topsoil layer (0-20 cm). [Add any further specific details about your sampling strategy here].</w:t>
      </w:r>
    </w:p>
    <w:p>
      <w:r>
        <w:pict>
          <v:rect style="width:0;height:1.5pt" o:hralign="center" o:hrstd="t" o:hr="t"/>
        </w:pict>
      </w:r>
    </w:p>
    <w:bookmarkEnd w:id="28"/>
    <w:bookmarkStart w:id="34"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 Flossmann and Richter (1982). The original method is described below, followed by the specific protocol adapted for this study.</w:t>
      </w:r>
    </w:p>
    <w:bookmarkStart w:id="29" w:name="Xc261baef4af77ed8b3729bcb7f4988714bd1542"/>
    <w:p>
      <w:pPr>
        <w:pStyle w:val="Heading3"/>
      </w:pPr>
      <w:r>
        <w:t xml:space="preserve">3.3.1 Original Method of Flossmann and Richter (1982) {#sec-original-method-of-flossmann-and-richter-(1982}</w:t>
      </w:r>
    </w:p>
    <w:p>
      <w:pPr>
        <w:pStyle w:val="FirstParagraph"/>
      </w:pPr>
      <w:r>
        <w:t xml:space="preserve">The foundational method aims to characterize the P replenishment capacity of the soil. The procedure is as follows:</w:t>
      </w:r>
    </w:p>
    <w:p>
      <w:pPr>
        <w:pStyle w:val="Compact"/>
        <w:numPr>
          <w:ilvl w:val="0"/>
          <w:numId w:val="1002"/>
        </w:numPr>
      </w:pPr>
      <w:r>
        <w:rPr>
          <w:b/>
          <w:bCs/>
        </w:rPr>
        <w:t xml:space="preserve">Removal of Soluble P</w:t>
      </w:r>
      <w:r>
        <w:t xml:space="preserve">: 17.5 g of air-dried soil is shaken with 350 ml of deionized water for one hour at 25 ± 1°C. The suspension is centrifuged and the supernatant is decanted to remove the readily soluble P fraction. This first extract is referred to as:</w:t>
      </w:r>
    </w:p>
    <w:p>
      <w:pPr>
        <w:pStyle w:val="Compact"/>
        <w:numPr>
          <w:ilvl w:val="1"/>
          <w:numId w:val="1003"/>
        </w:numPr>
      </w:pPr>
      <w:r>
        <w:rPr>
          <w:b/>
          <w:bCs/>
        </w:rPr>
        <w:t xml:space="preserve">Solution A</w:t>
      </w:r>
      <w:r>
        <w:t xml:space="preserve">: Contains easily soluble P, which is discarded.</w:t>
      </w:r>
    </w:p>
    <w:p>
      <w:pPr>
        <w:pStyle w:val="Compact"/>
        <w:numPr>
          <w:ilvl w:val="0"/>
          <w:numId w:val="1002"/>
        </w:numPr>
      </w:pPr>
      <w:r>
        <w:rPr>
          <w:b/>
          <w:bCs/>
        </w:rPr>
        <w:t xml:space="preserve">Kinetic Extraction</w:t>
      </w:r>
      <w:r>
        <w:t xml:space="preserve">: The remaining soil pellet is resuspended with another 350 ml of deionized water. Subsamples of the suspension are taken at specific time intervals, yielding the following extracts for kinetic analysis:</w:t>
      </w:r>
    </w:p>
    <w:p>
      <w:pPr>
        <w:pStyle w:val="Compact"/>
        <w:numPr>
          <w:ilvl w:val="1"/>
          <w:numId w:val="1004"/>
        </w:numPr>
      </w:pPr>
      <w:r>
        <w:rPr>
          <w:b/>
          <w:bCs/>
        </w:rPr>
        <w:t xml:space="preserve">Solution B</w:t>
      </w:r>
      <w:r>
        <w:t xml:space="preserve">: Subsample taken after</w:t>
      </w:r>
      <w:r>
        <w:t xml:space="preserve"> </w:t>
      </w:r>
      <w:r>
        <w:rPr>
          <w:b/>
          <w:bCs/>
        </w:rPr>
        <w:t xml:space="preserve">10 minutes</w:t>
      </w:r>
      <w:r>
        <w:t xml:space="preserve">.</w:t>
      </w:r>
    </w:p>
    <w:p>
      <w:pPr>
        <w:pStyle w:val="Compact"/>
        <w:numPr>
          <w:ilvl w:val="1"/>
          <w:numId w:val="1004"/>
        </w:numPr>
      </w:pPr>
      <w:r>
        <w:rPr>
          <w:b/>
          <w:bCs/>
        </w:rPr>
        <w:t xml:space="preserve">Solution C</w:t>
      </w:r>
      <w:r>
        <w:t xml:space="preserve">: Subsample taken after</w:t>
      </w:r>
      <w:r>
        <w:t xml:space="preserve"> </w:t>
      </w:r>
      <w:r>
        <w:rPr>
          <w:b/>
          <w:bCs/>
        </w:rPr>
        <w:t xml:space="preserve">30 minutes</w:t>
      </w:r>
      <w:r>
        <w:t xml:space="preserve">.</w:t>
      </w:r>
    </w:p>
    <w:p>
      <w:pPr>
        <w:pStyle w:val="Compact"/>
        <w:numPr>
          <w:ilvl w:val="1"/>
          <w:numId w:val="1004"/>
        </w:numPr>
      </w:pPr>
      <w:r>
        <w:rPr>
          <w:b/>
          <w:bCs/>
        </w:rPr>
        <w:t xml:space="preserve">Solution D</w:t>
      </w:r>
      <w:r>
        <w:t xml:space="preserve">: Subsample taken after</w:t>
      </w:r>
      <w:r>
        <w:t xml:space="preserve"> </w:t>
      </w:r>
      <w:r>
        <w:rPr>
          <w:b/>
          <w:bCs/>
        </w:rPr>
        <w:t xml:space="preserve">120 minutes</w:t>
      </w:r>
      <w:r>
        <w:t xml:space="preserve">.</w:t>
      </w:r>
    </w:p>
    <w:p>
      <w:pPr>
        <w:pStyle w:val="Compact"/>
        <w:numPr>
          <w:ilvl w:val="0"/>
          <w:numId w:val="1002"/>
        </w:numPr>
      </w:pPr>
      <w:r>
        <w:rPr>
          <w:b/>
          <w:bCs/>
        </w:rPr>
        <w:t xml:space="preserve">Analysis</w:t>
      </w:r>
      <w:r>
        <w:t xml:space="preserve">: The P concentration in Solutions B, C, and D is determined colorimetrically using the molybdenum blue method according to Murphy and Riley (1962).</w:t>
      </w:r>
    </w:p>
    <w:bookmarkEnd w:id="29"/>
    <w:bookmarkStart w:id="33"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 and using a different soil-to-solution ratio.</w:t>
      </w:r>
    </w:p>
    <w:p>
      <w:pPr>
        <w:numPr>
          <w:ilvl w:val="0"/>
          <w:numId w:val="1005"/>
        </w:numPr>
      </w:pPr>
      <w:r>
        <w:rPr>
          <w:b/>
          <w:bCs/>
        </w:rPr>
        <w:t xml:space="preserve">Soil Suspension</w:t>
      </w:r>
      <w:r>
        <w:t xml:space="preserve">: 10 g of air-dried soil was suspended in 200 ml of deionized water. Unlike the original protocol, a pre-washing step to remove soluble P was not performed, meaning the measured desorption includes both the release of readily soluble P and the subsequent replenishment from the solid phase.</w:t>
      </w:r>
    </w:p>
    <w:p>
      <w:pPr>
        <w:numPr>
          <w:ilvl w:val="0"/>
          <w:numId w:val="1005"/>
        </w:numPr>
      </w:pPr>
      <w:r>
        <w:rPr>
          <w:b/>
          <w:bCs/>
        </w:rPr>
        <w:t xml:space="preserve">Kinetic Extraction</w:t>
      </w:r>
      <w:r>
        <w:t xml:space="preserve">: The suspension was shaken continuously, and subsamples were taken at eight time points to generate a detailed kinetic curve. The resulting extracts were:</w:t>
      </w:r>
    </w:p>
    <w:p>
      <w:pPr>
        <w:pStyle w:val="Compact"/>
        <w:numPr>
          <w:ilvl w:val="1"/>
          <w:numId w:val="1006"/>
        </w:numPr>
      </w:pPr>
      <w:r>
        <w:rPr>
          <w:b/>
          <w:bCs/>
        </w:rPr>
        <w:t xml:space="preserve">Extract 1</w:t>
      </w:r>
      <w:r>
        <w:t xml:space="preserve">: Subsample taken after</w:t>
      </w:r>
      <w:r>
        <w:t xml:space="preserve"> </w:t>
      </w:r>
      <w:r>
        <w:rPr>
          <w:b/>
          <w:bCs/>
        </w:rPr>
        <w:t xml:space="preserve">2 minutes</w:t>
      </w:r>
      <w:r>
        <w:t xml:space="preserve">.</w:t>
      </w:r>
    </w:p>
    <w:p>
      <w:pPr>
        <w:pStyle w:val="Compact"/>
        <w:numPr>
          <w:ilvl w:val="1"/>
          <w:numId w:val="1006"/>
        </w:numPr>
      </w:pPr>
      <w:r>
        <w:rPr>
          <w:b/>
          <w:bCs/>
        </w:rPr>
        <w:t xml:space="preserve">Extract 2</w:t>
      </w:r>
      <w:r>
        <w:t xml:space="preserve">: Subsample taken after</w:t>
      </w:r>
      <w:r>
        <w:t xml:space="preserve"> </w:t>
      </w:r>
      <w:r>
        <w:rPr>
          <w:b/>
          <w:bCs/>
        </w:rPr>
        <w:t xml:space="preserve">4 minutes</w:t>
      </w:r>
      <w:r>
        <w:t xml:space="preserve">.</w:t>
      </w:r>
    </w:p>
    <w:p>
      <w:pPr>
        <w:pStyle w:val="Compact"/>
        <w:numPr>
          <w:ilvl w:val="1"/>
          <w:numId w:val="1006"/>
        </w:numPr>
      </w:pPr>
      <w:r>
        <w:rPr>
          <w:b/>
          <w:bCs/>
        </w:rPr>
        <w:t xml:space="preserve">Extract 3</w:t>
      </w:r>
      <w:r>
        <w:t xml:space="preserve">: Subsample taken after</w:t>
      </w:r>
      <w:r>
        <w:t xml:space="preserve"> </w:t>
      </w:r>
      <w:r>
        <w:rPr>
          <w:b/>
          <w:bCs/>
        </w:rPr>
        <w:t xml:space="preserve">10 minutes</w:t>
      </w:r>
      <w:r>
        <w:t xml:space="preserve">.</w:t>
      </w:r>
    </w:p>
    <w:p>
      <w:pPr>
        <w:pStyle w:val="Compact"/>
        <w:numPr>
          <w:ilvl w:val="1"/>
          <w:numId w:val="1006"/>
        </w:numPr>
      </w:pPr>
      <w:r>
        <w:rPr>
          <w:b/>
          <w:bCs/>
        </w:rPr>
        <w:t xml:space="preserve">Extract 4</w:t>
      </w:r>
      <w:r>
        <w:t xml:space="preserve">: Subsample taken after</w:t>
      </w:r>
      <w:r>
        <w:t xml:space="preserve"> </w:t>
      </w:r>
      <w:r>
        <w:rPr>
          <w:b/>
          <w:bCs/>
        </w:rPr>
        <w:t xml:space="preserve">15 minutes</w:t>
      </w:r>
      <w:r>
        <w:t xml:space="preserve">.</w:t>
      </w:r>
    </w:p>
    <w:p>
      <w:pPr>
        <w:pStyle w:val="Compact"/>
        <w:numPr>
          <w:ilvl w:val="1"/>
          <w:numId w:val="1006"/>
        </w:numPr>
      </w:pPr>
      <w:r>
        <w:rPr>
          <w:b/>
          <w:bCs/>
        </w:rPr>
        <w:t xml:space="preserve">Extract 5</w:t>
      </w:r>
      <w:r>
        <w:t xml:space="preserve">: Subsample taken after</w:t>
      </w:r>
      <w:r>
        <w:t xml:space="preserve"> </w:t>
      </w:r>
      <w:r>
        <w:rPr>
          <w:b/>
          <w:bCs/>
        </w:rPr>
        <w:t xml:space="preserve">20 minutes</w:t>
      </w:r>
      <w:r>
        <w:t xml:space="preserve">.</w:t>
      </w:r>
    </w:p>
    <w:p>
      <w:pPr>
        <w:pStyle w:val="Compact"/>
        <w:numPr>
          <w:ilvl w:val="1"/>
          <w:numId w:val="1006"/>
        </w:numPr>
      </w:pPr>
      <w:r>
        <w:rPr>
          <w:b/>
          <w:bCs/>
        </w:rPr>
        <w:t xml:space="preserve">Extract 6</w:t>
      </w:r>
      <w:r>
        <w:t xml:space="preserve">: Subsample taken after</w:t>
      </w:r>
      <w:r>
        <w:t xml:space="preserve"> </w:t>
      </w:r>
      <w:r>
        <w:rPr>
          <w:b/>
          <w:bCs/>
        </w:rPr>
        <w:t xml:space="preserve">30 minutes</w:t>
      </w:r>
      <w:r>
        <w:t xml:space="preserve">.</w:t>
      </w:r>
    </w:p>
    <w:p>
      <w:pPr>
        <w:pStyle w:val="Compact"/>
        <w:numPr>
          <w:ilvl w:val="1"/>
          <w:numId w:val="1006"/>
        </w:numPr>
      </w:pPr>
      <w:r>
        <w:rPr>
          <w:b/>
          <w:bCs/>
        </w:rPr>
        <w:t xml:space="preserve">Extract 7</w:t>
      </w:r>
      <w:r>
        <w:t xml:space="preserve">: Subsample taken after</w:t>
      </w:r>
      <w:r>
        <w:t xml:space="preserve"> </w:t>
      </w:r>
      <w:r>
        <w:rPr>
          <w:b/>
          <w:bCs/>
        </w:rPr>
        <w:t xml:space="preserve">45 minutes</w:t>
      </w:r>
      <w:r>
        <w:t xml:space="preserve">.</w:t>
      </w:r>
    </w:p>
    <w:p>
      <w:pPr>
        <w:pStyle w:val="Compact"/>
        <w:numPr>
          <w:ilvl w:val="1"/>
          <w:numId w:val="1006"/>
        </w:numPr>
      </w:pPr>
      <w:r>
        <w:rPr>
          <w:b/>
          <w:bCs/>
        </w:rPr>
        <w:t xml:space="preserve">Extract 8</w:t>
      </w:r>
      <w:r>
        <w:t xml:space="preserve">: Subsample taken after</w:t>
      </w:r>
      <w:r>
        <w:t xml:space="preserve"> </w:t>
      </w:r>
      <w:r>
        <w:rPr>
          <w:b/>
          <w:bCs/>
        </w:rPr>
        <w:t xml:space="preserve">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w:t>
      </w:r>
    </w:p>
    <w:p>
      <w:r>
        <w:pict>
          <v:rect style="width:0;height:1.5pt" o:hralign="center" o:hrstd="t" o:hr="t"/>
        </w:pict>
      </w:r>
    </w:p>
    <w:p>
      <w:pPr>
        <w:pStyle w:val="CaptionedFigure"/>
      </w:pPr>
      <w:r>
        <w:drawing>
          <wp:inline>
            <wp:extent cx="5334000" cy="4057897"/>
            <wp:effectExtent b="0" l="0" r="0" t="0"/>
            <wp:docPr descr="Flow-chart of the adapted Kinetik-experiment after Flossmann &amp; Richter." title="" id="31" name="Picture"/>
            <a:graphic>
              <a:graphicData uri="http://schemas.openxmlformats.org/drawingml/2006/picture">
                <pic:pic>
                  <pic:nvPicPr>
                    <pic:cNvPr descr="./experiment-flow.png" id="32" name="Picture"/>
                    <pic:cNvPicPr>
                      <a:picLocks noChangeArrowheads="1" noChangeAspect="1"/>
                    </pic:cNvPicPr>
                  </pic:nvPicPr>
                  <pic:blipFill>
                    <a:blip r:embed="rId30"/>
                    <a:stretch>
                      <a:fillRect/>
                    </a:stretch>
                  </pic:blipFill>
                  <pic:spPr bwMode="auto">
                    <a:xfrm>
                      <a:off x="0" y="0"/>
                      <a:ext cx="5334000" cy="4057897"/>
                    </a:xfrm>
                    <a:prstGeom prst="rect">
                      <a:avLst/>
                    </a:prstGeom>
                    <a:noFill/>
                    <a:ln w="9525">
                      <a:noFill/>
                      <a:headEnd/>
                      <a:tailEnd/>
                    </a:ln>
                  </pic:spPr>
                </pic:pic>
              </a:graphicData>
            </a:graphic>
          </wp:inline>
        </w:drawing>
      </w:r>
    </w:p>
    <w:p>
      <w:pPr>
        <w:pStyle w:val="ImageCaption"/>
      </w:pPr>
      <w:r>
        <w:t xml:space="preserve">Flow-chart of the adapted Kinetik-experiment after Flossmann &amp; Richter.</w:t>
      </w:r>
    </w:p>
    <w:bookmarkEnd w:id="33"/>
    <w:bookmarkEnd w:id="34"/>
    <w:bookmarkStart w:id="40" w:name="sec-statistical-analysis"/>
    <w:p>
      <w:pPr>
        <w:pStyle w:val="Heading2"/>
      </w:pPr>
      <w:r>
        <w:t xml:space="preserve">3.4 Statistical Analysis</w:t>
      </w:r>
    </w:p>
    <w:p>
      <w:pPr>
        <w:pStyle w:val="FirstParagraph"/>
      </w:pPr>
      <w:r>
        <w:t xml:space="preserve">The statistical workflow involved two main stages: 1) estimating the P desorption kinetic parameters from the laboratory data, and 2) using these parameters to model the agronomic outcomes from the long-term field experiment.</w:t>
      </w:r>
    </w:p>
    <w:bookmarkStart w:id="35" w:name="sec-modeling-of-desorption-kinetics"/>
    <w:p>
      <w:pPr>
        <w:pStyle w:val="Heading3"/>
      </w:pPr>
      <w:r>
        <w:t xml:space="preserve">3.4.1 Modeling of Desorption Kinetics</w:t>
      </w:r>
    </w:p>
    <w:p>
      <w:pPr>
        <w:pStyle w:val="FirstParagraph"/>
      </w:pPr>
      <w:r>
        <w:t xml:space="preserve">To derive the kinetic parameters, a non-linear mixed-effects model (</w:t>
      </w:r>
      <w:r>
        <w:rPr>
          <w:rStyle w:val="VerbatimChar"/>
        </w:rPr>
        <w:t xml:space="preserve">nlme</w:t>
      </w:r>
      <w:r>
        <w:t xml:space="preserve">) was implemented. This approach was chosen to simultaneously estimate the rate constant (</w:t>
      </w:r>
      <m:oMath>
        <m:r>
          <m:t>k</m:t>
        </m:r>
      </m:oMath>
      <w:r>
        <w:t xml:space="preserve">) and the maximum desorbable P (</w:t>
      </w:r>
      <m:oMath>
        <m:sSub>
          <m:e>
            <m:r>
              <m:t>P</m:t>
            </m:r>
          </m:e>
          <m:sub>
            <m:r>
              <m:t>d</m:t>
            </m:r>
            <m:r>
              <m:t>e</m:t>
            </m:r>
            <m:r>
              <m:t>s</m:t>
            </m:r>
            <m:r>
              <m:t>o</m:t>
            </m:r>
            <m:r>
              <m:t>r</m:t>
            </m:r>
            <m:r>
              <m:t>b</m:t>
            </m:r>
          </m:sub>
        </m:sSub>
      </m:oMath>
      <w:r>
        <w:t xml:space="preserve">) directly from the time-series data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rPr>
                <m:nor/>
                <m:sty m:val="p"/>
              </m:rPr>
              <m:t>min</m:t>
            </m:r>
          </m:sub>
        </m:sSub>
        <m:r>
          <m:rPr>
            <m:sty m:val="p"/>
          </m:rPr>
          <m:t>+</m:t>
        </m:r>
        <m:r>
          <m:t>3</m:t>
        </m:r>
      </m:oMath>
      <w:r>
        <w:t xml:space="preserve"> </w:t>
      </w:r>
      <w:r>
        <w:t xml:space="preserve">min) to account for rapid initial P dissolution. The overall means for</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were modeled as</w:t>
      </w:r>
      <w:r>
        <w:t xml:space="preserve"> </w:t>
      </w:r>
      <w:r>
        <w:rPr>
          <w:b/>
          <w:bCs/>
        </w:rPr>
        <w:t xml:space="preserve">fixed effects</w:t>
      </w:r>
      <w:r>
        <w:t xml:space="preserve">, while sample-specific deviations for both parameters were modeled as</w:t>
      </w:r>
      <w:r>
        <w:t xml:space="preserve"> </w:t>
      </w:r>
      <w:r>
        <w:rPr>
          <w:b/>
          <w:bCs/>
        </w:rPr>
        <w:t xml:space="preserve">random effects</w:t>
      </w:r>
      <w:r>
        <w:t xml:space="preserve"> </w:t>
      </w:r>
      <w:r>
        <w:t xml:space="preserve">to capture the unique characteristics of each soil sample.</w:t>
      </w:r>
    </w:p>
    <w:bookmarkEnd w:id="35"/>
    <w:bookmarkStart w:id="39" w:name="sec-modeling-of-agronomic-responses"/>
    <w:p>
      <w:pPr>
        <w:pStyle w:val="Heading3"/>
      </w:pPr>
      <w:r>
        <w:t xml:space="preserve">3.4.2 Modeling of Agronomic Responses</w:t>
      </w:r>
    </w:p>
    <w:p>
      <w:pPr>
        <w:pStyle w:val="FirstParagraph"/>
      </w:pPr>
      <w:r>
        <w:t xml:space="preserve">The estimated kinetic parameters were merged with the agronomic and soil chemistry dataset from the years 2017-2022. A series of linear mixed-effects models were then constructed to evaluate the predictive power of these parameters.</w:t>
      </w:r>
    </w:p>
    <w:bookmarkStart w:id="37" w:name="sec-variables-used-in-the-models"/>
    <w:p>
      <w:pPr>
        <w:pStyle w:val="Heading4"/>
      </w:pPr>
      <w:r>
        <w:t xml:space="preserve">3.4.2.1 Variables Used in the Models</w:t>
      </w:r>
    </w:p>
    <w:p>
      <w:pPr>
        <w:pStyle w:val="FirstParagraph"/>
      </w:pPr>
      <w:r>
        <w:t xml:space="preserve">The response and predictor variables used in the linear mixed-effects models are defined in the table below.</w:t>
      </w:r>
    </w:p>
    <w:tbl>
      <w:tblPr>
        <w:tblStyle w:val="Table"/>
        <w:tblW w:type="pct" w:w="5000"/>
        <w:tblLayout w:type="fixed"/>
        <w:tblLook w:firstRow="0" w:lastRow="0" w:firstColumn="0" w:lastColumn="0" w:noHBand="0" w:noVBand="0" w:val="0000"/>
      </w:tblPr>
      <w:tblGrid>
        <w:gridCol w:w="7920"/>
      </w:tblGrid>
      <w:tr>
        <w:tc>
          <w:tcPr/>
          <w:bookmarkStart w:id="36" w:name="tbl-variables"/>
          <w:p>
            <w:pPr>
              <w:jc w:val="center"/>
            </w:pPr>
            <w:pPr>
              <w:jc w:val="start"/>
              <w:spacing w:before="200"/>
              <w:pStyle w:val="ImageCaption"/>
            </w:pPr>
            <w:r>
              <w:t xml:space="preserve">Table 2: Description of variables used in the agronomic models.</w:t>
            </w:r>
          </w:p>
          <w:tbl>
            <w:tblPr>
              <w:tblStyle w:val="Table"/>
              <w:tblW w:type="pct" w:w="5000"/>
              <w:tblLayout w:type="fixed"/>
              <w:tblLook w:firstRow="1" w:lastRow="0" w:firstColumn="0" w:lastColumn="0" w:noHBand="0" w:noVBand="0" w:val="0020"/>
            </w:tblPr>
            <w:tblGrid>
              <w:gridCol w:w="677"/>
              <w:gridCol w:w="1146"/>
              <w:gridCol w:w="521"/>
              <w:gridCol w:w="5575"/>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Role</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Response</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Response</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Response</w:t>
                  </w:r>
                </w:p>
              </w:tc>
              <w:tc>
                <w:tcPr/>
                <w:p>
                  <w:pPr>
                    <w:pStyle w:val="Compact"/>
                    <w:jc w:val="left"/>
                    <w:jc w:val="center"/>
                  </w:pPr>
                  <w:r>
                    <w:t xml:space="preserve">Total P removed by the harvested crop biomass over a growing season (kg P ha⁻¹).</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Response</w:t>
                  </w:r>
                </w:p>
              </w:tc>
              <w:tc>
                <w:tcPr/>
                <w:p>
                  <w:pPr>
                    <w:pStyle w:val="Compact"/>
                    <w:jc w:val="left"/>
                    <w:jc w:val="center"/>
                  </w:pPr>
                  <w:r>
                    <w:t xml:space="preserve">Net P budget, calculated as P inputs (fertilizer) minus P outputs (uptake) (kg P ha⁻¹).</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Predictor</w:t>
                  </w:r>
                </w:p>
              </w:tc>
              <w:tc>
                <w:tcPr/>
                <w:p>
                  <w:pPr>
                    <w:pStyle w:val="Compact"/>
                    <w:jc w:val="left"/>
                    <w:jc w:val="center"/>
                  </w:pPr>
                  <w:r>
                    <w:t xml:space="preserve">First-order rate constant of P desorption, representing the speed of P release (min⁻¹).</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Predictor</w:t>
                  </w:r>
                </w:p>
              </w:tc>
              <w:tc>
                <w:tcPr/>
                <w:p>
                  <w:pPr>
                    <w:pStyle w:val="Compact"/>
                    <w:jc w:val="left"/>
                    <w:jc w:val="center"/>
                  </w:pPr>
                  <w:r>
                    <w:t xml:space="preserve">Maximum desorbable P, representing the size of the readily available P pool (mg P L⁻¹).</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Predictor</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Predictor</w:t>
                  </w:r>
                </w:p>
              </w:tc>
              <w:tc>
                <w:tcPr/>
                <w:p>
                  <w:pPr>
                    <w:pStyle w:val="Compact"/>
                    <w:jc w:val="left"/>
                    <w:jc w:val="center"/>
                  </w:pPr>
                  <w:r>
                    <w:t xml:space="preserve">Plant-available P measured by the CO₂-saturated water extraction method (mg P kg⁻¹).</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Predictor</w:t>
                  </w:r>
                </w:p>
              </w:tc>
              <w:tc>
                <w:tcPr/>
                <w:p>
                  <w:pPr>
                    <w:pStyle w:val="Compact"/>
                    <w:jc w:val="left"/>
                    <w:jc w:val="center"/>
                  </w:pPr>
                  <w:r>
                    <w:t xml:space="preserve">Plant-available P measured by the ammonium-acetate-EDTA extraction method (mg P kg⁻¹).</w:t>
                  </w:r>
                </w:p>
              </w:tc>
            </w:tr>
          </w:tbl>
          <w:bookmarkEnd w:id="3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37"/>
    <w:bookmarkStart w:id="38" w:name="sec-linear-mixed-effects-model-structure"/>
    <w:p>
      <w:pPr>
        <w:pStyle w:val="Heading4"/>
      </w:pPr>
      <w:r>
        <w:t xml:space="preserve">3.4.2.2 Linear Mixed-Effects Model Structure</w:t>
      </w:r>
    </w:p>
    <w:p>
      <w:pPr>
        <w:pStyle w:val="FirstParagraph"/>
      </w:pPr>
      <w:r>
        <w:t xml:space="preserve">Linear mixed-effects models (</w:t>
      </w:r>
      <w:r>
        <w:rPr>
          <w:rStyle w:val="VerbatimChar"/>
        </w:rPr>
        <w:t xml:space="preserve">lmer</w:t>
      </w:r>
      <w:r>
        <w:t xml:space="preserve">) were used to test the relationships between the predictor variables and each of the three response variables. The structure of these models was designed to account for the nested nature of the long-term experiment. A general form of the model is:</w:t>
      </w:r>
    </w:p>
    <w:p>
      <w:pPr>
        <w:pStyle w:val="BodyText"/>
      </w:pPr>
      <w:r>
        <w:rPr>
          <w:i/>
          <w:iCs/>
        </w:rPr>
        <w:t xml:space="preserve">Response Variable ~ Fixed Effects + (1 | Random Effects)</w:t>
      </w:r>
    </w:p>
    <w:p>
      <w:pPr>
        <w:pStyle w:val="Compact"/>
        <w:numPr>
          <w:ilvl w:val="0"/>
          <w:numId w:val="1007"/>
        </w:numPr>
      </w:pPr>
      <w:r>
        <w:rPr>
          <w:b/>
          <w:bCs/>
        </w:rPr>
        <w:t xml:space="preserve">Fixed Effects</w:t>
      </w:r>
      <w:r>
        <w:t xml:space="preserve">: These represent the main explanatory variables of interest whose effects we wanted to quantify. The fixed effects included the kinetic parameters (</w:t>
      </w:r>
      <m:oMath>
        <m:r>
          <m:t>k</m:t>
        </m:r>
      </m:oMath>
      <w:r>
        <w:t xml:space="preserve">,</w:t>
      </w:r>
      <w:r>
        <w:t xml:space="preserve"> </w:t>
      </w:r>
      <m:oMath>
        <m:sSub>
          <m:e>
            <m:r>
              <m:t>P</m:t>
            </m:r>
          </m:e>
          <m:sub>
            <m:r>
              <m:t>d</m:t>
            </m:r>
            <m:r>
              <m:t>e</m:t>
            </m:r>
            <m:r>
              <m:t>s</m:t>
            </m:r>
            <m:r>
              <m:t>o</m:t>
            </m:r>
            <m:r>
              <m:t>r</m:t>
            </m:r>
            <m:r>
              <m:t>b</m:t>
            </m:r>
          </m:sub>
        </m:sSub>
      </m:oMath>
      <w:r>
        <w:t xml:space="preserve">,</w:t>
      </w:r>
      <w:r>
        <w:t xml:space="preserve"> </w:t>
      </w:r>
      <m:oMath>
        <m:sSub>
          <m:e>
            <m:r>
              <m:t>J</m:t>
            </m:r>
          </m:e>
          <m:sub>
            <m:r>
              <m:t>0</m:t>
            </m:r>
          </m:sub>
        </m:sSub>
      </m:oMath>
      <w:r>
        <w:t xml:space="preserve">) and the standard soil P tests (</w:t>
      </w:r>
      <m:oMath>
        <m:sSub>
          <m:e>
            <m:r>
              <m:t>P</m:t>
            </m:r>
          </m:e>
          <m:sub>
            <m:r>
              <m:t>w</m:t>
            </m:r>
          </m:sub>
        </m:sSub>
      </m:oMath>
      <w:r>
        <w:t xml:space="preserve">,</w:t>
      </w:r>
      <w:r>
        <w:t xml:space="preserve"> </w:t>
      </w:r>
      <m:oMath>
        <m:sSub>
          <m:e>
            <m:r>
              <m:t>P</m:t>
            </m:r>
          </m:e>
          <m:sub>
            <m:r>
              <m:t>A</m:t>
            </m:r>
            <m:r>
              <m:t>A</m:t>
            </m:r>
            <m:r>
              <m:t>E</m:t>
            </m:r>
            <m:r>
              <m:t>10</m:t>
            </m:r>
          </m:sub>
        </m:sSub>
      </m:oMath>
      <w:r>
        <w:t xml:space="preserve">), along with their interactions.</w:t>
      </w:r>
    </w:p>
    <w:p>
      <w:pPr>
        <w:pStyle w:val="Compact"/>
        <w:numPr>
          <w:ilvl w:val="0"/>
          <w:numId w:val="1007"/>
        </w:numPr>
      </w:pPr>
      <w:r>
        <w:rPr>
          <w:b/>
          <w:bCs/>
        </w:rPr>
        <w:t xml:space="preserve">Random Effects</w:t>
      </w:r>
      <w:r>
        <w:t xml:space="preserve">: These were included to control for non-independence among observations. By including</w:t>
      </w:r>
      <w:r>
        <w:t xml:space="preserve"> </w:t>
      </w:r>
      <w:r>
        <w:rPr>
          <w:rStyle w:val="VerbatimChar"/>
        </w:rPr>
        <w:t xml:space="preserve">(1 | Site)</w:t>
      </w:r>
      <w:r>
        <w:t xml:space="preserve">,</w:t>
      </w:r>
      <w:r>
        <w:t xml:space="preserve"> </w:t>
      </w:r>
      <w:r>
        <w:rPr>
          <w:rStyle w:val="VerbatimChar"/>
        </w:rPr>
        <w:t xml:space="preserve">(1 | Year)</w:t>
      </w:r>
      <w:r>
        <w:t xml:space="preserve">, and</w:t>
      </w:r>
      <w:r>
        <w:t xml:space="preserve"> </w:t>
      </w:r>
      <w:r>
        <w:rPr>
          <w:rStyle w:val="VerbatimChar"/>
        </w:rPr>
        <w:t xml:space="preserve">(1 | Crop)</w:t>
      </w:r>
      <w:r>
        <w:t xml:space="preserve"> </w:t>
      </w:r>
      <w:r>
        <w:t xml:space="preserve">as random intercepts, the model accounts for baseline differences in the response variable that are attributable to the specific location, growing season, or crop type, allowing for a more accurate estimation of the fixed effects.</w:t>
      </w:r>
    </w:p>
    <w:p>
      <w:pPr>
        <w:pStyle w:val="FirstParagraph"/>
      </w:pPr>
      <w:r>
        <w:t xml:space="preserve">To identify the most informative and parsimonious model, a systematic feature selection process was conducted using the</w:t>
      </w:r>
      <w:r>
        <w:t xml:space="preserve"> </w:t>
      </w:r>
      <w:r>
        <w:rPr>
          <w:rStyle w:val="VerbatimChar"/>
        </w:rPr>
        <w:t xml:space="preserve">mlr3</w:t>
      </w:r>
      <w:r>
        <w:t xml:space="preserve"> </w:t>
      </w:r>
      <w:r>
        <w:t xml:space="preserve">machine learning framework. This involved training and evaluating different combinations of predictor variables using nested cross-validation to ensure the robustness of the final selected model.</w:t>
      </w:r>
    </w:p>
    <w:p>
      <w:pPr>
        <w:pStyle w:val="BodyText"/>
      </w:pPr>
      <w:r>
        <w:t xml:space="preserve">All statistical analyses were performed in the R environment, utilizing the</w:t>
      </w:r>
      <w:r>
        <w:t xml:space="preserve"> </w:t>
      </w:r>
      <w:r>
        <w:rPr>
          <w:rStyle w:val="VerbatimChar"/>
        </w:rPr>
        <w:t xml:space="preserve">nlme</w:t>
      </w:r>
      <w:r>
        <w:t xml:space="preserve"> </w:t>
      </w:r>
      <w:r>
        <w:t xml:space="preserve">package for kinetic modeling and the</w:t>
      </w:r>
      <w:r>
        <w:t xml:space="preserve"> </w:t>
      </w:r>
      <w:r>
        <w:rPr>
          <w:rStyle w:val="VerbatimChar"/>
        </w:rPr>
        <w:t xml:space="preserve">lme4</w:t>
      </w:r>
      <w:r>
        <w:t xml:space="preserve">,</w:t>
      </w:r>
      <w:r>
        <w:t xml:space="preserve"> </w:t>
      </w:r>
      <w:r>
        <w:rPr>
          <w:rStyle w:val="VerbatimChar"/>
        </w:rPr>
        <w:t xml:space="preserve">lmerTest</w:t>
      </w:r>
      <w:r>
        <w:t xml:space="preserve">, and</w:t>
      </w:r>
      <w:r>
        <w:t xml:space="preserve"> </w:t>
      </w:r>
      <w:r>
        <w:rPr>
          <w:rStyle w:val="VerbatimChar"/>
        </w:rPr>
        <w:t xml:space="preserve">mlr3</w:t>
      </w:r>
      <w:r>
        <w:t xml:space="preserve"> </w:t>
      </w:r>
      <w:r>
        <w:t xml:space="preserve">packages for the final agronomic modeling and feature selection.</w:t>
      </w:r>
    </w:p>
    <w:bookmarkEnd w:id="38"/>
    <w:bookmarkEnd w:id="39"/>
    <w:bookmarkEnd w:id="40"/>
    <w:bookmarkEnd w:id="41"/>
    <w:bookmarkStart w:id="89" w:name="results"/>
    <w:p>
      <w:pPr>
        <w:pStyle w:val="Heading1"/>
      </w:pPr>
      <w:r>
        <w:t xml:space="preserve">4. Results</w:t>
      </w:r>
    </w:p>
    <w:p>
      <w:pPr>
        <w:pStyle w:val="FirstParagraph"/>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4"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47"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6" w:name="cell-fig-linearized-model"/>
    <w:tbl>
      <w:tblPr>
        <w:tblStyle w:val="Table"/>
        <w:tblW w:type="pct" w:w="5000"/>
        <w:tblLayout w:type="fixed"/>
        <w:tblLook w:firstRow="0" w:lastRow="0" w:firstColumn="0" w:lastColumn="0" w:noHBand="0" w:noVBand="0" w:val="0000"/>
      </w:tblPr>
      <w:tblGrid>
        <w:gridCol w:w="7920"/>
      </w:tblGrid>
      <w:tr>
        <w:tc>
          <w:tcPr/>
          <w:bookmarkStart w:id="45" w:name="fig-linearized-model"/>
          <w:p>
            <w:pPr>
              <w:pStyle w:val="Compact"/>
              <w:jc w:val="center"/>
            </w:pPr>
            <w:r>
              <w:drawing>
                <wp:inline>
                  <wp:extent cx="4620126" cy="5544151"/>
                  <wp:effectExtent b="0" l="0" r="0" t="0"/>
                  <wp:docPr descr="" title="" id="43" name="Picture"/>
                  <a:graphic>
                    <a:graphicData uri="http://schemas.openxmlformats.org/drawingml/2006/picture">
                      <pic:pic>
                        <pic:nvPicPr>
                          <pic:cNvPr descr="index_files/figure-docx/fig-linearized-model-1.png" id="44" name="Picture"/>
                          <pic:cNvPicPr>
                            <a:picLocks noChangeArrowheads="1" noChangeAspect="1"/>
                          </pic:cNvPicPr>
                        </pic:nvPicPr>
                        <pic:blipFill>
                          <a:blip r:embed="rId42"/>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5"/>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46"/>
    <w:bookmarkEnd w:id="47"/>
    <w:bookmarkStart w:id="53"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2" w:name="cell-fig-nonlinear-model"/>
    <w:tbl>
      <w:tblPr>
        <w:tblStyle w:val="Table"/>
        <w:tblW w:type="pct" w:w="5000"/>
        <w:tblLayout w:type="fixed"/>
        <w:tblLook w:firstRow="0" w:lastRow="0" w:firstColumn="0" w:lastColumn="0" w:noHBand="0" w:noVBand="0" w:val="0000"/>
      </w:tblPr>
      <w:tblGrid>
        <w:gridCol w:w="7920"/>
      </w:tblGrid>
      <w:tr>
        <w:tc>
          <w:tcPr/>
          <w:bookmarkStart w:id="51" w:name="fig-nonlinear-model"/>
          <w:p>
            <w:pPr>
              <w:pStyle w:val="Compact"/>
              <w:jc w:val="center"/>
            </w:pPr>
            <w:r>
              <w:drawing>
                <wp:inline>
                  <wp:extent cx="4620126" cy="5544151"/>
                  <wp:effectExtent b="0" l="0" r="0" t="0"/>
                  <wp:docPr descr="" title="" id="49" name="Picture"/>
                  <a:graphic>
                    <a:graphicData uri="http://schemas.openxmlformats.org/drawingml/2006/picture">
                      <pic:pic>
                        <pic:nvPicPr>
                          <pic:cNvPr descr="index_files/figure-docx/fig-nonlinear-model-1.png" id="50" name="Picture"/>
                          <pic:cNvPicPr>
                            <a:picLocks noChangeArrowheads="1" noChangeAspect="1"/>
                          </pic:cNvPicPr>
                        </pic:nvPicPr>
                        <pic:blipFill>
                          <a:blip r:embed="rId48"/>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1"/>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52"/>
    <w:bookmarkEnd w:id="53"/>
    <w:bookmarkEnd w:id="54"/>
    <w:bookmarkStart w:id="64" w:name="Xdbaf8f4d6ef786b0bdeeafec1d4b4b7b2fcdbe2"/>
    <w:p>
      <w:pPr>
        <w:pStyle w:val="Heading2"/>
      </w:pPr>
      <w:r>
        <w:t xml:space="preserve">4.2 Comparison with Isotopic Exchange Kinetics (IEK) {#sec-comparison-with-isotopic-exchange-kinetics-(iek}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e</m:t>
            </m:r>
            <m:r>
              <m:t>x</m:t>
            </m:r>
            <m:r>
              <m:t>p</m:t>
            </m:r>
            <m:r>
              <m:rPr>
                <m:sty m:val="p"/>
              </m:rPr>
              <m:t>_</m:t>
            </m:r>
            <m:r>
              <m:t>10080</m:t>
            </m:r>
          </m:sub>
        </m:sSub>
      </m:oMath>
      <w:r>
        <w:t xml:space="preserve">). The desorption rate constant (</w:t>
      </w:r>
      <m:oMath>
        <m:r>
          <m:t>k</m:t>
        </m:r>
      </m:oMath>
      <w:r>
        <w:t xml:space="preserve">) was compared against the IEK kinetic parameter measured after 24 hours (</w:t>
      </w:r>
      <m:oMath>
        <m:sSub>
          <m:e>
            <m:r>
              <m:t>n</m:t>
            </m:r>
          </m:e>
          <m:sub>
            <m:r>
              <m:t>1440</m:t>
            </m:r>
          </m:sub>
        </m:sSub>
      </m:oMath>
      <w:r>
        <w:t xml:space="preserve">). Spearman’s rank correlation was used to robustly test for monotonic trends between the different methods.</w:t>
      </w:r>
    </w:p>
    <w:bookmarkStart w:id="63"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8" w:name="fig-iek-comparison-1"/>
                <w:p>
                  <w:pPr>
                    <w:pStyle w:val="Compact"/>
                    <w:jc w:val="center"/>
                    <w:jc w:val="left"/>
                  </w:pPr>
                  <w:r>
                    <w:drawing>
                      <wp:inline>
                        <wp:extent cx="2971800" cy="1981200"/>
                        <wp:effectExtent b="0" l="0" r="0" t="0"/>
                        <wp:docPr descr="" title="" id="56" name="Picture"/>
                        <a:graphic>
                          <a:graphicData uri="http://schemas.openxmlformats.org/drawingml/2006/picture">
                            <pic:pic>
                              <pic:nvPicPr>
                                <pic:cNvPr descr="index_files/figure-docx/fig-iek-comparison-1.pdf" id="57" name="Picture"/>
                                <pic:cNvPicPr>
                                  <a:picLocks noChangeArrowheads="1" noChangeAspect="1"/>
                                </pic:cNvPicPr>
                              </pic:nvPicPr>
                              <pic:blipFill>
                                <a:blip r:embed="rId55"/>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58"/>
              </w:tc>
            </w:tr>
          </w:tbl>
          <w:p/>
        </w:tc>
        <w:tc>
          <w:tcPr/>
          <w:tbl>
            <w:tblPr>
              <w:tblStyle w:val="Table"/>
              <w:tblW w:type="pct" w:w="4900"/>
              <w:tblLayout w:type="fixed"/>
              <w:tblLook w:firstRow="0" w:lastRow="0" w:firstColumn="0" w:lastColumn="0" w:noHBand="0" w:noVBand="0" w:val="0000"/>
            </w:tblPr>
            <w:tblGrid>
              <w:gridCol w:w="7761"/>
            </w:tblGrid>
            <w:tr>
              <w:tc>
                <w:tcPr/>
                <w:bookmarkStart w:id="62" w:name="fig-iek-comparison-2"/>
                <w:p>
                  <w:pPr>
                    <w:pStyle w:val="Compact"/>
                    <w:jc w:val="center"/>
                    <w:jc w:val="left"/>
                  </w:pPr>
                  <w:r>
                    <w:drawing>
                      <wp:inline>
                        <wp:extent cx="2971800" cy="1981200"/>
                        <wp:effectExtent b="0" l="0" r="0" t="0"/>
                        <wp:docPr descr="" title="" id="60" name="Picture"/>
                        <a:graphic>
                          <a:graphicData uri="http://schemas.openxmlformats.org/drawingml/2006/picture">
                            <pic:pic>
                              <pic:nvPicPr>
                                <pic:cNvPr descr="index_files/figure-docx/fig-iek-comparison-2.pdf" id="61" name="Picture"/>
                                <pic:cNvPicPr>
                                  <a:picLocks noChangeArrowheads="1" noChangeAspect="1"/>
                                </pic:cNvPicPr>
                              </pic:nvPicPr>
                              <pic:blipFill>
                                <a:blip r:embed="rId59"/>
                                <a:stretch>
                                  <a:fillRect/>
                                </a:stretch>
                              </pic:blipFill>
                              <pic:spPr bwMode="auto">
                                <a:xfrm>
                                  <a:off x="0" y="0"/>
                                  <a:ext cx="2971800" cy="1981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2"/>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3"/>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e</m:t>
            </m:r>
            <m:r>
              <m:t>x</m:t>
            </m:r>
            <m:r>
              <m:t>p</m:t>
            </m:r>
            <m:r>
              <m:rPr>
                <m:sty m:val="p"/>
              </m:rPr>
              <m:t>_</m:t>
            </m:r>
            <m:r>
              <m:t>10080</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1440</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4"/>
    <w:bookmarkStart w:id="77"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0"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69" w:name="cell-fig-agronomic-responses"/>
    <w:tbl>
      <w:tblPr>
        <w:tblStyle w:val="Table"/>
        <w:tblW w:type="pct" w:w="5000"/>
        <w:tblLayout w:type="fixed"/>
        <w:tblLook w:firstRow="0" w:lastRow="0" w:firstColumn="0" w:lastColumn="0" w:noHBand="0" w:noVBand="0" w:val="0000"/>
      </w:tblPr>
      <w:tblGrid>
        <w:gridCol w:w="7920"/>
      </w:tblGrid>
      <w:tr>
        <w:tc>
          <w:tcPr/>
          <w:bookmarkStart w:id="68" w:name="fig-agronomic-responses"/>
          <w:p>
            <w:pPr>
              <w:pStyle w:val="Compact"/>
              <w:jc w:val="center"/>
            </w:pPr>
            <w:r>
              <w:drawing>
                <wp:inline>
                  <wp:extent cx="4620126" cy="6468176"/>
                  <wp:effectExtent b="0" l="0" r="0" t="0"/>
                  <wp:docPr descr="" title="" id="66" name="Picture"/>
                  <a:graphic>
                    <a:graphicData uri="http://schemas.openxmlformats.org/drawingml/2006/picture">
                      <pic:pic>
                        <pic:nvPicPr>
                          <pic:cNvPr descr="index_files/figure-docx/fig-agronomic-responses-1.png" id="67" name="Picture"/>
                          <pic:cNvPicPr>
                            <a:picLocks noChangeArrowheads="1" noChangeAspect="1"/>
                          </pic:cNvPicPr>
                        </pic:nvPicPr>
                        <pic:blipFill>
                          <a:blip r:embed="rId6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68"/>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69"/>
    <w:p>
      <w:pPr>
        <w:pStyle w:val="BodyText"/>
      </w:pPr>
      <w:r>
        <w:rPr>
          <w:b/>
          <w:bCs/>
        </w:rPr>
        <w:t xml:space="preserve">Yield Metrics (</w:t>
      </w:r>
      <m:oMath>
        <m:sSub>
          <m:e>
            <m:r>
              <m:t>Y</m:t>
            </m:r>
          </m:e>
          <m:sub>
            <m:r>
              <m:t>n</m:t>
            </m:r>
            <m:r>
              <m:t>o</m:t>
            </m:r>
            <m:r>
              <m:t>r</m:t>
            </m:r>
            <m:r>
              <m:t>m</m:t>
            </m:r>
          </m:sub>
        </m:sSub>
      </m:oMath>
      <w:r>
        <w:t xml:space="preserve"> </w:t>
      </w:r>
      <w:r>
        <w:t xml:space="preserve">and</w:t>
      </w:r>
      <w:r>
        <w:t xml:space="preserve"> </w:t>
      </w:r>
      <m:oMath>
        <m:sSub>
          <m:e>
            <m:r>
              <m:t>Y</m:t>
            </m:r>
          </m:e>
          <m:sub>
            <m:r>
              <m:t>r</m:t>
            </m:r>
            <m:r>
              <m:t>e</m:t>
            </m:r>
            <m:r>
              <m:t>l</m:t>
            </m:r>
          </m:sub>
        </m:sSub>
      </m:oMath>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t xml:space="preserve">): The P balance showed a strong, linear relationship with fertilization. The Zero and Deficit treatments resulted in a negative balance (mining soil P), while the Elevated and Surplus treatments led to a significant P surplus.</w:t>
      </w:r>
    </w:p>
    <w:bookmarkEnd w:id="70"/>
    <w:bookmarkStart w:id="76"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5" w:name="cell-fig-soil-parameters"/>
    <w:tbl>
      <w:tblPr>
        <w:tblStyle w:val="Table"/>
        <w:tblW w:type="pct" w:w="5000"/>
        <w:tblLayout w:type="fixed"/>
        <w:tblLook w:firstRow="0" w:lastRow="0" w:firstColumn="0" w:lastColumn="0" w:noHBand="0" w:noVBand="0" w:val="0000"/>
      </w:tblPr>
      <w:tblGrid>
        <w:gridCol w:w="7920"/>
      </w:tblGrid>
      <w:tr>
        <w:tc>
          <w:tcPr/>
          <w:bookmarkStart w:id="74" w:name="fig-soil-parameters"/>
          <w:p>
            <w:pPr>
              <w:pStyle w:val="Compact"/>
              <w:jc w:val="center"/>
            </w:pPr>
            <w:r>
              <w:drawing>
                <wp:inline>
                  <wp:extent cx="4620126" cy="6468176"/>
                  <wp:effectExtent b="0" l="0" r="0" t="0"/>
                  <wp:docPr descr="" title="" id="72" name="Picture"/>
                  <a:graphic>
                    <a:graphicData uri="http://schemas.openxmlformats.org/drawingml/2006/picture">
                      <pic:pic>
                        <pic:nvPicPr>
                          <pic:cNvPr descr="index_files/figure-docx/fig-soil-parameters-1.png" id="73" name="Picture"/>
                          <pic:cNvPicPr>
                            <a:picLocks noChangeArrowheads="1" noChangeAspect="1"/>
                          </pic:cNvPicPr>
                        </pic:nvPicPr>
                        <pic:blipFill>
                          <a:blip r:embed="rId71"/>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4"/>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bookmarkEnd w:id="75"/>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 *</w:t>
      </w:r>
      <w:r>
        <w:t xml:space="preserve"> </w:t>
      </w:r>
      <w:r>
        <w:rPr>
          <w:b/>
          <w:bCs/>
        </w:rPr>
        <w:t xml:space="preserve">Desorbable P (</w:t>
      </w:r>
      <m:oMath>
        <m:sSub>
          <m:e>
            <m:r>
              <m:t>P</m:t>
            </m:r>
          </m:e>
          <m:sub>
            <m:r>
              <m:t>d</m:t>
            </m:r>
            <m:r>
              <m:t>e</m:t>
            </m:r>
            <m:r>
              <m:t>s</m:t>
            </m:r>
            <m:r>
              <m:t>o</m:t>
            </m:r>
            <m:r>
              <m:t>r</m:t>
            </m:r>
            <m:r>
              <m:t>b</m:t>
            </m:r>
          </m:sub>
        </m:sSub>
      </m:oMath>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 *</w:t>
      </w:r>
      <w:r>
        <w:t xml:space="preserve"> </w:t>
      </w:r>
      <w:r>
        <w:rPr>
          <w:b/>
          <w:bCs/>
        </w:rPr>
        <w:t xml:space="preserve">Rate Constant (</w:t>
      </w:r>
      <m:oMath>
        <m:r>
          <m:t>k</m:t>
        </m:r>
      </m:oMath>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 *</w:t>
      </w:r>
      <w:r>
        <w:t xml:space="preserve"> </w:t>
      </w:r>
      <w:r>
        <w:rPr>
          <w:b/>
          <w:bCs/>
        </w:rPr>
        <w:t xml:space="preserve">Initial P Flux (</w:t>
      </w:r>
      <m:oMath>
        <m:sSub>
          <m:e>
            <m:r>
              <m:t>J</m:t>
            </m:r>
          </m:e>
          <m:sub>
            <m:r>
              <m:t>0</m:t>
            </m:r>
          </m:sub>
        </m:sSub>
      </m:oMath>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6"/>
    <w:bookmarkEnd w:id="77"/>
    <w:bookmarkStart w:id="79" w:name="sec-p-params-soil-props"/>
    <w:p>
      <w:pPr>
        <w:pStyle w:val="Heading2"/>
      </w:pPr>
      <w:r>
        <w:t xml:space="preserve">4.4 Predicting P Parameters from Soil Properties</w:t>
      </w:r>
    </w:p>
    <w:p>
      <w:pPr>
        <w:pStyle w:val="FirstParagraph"/>
      </w:pPr>
      <w:r>
        <w:t xml:space="preserve">To understand the underlying drivers of the standard and kinetic P parameters,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amorphous Al/Fe oxides. The models included random effects for</w:t>
      </w:r>
      <w:r>
        <w:t xml:space="preserve"> </w:t>
      </w:r>
      <w:r>
        <w:rPr>
          <w:rStyle w:val="VerbatimChar"/>
        </w:rPr>
        <w:t xml:space="preserve">Site</w:t>
      </w:r>
      <w:r>
        <w:t xml:space="preserve">,</w:t>
      </w:r>
      <w:r>
        <w:t xml:space="preserve"> </w:t>
      </w:r>
      <w:r>
        <w:rPr>
          <w:rStyle w:val="VerbatimChar"/>
        </w:rPr>
        <w:t xml:space="preserve">Year</w:t>
      </w:r>
      <w:r>
        <w:t xml:space="preserve">, and</w:t>
      </w:r>
      <w:r>
        <w:t xml:space="preserve"> </w:t>
      </w:r>
      <w:r>
        <w:rPr>
          <w:rStyle w:val="VerbatimChar"/>
        </w:rPr>
        <w:t xml:space="preserve">Block</w:t>
      </w:r>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-4.316</w:t>
                  </w:r>
                </w:p>
              </w:tc>
              <w:tc>
                <w:tcPr/>
                <w:p>
                  <w:pPr>
                    <w:pStyle w:val="Compact"/>
                    <w:jc w:val="left"/>
                    <w:jc w:val="center"/>
                  </w:pPr>
                  <w:r>
                    <w:t xml:space="preserve">0.608</w:t>
                  </w:r>
                </w:p>
              </w:tc>
              <w:tc>
                <w:tcPr/>
                <w:p>
                  <w:pPr>
                    <w:pStyle w:val="Compact"/>
                    <w:jc w:val="left"/>
                    <w:jc w:val="center"/>
                  </w:pPr>
                  <w:r>
                    <w:t xml:space="preserve">-5.222</w:t>
                  </w:r>
                </w:p>
              </w:tc>
              <w:tc>
                <w:tcPr/>
                <w:p>
                  <w:pPr>
                    <w:pStyle w:val="Compact"/>
                    <w:jc w:val="left"/>
                    <w:jc w:val="center"/>
                  </w:pPr>
                  <w:r>
                    <w:t xml:space="preserve">-2.539</w:t>
                  </w:r>
                </w:p>
              </w:tc>
              <w:tc>
                <w:tcPr/>
                <w:p>
                  <w:pPr>
                    <w:pStyle w:val="Compact"/>
                    <w:jc w:val="left"/>
                    <w:jc w:val="center"/>
                  </w:pPr>
                  <w:r>
                    <w:t xml:space="preserve">3.794</w:t>
                  </w:r>
                </w:p>
              </w:tc>
            </w:tr>
            <w:tr>
              <w:tc>
                <w:tcPr/>
                <w:p>
                  <w:pPr>
                    <w:pStyle w:val="Compact"/>
                    <w:jc w:val="left"/>
                    <w:jc w:val="center"/>
                  </w:pPr>
                  <m:oMath>
                    <m:r>
                      <m:t>A</m:t>
                    </m:r>
                    <m:sSub>
                      <m:e>
                        <m:r>
                          <m:t>l</m:t>
                        </m:r>
                      </m:e>
                      <m:sub>
                        <m:r>
                          <m:t>o</m:t>
                        </m:r>
                        <m:r>
                          <m:t>x</m:t>
                        </m:r>
                      </m:sub>
                    </m:sSub>
                  </m:oMath>
                </w:p>
              </w:tc>
              <w:tc>
                <w:tcPr/>
                <w:p>
                  <w:pPr>
                    <w:pStyle w:val="Compact"/>
                    <w:jc w:val="left"/>
                    <w:jc w:val="center"/>
                  </w:pPr>
                  <w:r>
                    <w:t xml:space="preserve">0.603</w:t>
                  </w:r>
                </w:p>
              </w:tc>
              <w:tc>
                <w:tcPr/>
                <w:p>
                  <w:pPr>
                    <w:pStyle w:val="Compact"/>
                    <w:jc w:val="left"/>
                    <w:jc w:val="center"/>
                  </w:pPr>
                  <w:r>
                    <w:t xml:space="preserve">-0.129</w:t>
                  </w:r>
                </w:p>
              </w:tc>
              <w:tc>
                <w:tcPr/>
                <w:p>
                  <w:pPr>
                    <w:pStyle w:val="Compact"/>
                    <w:jc w:val="left"/>
                    <w:jc w:val="center"/>
                  </w:pPr>
                  <w:r>
                    <w:t xml:space="preserve">0.367</w:t>
                  </w:r>
                </w:p>
              </w:tc>
              <w:tc>
                <w:tcPr/>
                <w:p>
                  <w:pPr>
                    <w:pStyle w:val="Compact"/>
                    <w:jc w:val="left"/>
                    <w:jc w:val="center"/>
                  </w:pPr>
                  <w:r>
                    <w:t xml:space="preserve">0.051</w:t>
                  </w:r>
                </w:p>
              </w:tc>
              <w:tc>
                <w:tcPr/>
                <w:p>
                  <w:pPr>
                    <w:pStyle w:val="Compact"/>
                    <w:jc w:val="left"/>
                    <w:jc w:val="center"/>
                  </w:pPr>
                  <w:r>
                    <w:t xml:space="preserve">-1.568</w:t>
                  </w:r>
                </w:p>
              </w:tc>
            </w:tr>
            <w:tr>
              <w:tc>
                <w:tcPr/>
                <w:p>
                  <w:pPr>
                    <w:pStyle w:val="Compact"/>
                    <w:jc w:val="left"/>
                    <w:jc w:val="center"/>
                  </w:pPr>
                  <m:oMath>
                    <m:r>
                      <m:t>F</m:t>
                    </m:r>
                    <m:sSub>
                      <m:e>
                        <m:r>
                          <m:t>e</m:t>
                        </m:r>
                      </m:e>
                      <m:sub>
                        <m:r>
                          <m:t>o</m:t>
                        </m:r>
                        <m:r>
                          <m:t>x</m:t>
                        </m:r>
                      </m:sub>
                    </m:sSub>
                  </m:oMath>
                </w:p>
              </w:tc>
              <w:tc>
                <w:tcPr/>
                <w:p>
                  <w:pPr>
                    <w:pStyle w:val="Compact"/>
                    <w:jc w:val="left"/>
                    <w:jc w:val="center"/>
                  </w:pPr>
                  <w:r>
                    <w:t xml:space="preserve">-0.053</w:t>
                  </w:r>
                </w:p>
              </w:tc>
              <w:tc>
                <w:tcPr/>
                <w:p>
                  <w:pPr>
                    <w:pStyle w:val="Compact"/>
                    <w:jc w:val="left"/>
                    <w:jc w:val="center"/>
                  </w:pPr>
                  <w:r>
                    <w:t xml:space="preserve">0.001</w:t>
                  </w:r>
                </w:p>
              </w:tc>
              <w:tc>
                <w:tcPr/>
                <w:p>
                  <w:pPr>
                    <w:pStyle w:val="Compact"/>
                    <w:jc w:val="left"/>
                    <w:jc w:val="center"/>
                  </w:pPr>
                  <w:r>
                    <w:t xml:space="preserve">0.248</w:t>
                  </w:r>
                </w:p>
              </w:tc>
              <w:tc>
                <w:tcPr/>
                <w:p>
                  <w:pPr>
                    <w:pStyle w:val="Compact"/>
                    <w:jc w:val="left"/>
                    <w:jc w:val="center"/>
                  </w:pPr>
                  <w:r>
                    <w:t xml:space="preserve">0.058</w:t>
                  </w:r>
                </w:p>
              </w:tc>
              <w:tc>
                <w:tcPr/>
                <w:p>
                  <w:pPr>
                    <w:pStyle w:val="Compact"/>
                    <w:jc w:val="left"/>
                    <w:jc w:val="center"/>
                  </w:pPr>
                  <w:r>
                    <w:t xml:space="preserve">0.195</w:t>
                  </w:r>
                </w:p>
              </w:tc>
            </w:tr>
            <w:tr>
              <w:tc>
                <w:tcPr/>
                <w:p>
                  <w:pPr>
                    <w:pStyle w:val="Compact"/>
                    <w:jc w:val="left"/>
                    <w:jc w:val="center"/>
                  </w:pPr>
                  <w:r>
                    <w:t xml:space="preserve">Clay</w:t>
                  </w:r>
                </w:p>
              </w:tc>
              <w:tc>
                <w:tcPr/>
                <w:p>
                  <w:pPr>
                    <w:pStyle w:val="Compact"/>
                    <w:jc w:val="left"/>
                    <w:jc w:val="center"/>
                  </w:pPr>
                  <w:r>
                    <w:t xml:space="preserve">-0.007</w:t>
                  </w:r>
                </w:p>
              </w:tc>
              <w:tc>
                <w:tcPr/>
                <w:p>
                  <w:pPr>
                    <w:pStyle w:val="Compact"/>
                    <w:jc w:val="left"/>
                    <w:jc w:val="center"/>
                  </w:pPr>
                  <w:r>
                    <w:t xml:space="preserve">-0.017**</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-0.035</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0.635*</w:t>
                  </w:r>
                </w:p>
              </w:tc>
              <w:tc>
                <w:tcPr/>
                <w:p>
                  <w:pPr>
                    <w:pStyle w:val="Compact"/>
                    <w:jc w:val="left"/>
                    <w:jc w:val="center"/>
                  </w:pPr>
                  <w:r>
                    <w:t xml:space="preserve">0.137**</w:t>
                  </w:r>
                </w:p>
              </w:tc>
              <w:tc>
                <w:tcPr/>
                <w:p>
                  <w:pPr>
                    <w:pStyle w:val="Compact"/>
                    <w:jc w:val="left"/>
                    <w:jc w:val="center"/>
                  </w:pPr>
                  <w:r>
                    <w:t xml:space="preserve">1.290**</w:t>
                  </w:r>
                </w:p>
              </w:tc>
              <w:tc>
                <w:tcPr/>
                <w:p>
                  <w:pPr>
                    <w:pStyle w:val="Compact"/>
                    <w:jc w:val="left"/>
                    <w:jc w:val="center"/>
                  </w:pPr>
                  <w:r>
                    <w:t xml:space="preserve">0.277</w:t>
                  </w:r>
                </w:p>
              </w:tc>
              <w:tc>
                <w:tcPr/>
                <w:p>
                  <w:pPr>
                    <w:pStyle w:val="Compact"/>
                    <w:jc w:val="left"/>
                    <w:jc w:val="center"/>
                  </w:pPr>
                  <w:r>
                    <w:t xml:space="preserve">1.453***</w:t>
                  </w:r>
                </w:p>
              </w:tc>
            </w:tr>
            <w:tr>
              <w:tc>
                <w:tcPr/>
                <w:p>
                  <w:pPr>
                    <w:pStyle w:val="Compact"/>
                    <w:jc w:val="left"/>
                    <w:jc w:val="center"/>
                  </w:pPr>
                  <w:r>
                    <w:t xml:space="preserve">pH</w:t>
                  </w:r>
                </w:p>
              </w:tc>
              <w:tc>
                <w:tcPr/>
                <w:p>
                  <w:pPr>
                    <w:pStyle w:val="Compact"/>
                    <w:jc w:val="left"/>
                    <w:jc w:val="center"/>
                  </w:pPr>
                  <w:r>
                    <w:t xml:space="preserve">-0.008</w:t>
                  </w:r>
                </w:p>
              </w:tc>
              <w:tc>
                <w:tcPr/>
                <w:p>
                  <w:pPr>
                    <w:pStyle w:val="Compact"/>
                    <w:jc w:val="left"/>
                    <w:jc w:val="center"/>
                  </w:pPr>
                  <w:r>
                    <w:t xml:space="preserve">-0.022</w:t>
                  </w:r>
                </w:p>
              </w:tc>
              <w:tc>
                <w:tcPr/>
                <w:p>
                  <w:pPr>
                    <w:pStyle w:val="Compact"/>
                    <w:jc w:val="left"/>
                    <w:jc w:val="center"/>
                  </w:pPr>
                  <w:r>
                    <w:t xml:space="preserve">-0.068</w:t>
                  </w:r>
                </w:p>
              </w:tc>
              <w:tc>
                <w:tcPr/>
                <w:p>
                  <w:pPr>
                    <w:pStyle w:val="Compact"/>
                    <w:jc w:val="left"/>
                    <w:jc w:val="center"/>
                  </w:pPr>
                  <w:r>
                    <w:t xml:space="preserve">0.126</w:t>
                  </w:r>
                </w:p>
              </w:tc>
              <w:tc>
                <w:tcPr/>
                <w:p>
                  <w:pPr>
                    <w:pStyle w:val="Compact"/>
                    <w:jc w:val="left"/>
                    <w:jc w:val="center"/>
                  </w:pPr>
                  <w:r>
                    <w:t xml:space="preserve">0.006</w:t>
                  </w:r>
                </w:p>
              </w:tc>
            </w:tr>
            <w:tr>
              <w:tc>
                <w:tcPr/>
                <w:p>
                  <w:pPr>
                    <w:pStyle w:val="Compact"/>
                    <w:jc w:val="left"/>
                    <w:jc w:val="center"/>
                  </w:pPr>
                  <w:r>
                    <w:t xml:space="preserve">Silt</w:t>
                  </w:r>
                </w:p>
              </w:tc>
              <w:tc>
                <w:tcPr/>
                <w:p>
                  <w:pPr>
                    <w:pStyle w:val="Compact"/>
                    <w:jc w:val="left"/>
                    <w:jc w:val="center"/>
                  </w:pPr>
                  <w:r>
                    <w:t xml:space="preserve">-0.010</w:t>
                  </w:r>
                </w:p>
              </w:tc>
              <w:tc>
                <w:tcPr/>
                <w:p>
                  <w:pPr>
                    <w:pStyle w:val="Compact"/>
                    <w:jc w:val="left"/>
                    <w:jc w:val="center"/>
                  </w:pPr>
                  <w:r>
                    <w:t xml:space="preserve">0.004</w:t>
                  </w:r>
                </w:p>
              </w:tc>
              <w:tc>
                <w:tcPr/>
                <w:p>
                  <w:pPr>
                    <w:pStyle w:val="Compact"/>
                    <w:jc w:val="left"/>
                    <w:jc w:val="center"/>
                  </w:pPr>
                  <w:r>
                    <w:t xml:space="preserve">-0.011</w:t>
                  </w:r>
                </w:p>
              </w:tc>
              <w:tc>
                <w:tcPr/>
                <w:p>
                  <w:pPr>
                    <w:pStyle w:val="Compact"/>
                    <w:jc w:val="left"/>
                    <w:jc w:val="center"/>
                  </w:pPr>
                  <w:r>
                    <w:t xml:space="preserve">-0.022</w:t>
                  </w:r>
                </w:p>
              </w:tc>
              <w:tc>
                <w:tcPr/>
                <w:p>
                  <w:pPr>
                    <w:pStyle w:val="Compact"/>
                    <w:jc w:val="left"/>
                    <w:jc w:val="center"/>
                  </w:pPr>
                  <w:r>
                    <w:t xml:space="preserve">-0.046</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0.100</w:t>
                  </w:r>
                </w:p>
              </w:tc>
              <w:tc>
                <w:tcPr/>
                <w:p>
                  <w:pPr>
                    <w:pStyle w:val="Compact"/>
                    <w:jc w:val="left"/>
                    <w:jc w:val="center"/>
                  </w:pPr>
                  <w:r>
                    <w:t xml:space="preserve">0.204</w:t>
                  </w:r>
                </w:p>
              </w:tc>
              <w:tc>
                <w:tcPr/>
                <w:p>
                  <w:pPr>
                    <w:pStyle w:val="Compact"/>
                    <w:jc w:val="left"/>
                    <w:jc w:val="center"/>
                  </w:pPr>
                  <w:r>
                    <w:t xml:space="preserve">0.071</w:t>
                  </w:r>
                </w:p>
              </w:tc>
              <w:tc>
                <w:tcPr/>
                <w:p>
                  <w:pPr>
                    <w:pStyle w:val="Compact"/>
                    <w:jc w:val="left"/>
                    <w:jc w:val="center"/>
                  </w:pPr>
                  <w:r>
                    <w:t xml:space="preserve">0.074</w:t>
                  </w:r>
                </w:p>
              </w:tc>
              <w:tc>
                <w:tcPr/>
                <w:p>
                  <w:pPr>
                    <w:pStyle w:val="Compact"/>
                    <w:jc w:val="left"/>
                    <w:jc w:val="center"/>
                  </w:pPr>
                  <w:r>
                    <w:t xml:space="preserve">0.421</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0.954</w:t>
                  </w:r>
                </w:p>
              </w:tc>
              <w:tc>
                <w:tcPr/>
                <w:p>
                  <w:pPr>
                    <w:pStyle w:val="Compact"/>
                    <w:jc w:val="left"/>
                    <w:jc w:val="center"/>
                  </w:pPr>
                  <w:r>
                    <w:t xml:space="preserve">0.963</w:t>
                  </w:r>
                </w:p>
              </w:tc>
              <w:tc>
                <w:tcPr/>
                <w:p>
                  <w:pPr>
                    <w:pStyle w:val="Compact"/>
                    <w:jc w:val="left"/>
                    <w:jc w:val="center"/>
                  </w:pPr>
                  <w:r>
                    <w:t xml:space="preserve">0.910</w:t>
                  </w:r>
                </w:p>
              </w:tc>
              <w:tc>
                <w:tcPr/>
                <w:p>
                  <w:pPr>
                    <w:pStyle w:val="Compact"/>
                    <w:jc w:val="left"/>
                    <w:jc w:val="center"/>
                  </w:pPr>
                  <w:r>
                    <w:t xml:space="preserve">0.925</w:t>
                  </w:r>
                </w:p>
              </w:tc>
              <w:tc>
                <w:tcPr/>
                <w:p>
                  <w:pPr>
                    <w:pStyle w:val="Compact"/>
                    <w:jc w:val="left"/>
                    <w:jc w:val="center"/>
                  </w:pPr>
                  <w:r>
                    <w:t xml:space="preserve">0.975</w:t>
                  </w:r>
                </w:p>
              </w:tc>
            </w:tr>
          </w:tbl>
          <w:bookmarkEnd w:id="78"/>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analysis in</w:t>
      </w:r>
      <w:r>
        <w:t xml:space="preserve"> </w:t>
      </w:r>
      <w:hyperlink w:anchor="tbl-soil-prop-models">
        <w:r>
          <w:rPr>
            <w:rStyle w:val="Hyperlink"/>
          </w:rPr>
          <w:t xml:space="preserve">Table 3</w:t>
        </w:r>
      </w:hyperlink>
      <w:r>
        <w:t xml:space="preserve"> </w:t>
      </w:r>
      <w:r>
        <w:t xml:space="preserve">reveals that the capacity-based P pools and the kinetic rate constant are controlled by different sets of soil properties. Both amorphous aluminum (</w:t>
      </w:r>
      <m:oMath>
        <m:r>
          <m:t>A</m:t>
        </m:r>
        <m:sSub>
          <m:e>
            <m:r>
              <m:t>l</m:t>
            </m:r>
          </m:e>
          <m:sub>
            <m:r>
              <m:t>o</m:t>
            </m:r>
            <m:r>
              <m:t>x</m:t>
            </m:r>
          </m:sub>
        </m:sSub>
      </m:oMath>
      <w:r>
        <w:t xml:space="preserve">) and iron (</w:t>
      </w:r>
      <m:oMath>
        <m:r>
          <m:t>F</m:t>
        </m:r>
        <m:sSub>
          <m:e>
            <m:r>
              <m:t>e</m:t>
            </m:r>
          </m:e>
          <m:sub>
            <m:r>
              <m:t>o</m:t>
            </m:r>
            <m:r>
              <m:t>x</m:t>
            </m:r>
          </m:sub>
        </m:sSub>
      </m:oMath>
      <w:r>
        <w:t xml:space="preserve">) oxides had a highly significant negative effect on the</w:t>
      </w:r>
      <w:r>
        <w:t xml:space="preserve"> </w:t>
      </w:r>
      <w:r>
        <w:rPr>
          <w:b/>
          <w:bCs/>
        </w:rPr>
        <w:t xml:space="preserve">Desorbable P pool (</w:t>
      </w:r>
      <m:oMath>
        <m:sSub>
          <m:e>
            <m:r>
              <m:t>P</m:t>
            </m:r>
          </m:e>
          <m:sub>
            <m:r>
              <m:t>d</m:t>
            </m:r>
            <m:r>
              <m:t>e</m:t>
            </m:r>
            <m:r>
              <m:t>s</m:t>
            </m:r>
            <m:r>
              <m:t>o</m:t>
            </m:r>
            <m:r>
              <m:t>r</m:t>
            </m:r>
            <m:r>
              <m:t>b</m:t>
            </m:r>
          </m:sub>
        </m:sSub>
      </m:oMath>
      <w:r>
        <w:t xml:space="preserve">), suggesting they bind P strongly. In contrast,</w:t>
      </w:r>
      <w:r>
        <w:t xml:space="preserve"> </w:t>
      </w:r>
      <w:r>
        <w:rPr>
          <w:b/>
          <w:bCs/>
        </w:rPr>
        <w:t xml:space="preserve">Organic Carbon (</w:t>
      </w:r>
      <m:oMath>
        <m:sSub>
          <m:e>
            <m:r>
              <m:t>C</m:t>
            </m:r>
          </m:e>
          <m:sub>
            <m:r>
              <m:t>o</m:t>
            </m:r>
            <m:r>
              <m:t>r</m:t>
            </m:r>
            <m:r>
              <m:t>g</m:t>
            </m:r>
          </m:sub>
        </m:sSub>
      </m:oMath>
      <w:r>
        <w:t xml:space="preserve">) had a significant positive effect on all capacity measures, especially</w:t>
      </w:r>
      <w:r>
        <w:t xml:space="preserve"> </w:t>
      </w:r>
      <m:oMath>
        <m:sSub>
          <m:e>
            <m:r>
              <m:t>P</m:t>
            </m:r>
          </m:e>
          <m:sub>
            <m:r>
              <m:t>A</m:t>
            </m:r>
            <m:r>
              <m:t>A</m:t>
            </m:r>
            <m:r>
              <m:t>E</m:t>
            </m:r>
            <m:r>
              <m:t>10</m:t>
            </m:r>
          </m:sub>
        </m:sSub>
      </m:oMath>
      <w:r>
        <w:t xml:space="preserve">. The</w:t>
      </w:r>
      <w:r>
        <w:t xml:space="preserve"> </w:t>
      </w:r>
      <w:r>
        <w:rPr>
          <w:b/>
          <w:bCs/>
        </w:rPr>
        <w:t xml:space="preserve">Rate Constant (</w:t>
      </w:r>
      <m:oMath>
        <m:r>
          <m:t>k</m:t>
        </m:r>
      </m:oMath>
      <w:r>
        <w:t xml:space="preserve">) was not significantly driven by the oxides, but showed a significant positive relationship with</w:t>
      </w:r>
      <w:r>
        <w:t xml:space="preserve"> </w:t>
      </w:r>
      <m:oMath>
        <m:sSub>
          <m:e>
            <m:r>
              <m:t>C</m:t>
            </m:r>
          </m:e>
          <m:sub>
            <m:r>
              <m:t>o</m:t>
            </m:r>
            <m:r>
              <m:t>r</m:t>
            </m:r>
            <m:r>
              <m:t>g</m:t>
            </m:r>
          </m:sub>
        </m:sSub>
      </m:oMath>
      <w:r>
        <w:t xml:space="preserve"> </w:t>
      </w:r>
      <w:r>
        <w:t xml:space="preserve">and a negative relationship with</w:t>
      </w:r>
      <w:r>
        <w:t xml:space="preserve"> </w:t>
      </w:r>
      <w:r>
        <w:rPr>
          <w:rStyle w:val="VerbatimChar"/>
        </w:rPr>
        <w:t xml:space="preserve">Clay</w:t>
      </w:r>
      <w:r>
        <w:t xml:space="preserve"> </w:t>
      </w:r>
      <w:r>
        <w:t xml:space="preserve">content, indicating that the speed of P release is governed by different mechanisms than the total pool size.</w:t>
      </w:r>
    </w:p>
    <w:bookmarkEnd w:id="79"/>
    <w:bookmarkStart w:id="88" w:name="sec-agronomic-modeling"/>
    <w:p>
      <w:pPr>
        <w:pStyle w:val="Heading2"/>
      </w:pPr>
      <w:r>
        <w:t xml:space="preserve">4.5 Predictive Modeling of Agronomic Outcomes</w:t>
      </w:r>
    </w:p>
    <w:p>
      <w:pPr>
        <w:pStyle w:val="FirstParagraph"/>
      </w:pPr>
      <w:r>
        <w:t xml:space="preserve">To formally evaluate and compare the predictive power of the standard STP methods against the newly derived kinetic parameters, a series of linear mixed-effects models (</w:t>
      </w:r>
      <w:r>
        <w:rPr>
          <w:rStyle w:val="VerbatimChar"/>
        </w:rPr>
        <w:t xml:space="preserve">lmer</w:t>
      </w:r>
      <w:r>
        <w:t xml:space="preserve">) were fitted for each of the primary agronomic response variables.</w:t>
      </w:r>
    </w:p>
    <w:bookmarkStart w:id="81" w:name="sec-ynorm"/>
    <w:p>
      <w:pPr>
        <w:pStyle w:val="Heading3"/>
      </w:pPr>
      <w:r>
        <w:t xml:space="preserve">4.5.1 Predicting Site-Normalized Yield (</w:t>
      </w:r>
      <m:oMath>
        <m:sSub>
          <m:e>
            <m:r>
              <m:t>Y</m:t>
            </m:r>
          </m:e>
          <m:sub>
            <m:r>
              <m:t>n</m:t>
            </m:r>
            <m:r>
              <m:t>o</m:t>
            </m:r>
            <m:r>
              <m:t>r</m:t>
            </m:r>
            <m:r>
              <m:t>m</m:t>
            </m:r>
          </m:sub>
        </m:sSub>
      </m:oMath>
      <w:r>
        <w:t xml:space="preserve">)</w:t>
      </w:r>
    </w:p>
    <w:p>
      <w:pPr>
        <w:pStyle w:val="FirstParagraph"/>
      </w:pPr>
      <w:r>
        <w:t xml:space="preserve">The models predicting the site-normalized yield are summarized in</w:t>
      </w:r>
      <w:r>
        <w:t xml:space="preserve"> </w:t>
      </w:r>
      <w:hyperlink w:anchor="tbl-ynorm-models">
        <w:r>
          <w:rPr>
            <w:rStyle w:val="Hyperlink"/>
          </w:rPr>
          <w:t xml:space="preserve">Table 4</w:t>
        </w:r>
      </w:hyperlink>
      <w:r>
        <w:t xml:space="preserve">. For this metric, the standard STP methods proved to be the most effective predictors.</w:t>
      </w:r>
    </w:p>
    <w:tbl>
      <w:tblPr>
        <w:tblStyle w:val="Table"/>
        <w:tblW w:type="pct" w:w="5000"/>
        <w:tblLayout w:type="fixed"/>
        <w:tblLook w:firstRow="0" w:lastRow="0" w:firstColumn="0" w:lastColumn="0" w:noHBand="0" w:noVBand="0" w:val="0000"/>
      </w:tblPr>
      <w:tblGrid>
        <w:gridCol w:w="7920"/>
      </w:tblGrid>
      <w:tr>
        <w:tc>
          <w:tcPr/>
          <w:bookmarkStart w:id="80"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1529"/>
              <w:gridCol w:w="1365"/>
              <w:gridCol w:w="1420"/>
              <w:gridCol w:w="1911"/>
              <w:gridCol w:w="1693"/>
            </w:tblGrid>
            <w:tr>
              <w:trPr>
                <w:tblHeader w:val="on"/>
              </w:trPr>
              <w:tc>
                <w:tcPr/>
                <w:p>
                  <w:pPr>
                    <w:pStyle w:val="Compact"/>
                    <w:jc w:val="left"/>
                    <w:jc w:val="center"/>
                  </w:pPr>
                  <w:r>
                    <w:t xml:space="preserve">Model</w:t>
                  </w:r>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oMath>
                </w:p>
              </w:tc>
              <w:tc>
                <w:tcPr/>
                <w:p>
                  <w:pPr>
                    <w:pStyle w:val="Compact"/>
                    <w:jc w:val="left"/>
                    <w:jc w:val="center"/>
                  </w:pPr>
                  <m:oMath>
                    <m:sSub>
                      <m:e>
                        <m:r>
                          <m:t>Y</m:t>
                        </m:r>
                      </m:e>
                      <m:sub>
                        <m:r>
                          <m:t>n</m:t>
                        </m:r>
                        <m:r>
                          <m:t>o</m:t>
                        </m:r>
                        <m:r>
                          <m:t>r</m:t>
                        </m:r>
                        <m:r>
                          <m:t>m</m:t>
                        </m:r>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n</m:t>
                        </m:r>
                        <m:r>
                          <m:t>o</m:t>
                        </m:r>
                        <m:r>
                          <m:t>r</m:t>
                        </m:r>
                        <m:r>
                          <m:t>m</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80"/>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shown in</w:t>
      </w:r>
      <w:r>
        <w:t xml:space="preserve"> </w:t>
      </w:r>
      <w:hyperlink w:anchor="tbl-ynorm-models">
        <w:r>
          <w:rPr>
            <w:rStyle w:val="Hyperlink"/>
          </w:rPr>
          <w:t xml:space="preserve">Table 4</w:t>
        </w:r>
      </w:hyperlink>
      <w:r>
        <w:t xml:space="preserv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highly significant predictors of site-normalized yield, with the model containing</w:t>
      </w:r>
      <w:r>
        <w:t xml:space="preserve"> </w:t>
      </w:r>
      <m:oMath>
        <m:sSub>
          <m:e>
            <m:r>
              <m:t>P</m:t>
            </m:r>
          </m:e>
          <m:sub>
            <m:r>
              <m:t>C</m:t>
            </m:r>
            <m:sSub>
              <m:e>
                <m:r>
                  <m:t>O</m:t>
                </m:r>
              </m:e>
              <m:sub>
                <m:r>
                  <m:t>2</m:t>
                </m:r>
              </m:sub>
            </m:sSub>
          </m:sub>
        </m:sSub>
      </m:oMath>
      <w:r>
        <w:t xml:space="preserve"> </w:t>
      </w:r>
      <w:r>
        <w:t xml:space="preserve">explaining the most variance (Marginal R² = 0.218). In contrast, the kinetic parameters showed no significant predictive power for</w:t>
      </w:r>
      <w:r>
        <w:t xml:space="preserve"> </w:t>
      </w:r>
      <m:oMath>
        <m:sSub>
          <m:e>
            <m:r>
              <m:t>Y</m:t>
            </m:r>
          </m:e>
          <m:sub>
            <m:r>
              <m:t>n</m:t>
            </m:r>
            <m:r>
              <m:t>o</m:t>
            </m:r>
            <m:r>
              <m:t>r</m:t>
            </m:r>
            <m:r>
              <m:t>m</m:t>
            </m:r>
          </m:sub>
        </m:sSub>
      </m:oMath>
      <w:r>
        <w:t xml:space="preserve">.</w:t>
      </w:r>
    </w:p>
    <w:bookmarkEnd w:id="81"/>
    <w:bookmarkStart w:id="83" w:name="sec-yrel"/>
    <w:p>
      <w:pPr>
        <w:pStyle w:val="Heading3"/>
      </w:pPr>
      <w:r>
        <w:t xml:space="preserve">4.5.2 Predicting National-Normalized Yield (</w:t>
      </w:r>
      <m:oMath>
        <m:sSub>
          <m:e>
            <m:r>
              <m:t>Y</m:t>
            </m:r>
          </m:e>
          <m:sub>
            <m:r>
              <m:t>r</m:t>
            </m:r>
            <m:r>
              <m:t>e</m:t>
            </m:r>
            <m:r>
              <m:t>l</m:t>
            </m:r>
          </m:sub>
        </m:sSub>
      </m:oMath>
      <w:r>
        <w:t xml:space="preserve">)</w:t>
      </w:r>
    </w:p>
    <w:p>
      <w:pPr>
        <w:pStyle w:val="FirstParagraph"/>
      </w:pPr>
      <w:r>
        <w:t xml:space="preserve">When predicting the yield normalized to the national average, the kinetic parameters demonstrated a much stronger performance, as summarized in</w:t>
      </w:r>
      <w:r>
        <w:t xml:space="preserve"> </w:t>
      </w:r>
      <w:hyperlink w:anchor="tbl-yrel-models">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2"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oMath>
                </w:p>
              </w:tc>
              <w:tc>
                <w:tcPr/>
                <w:p>
                  <w:pPr>
                    <w:pStyle w:val="Compact"/>
                    <w:jc w:val="left"/>
                    <w:jc w:val="center"/>
                  </w:pPr>
                  <m:oMath>
                    <m:sSub>
                      <m:e>
                        <m:r>
                          <m:t>Y</m:t>
                        </m:r>
                      </m:e>
                      <m:sub>
                        <m:r>
                          <m:t>r</m:t>
                        </m:r>
                        <m:r>
                          <m:t>e</m:t>
                        </m:r>
                        <m:r>
                          <m:t>l</m:t>
                        </m:r>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Y</m:t>
                        </m:r>
                      </m:e>
                      <m:sub>
                        <m:r>
                          <m:t>r</m:t>
                        </m:r>
                        <m:r>
                          <m:t>e</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82"/>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seen in</w:t>
      </w:r>
      <w:r>
        <w:t xml:space="preserve"> </w:t>
      </w:r>
      <w:hyperlink w:anchor="tbl-yrel-models">
        <w:r>
          <w:rPr>
            <w:rStyle w:val="Hyperlink"/>
          </w:rPr>
          <w:t xml:space="preserve">Table 5</w:t>
        </w:r>
      </w:hyperlink>
      <w:r>
        <w:t xml:space="preserve">, while the standard STP methods were also significant predictors, the kinetic model revealed a significant positive effect of the</w:t>
      </w:r>
      <w:r>
        <w:t xml:space="preserve"> </w:t>
      </w:r>
      <w:r>
        <w:rPr>
          <w:b/>
          <w:bCs/>
        </w:rPr>
        <w:t xml:space="preserve">Rate Constant (</w:t>
      </w:r>
      <m:oMath>
        <m:r>
          <m:t>k</m:t>
        </m:r>
      </m:oMath>
      <w:r>
        <w:t xml:space="preserve">) and its interaction with</w:t>
      </w:r>
      <w:r>
        <w:t xml:space="preserve"> </w:t>
      </w:r>
      <m:oMath>
        <m:sSub>
          <m:e>
            <m:r>
              <m:t>P</m:t>
            </m:r>
          </m:e>
          <m:sub>
            <m:r>
              <m:t>d</m:t>
            </m:r>
            <m:r>
              <m:t>e</m:t>
            </m:r>
            <m:r>
              <m:t>s</m:t>
            </m:r>
            <m:r>
              <m:t>o</m:t>
            </m:r>
            <m:r>
              <m:t>r</m:t>
            </m:r>
            <m:r>
              <m:t>b</m:t>
            </m:r>
          </m:sub>
        </m:sSub>
      </m:oMath>
      <w:r>
        <w:t xml:space="preserve"> </w:t>
      </w:r>
      <w:r>
        <w:t xml:space="preserve">(</w:t>
      </w:r>
      <m:oMath>
        <m:sSub>
          <m:e>
            <m:r>
              <m:t>J</m:t>
            </m:r>
          </m:e>
          <m:sub>
            <m:r>
              <m:t>0</m:t>
            </m:r>
          </m:sub>
        </m:sSub>
      </m:oMath>
      <w:r>
        <w:t xml:space="preserve">). This suggests that the speed of P release is a more important factor when comparing yields across the broader environmental gradient represented by the national average.</w:t>
      </w:r>
    </w:p>
    <w:bookmarkEnd w:id="83"/>
    <w:bookmarkStart w:id="85" w:name="sec-pexport"/>
    <w:p>
      <w:pPr>
        <w:pStyle w:val="Heading3"/>
      </w:pPr>
      <w:r>
        <w:t xml:space="preserve">4.5.3 Predicting P-Export (</w:t>
      </w:r>
      <m:oMath>
        <m:sSub>
          <m:e>
            <m:r>
              <m:t>P</m:t>
            </m:r>
          </m:e>
          <m:sub>
            <m:r>
              <m:t>u</m:t>
            </m:r>
            <m:r>
              <m:t>p</m:t>
            </m:r>
          </m:sub>
        </m:sSub>
      </m:oMath>
      <w:r>
        <w:t xml:space="preserve">)</w:t>
      </w:r>
    </w:p>
    <w:p>
      <w:pPr>
        <w:pStyle w:val="FirstParagraph"/>
      </w:pPr>
      <w:r>
        <w:t xml:space="preserve">For predicting P-Export, the standard STP methods performed very well, with the kinetic model showing comparable, albeit non-significant, performance, as shown in</w:t>
      </w:r>
      <w:r>
        <w:t xml:space="preserve"> </w:t>
      </w:r>
      <w:hyperlink w:anchor="tbl-pexport-models">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4"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1618"/>
              <w:gridCol w:w="1329"/>
              <w:gridCol w:w="1387"/>
              <w:gridCol w:w="1907"/>
              <w:gridCol w:w="1676"/>
            </w:tblGrid>
            <w:tr>
              <w:trPr>
                <w:tblHeader w:val="on"/>
              </w:trPr>
              <w:tc>
                <w:tcPr/>
                <w:p>
                  <w:pPr>
                    <w:pStyle w:val="Compact"/>
                    <w:jc w:val="left"/>
                    <w:jc w:val="center"/>
                  </w:pPr>
                  <w:r>
                    <w:t xml:space="preserve">Model</w:t>
                  </w:r>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oMath>
                </w:p>
              </w:tc>
              <w:tc>
                <w:tcPr/>
                <w:p>
                  <w:pPr>
                    <w:pStyle w:val="Compact"/>
                    <w:jc w:val="left"/>
                    <w:jc w:val="center"/>
                  </w:pPr>
                  <m:oMath>
                    <m:sSub>
                      <m:e>
                        <m:r>
                          <m:t>P</m:t>
                        </m:r>
                      </m:e>
                      <m:sub>
                        <m:r>
                          <m:t>u</m:t>
                        </m:r>
                        <m:r>
                          <m:t>p</m:t>
                        </m:r>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u</m:t>
                        </m:r>
                        <m:r>
                          <m:t>p</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84"/>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The results in</w:t>
      </w:r>
      <w:r>
        <w:t xml:space="preserve"> </w:t>
      </w:r>
      <w:hyperlink w:anchor="tbl-pexport-models">
        <w:r>
          <w:rPr>
            <w:rStyle w:val="Hyperlink"/>
          </w:rPr>
          <w:t xml:space="preserve">Table 6</w:t>
        </w:r>
      </w:hyperlink>
      <w:r>
        <w:t xml:space="preserve"> </w:t>
      </w:r>
      <w:r>
        <w:t xml:space="preserve">show that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highly significant predictors, explaining around 6-7% of the variance (marginal R²). This suggests that the size of the available P pool is a robust indicator of the amount of P a crop will take up.</w:t>
      </w:r>
    </w:p>
    <w:bookmarkEnd w:id="85"/>
    <w:bookmarkStart w:id="87" w:name="sec-pbalance"/>
    <w:p>
      <w:pPr>
        <w:pStyle w:val="Heading3"/>
      </w:pPr>
      <w:r>
        <w:t xml:space="preserve">4.5.4 Predicting P-Balance (</w:t>
      </w:r>
      <m:oMath>
        <m:sSub>
          <m:e>
            <m:r>
              <m:t>P</m:t>
            </m:r>
          </m:e>
          <m:sub>
            <m:r>
              <m:t>b</m:t>
            </m:r>
            <m:r>
              <m:t>a</m:t>
            </m:r>
            <m:r>
              <m:t>l</m:t>
            </m:r>
          </m:sub>
        </m:sSub>
      </m:oMath>
      <w:r>
        <w:t xml:space="preserve">)</w:t>
      </w:r>
    </w:p>
    <w:p>
      <w:pPr>
        <w:pStyle w:val="FirstParagraph"/>
      </w:pPr>
      <w:r>
        <w:t xml:space="preserve">The most striking result was found when predicting the P-Balance, summarized in</w:t>
      </w:r>
      <w:r>
        <w:t xml:space="preserve"> </w:t>
      </w:r>
      <w:hyperlink w:anchor="tbl-pbalance-models">
        <w:r>
          <w:rPr>
            <w:rStyle w:val="Hyperlink"/>
          </w:rPr>
          <w:t xml:space="preserve">Table 7</w:t>
        </w:r>
      </w:hyperlink>
      <w:r>
        <w:t xml:space="preserve">. The standard STP methods showed no significant ability to predict the P-Balance, whereas the kinetic model was a powerful predictor.</w:t>
      </w:r>
    </w:p>
    <w:tbl>
      <w:tblPr>
        <w:tblStyle w:val="Table"/>
        <w:tblW w:type="pct" w:w="5000"/>
        <w:tblLayout w:type="fixed"/>
        <w:tblLook w:firstRow="0" w:lastRow="0" w:firstColumn="0" w:lastColumn="0" w:noHBand="0" w:noVBand="0" w:val="0000"/>
      </w:tblPr>
      <w:tblGrid>
        <w:gridCol w:w="7920"/>
      </w:tblGrid>
      <w:tr>
        <w:tc>
          <w:tcPr/>
          <w:bookmarkStart w:id="86"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1572"/>
              <w:gridCol w:w="1348"/>
              <w:gridCol w:w="1404"/>
              <w:gridCol w:w="1909"/>
              <w:gridCol w:w="1685"/>
            </w:tblGrid>
            <w:tr>
              <w:trPr>
                <w:tblHeader w:val="on"/>
              </w:trPr>
              <w:tc>
                <w:tcPr/>
                <w:p>
                  <w:pPr>
                    <w:pStyle w:val="Compact"/>
                    <w:jc w:val="left"/>
                    <w:jc w:val="center"/>
                  </w:pPr>
                  <w:r>
                    <w:t xml:space="preserve">Model</w:t>
                  </w:r>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oMath>
                </w:p>
              </w:tc>
              <w:tc>
                <w:tcPr/>
                <w:p>
                  <w:pPr>
                    <w:pStyle w:val="Compact"/>
                    <w:jc w:val="left"/>
                    <w:jc w:val="center"/>
                  </w:pPr>
                  <m:oMath>
                    <m:sSub>
                      <m:e>
                        <m:r>
                          <m:t>P</m:t>
                        </m:r>
                      </m:e>
                      <m:sub>
                        <m:r>
                          <m:t>b</m:t>
                        </m:r>
                        <m:r>
                          <m:t>a</m:t>
                        </m:r>
                        <m:r>
                          <m:t>l</m:t>
                        </m:r>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sSub>
                      <m:e>
                        <m:r>
                          <m:t>P</m:t>
                        </m:r>
                      </m:e>
                      <m:sub>
                        <m:r>
                          <m:t>C</m:t>
                        </m:r>
                        <m:sSub>
                          <m:e>
                            <m:r>
                              <m:t>O</m:t>
                            </m:r>
                          </m:e>
                          <m:sub>
                            <m:r>
                              <m:t>2</m:t>
                            </m:r>
                          </m:sub>
                        </m:sSub>
                      </m:sub>
                    </m:sSub>
                    <m:r>
                      <m:rPr>
                        <m:sty m:val="p"/>
                      </m:rPr>
                      <m:t>*</m:t>
                    </m:r>
                    <m:sSub>
                      <m:e>
                        <m:r>
                          <m:t>P</m:t>
                        </m:r>
                      </m:e>
                      <m:sub>
                        <m:r>
                          <m:t>A</m:t>
                        </m:r>
                        <m:r>
                          <m:t>A</m:t>
                        </m:r>
                        <m:r>
                          <m:t>E</m:t>
                        </m:r>
                        <m:r>
                          <m:t>10</m:t>
                        </m:r>
                      </m:sub>
                    </m:sSub>
                  </m:oMath>
                </w:p>
              </w:tc>
              <w:tc>
                <w:tcPr/>
                <w:p>
                  <w:pPr>
                    <w:pStyle w:val="Compact"/>
                    <w:jc w:val="left"/>
                    <w:jc w:val="center"/>
                  </w:pPr>
                  <m:oMath>
                    <m:sSub>
                      <m:e>
                        <m:r>
                          <m:t>P</m:t>
                        </m:r>
                      </m:e>
                      <m:sub>
                        <m:r>
                          <m:t>b</m:t>
                        </m:r>
                        <m:r>
                          <m:t>a</m:t>
                        </m:r>
                        <m:r>
                          <m:t>l</m:t>
                        </m:r>
                      </m:sub>
                    </m:sSub>
                    <m:r>
                      <m:rPr>
                        <m:sty m:val="p"/>
                      </m:rPr>
                      <m:t>∼</m:t>
                    </m:r>
                    <m:r>
                      <m:t>k</m:t>
                    </m:r>
                    <m:r>
                      <m:rPr>
                        <m:sty m:val="p"/>
                      </m:rPr>
                      <m:t>*</m:t>
                    </m:r>
                    <m:sSub>
                      <m:e>
                        <m:r>
                          <m:t>P</m:t>
                        </m:r>
                      </m:e>
                      <m:sub>
                        <m:r>
                          <m:t>d</m:t>
                        </m:r>
                        <m:r>
                          <m:t>e</m:t>
                        </m:r>
                        <m:r>
                          <m:t>s</m:t>
                        </m:r>
                        <m:r>
                          <m:t>o</m:t>
                        </m:r>
                        <m:r>
                          <m:t>r</m:t>
                        </m:r>
                        <m:r>
                          <m:t>b</m:t>
                        </m:r>
                      </m:sub>
                    </m:sSub>
                  </m:oMath>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r>
                      <m:t>l</m:t>
                    </m:r>
                    <m:r>
                      <m:t>o</m:t>
                    </m:r>
                    <m:r>
                      <m:t>g</m:t>
                    </m:r>
                    <m:d>
                      <m:dPr>
                        <m:begChr m:val="("/>
                        <m:sepChr m:val=""/>
                        <m:endChr m:val=")"/>
                        <m:grow/>
                      </m:dPr>
                      <m:e>
                        <m:sSub>
                          <m:e>
                            <m:r>
                              <m:t>P</m:t>
                            </m:r>
                          </m:e>
                          <m:sub>
                            <m:r>
                              <m:t>d</m:t>
                            </m:r>
                            <m:r>
                              <m:t>e</m:t>
                            </m:r>
                            <m:r>
                              <m:t>s</m:t>
                            </m:r>
                            <m:r>
                              <m:t>o</m:t>
                            </m:r>
                            <m:r>
                              <m:t>r</m:t>
                            </m:r>
                            <m:r>
                              <m:t>b</m:t>
                            </m:r>
                          </m:sub>
                        </m:sSub>
                      </m:e>
                    </m:d>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r>
                      <m:t>l</m:t>
                    </m:r>
                    <m:r>
                      <m:t>o</m:t>
                    </m:r>
                    <m:r>
                      <m:t>g</m:t>
                    </m:r>
                    <m:d>
                      <m:dPr>
                        <m:begChr m:val="("/>
                        <m:sepChr m:val=""/>
                        <m:endChr m:val=")"/>
                        <m:grow/>
                      </m:dPr>
                      <m:e>
                        <m:sSub>
                          <m:e>
                            <m:r>
                              <m:t>P</m:t>
                            </m:r>
                          </m:e>
                          <m:sub>
                            <m:r>
                              <m:t>A</m:t>
                            </m:r>
                            <m:r>
                              <m:t>A</m:t>
                            </m:r>
                            <m:r>
                              <m:t>E</m:t>
                            </m:r>
                            <m:r>
                              <m:t>10</m:t>
                            </m:r>
                          </m:sub>
                        </m:sSub>
                      </m:e>
                    </m:d>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r>
                      <m:t>l</m:t>
                    </m:r>
                    <m:r>
                      <m:t>o</m:t>
                    </m:r>
                    <m:r>
                      <m:t>g</m:t>
                    </m:r>
                    <m:d>
                      <m:dPr>
                        <m:begChr m:val="("/>
                        <m:sepChr m:val=""/>
                        <m:endChr m:val=")"/>
                        <m:grow/>
                      </m:dPr>
                      <m:e>
                        <m:sSub>
                          <m:e>
                            <m:r>
                              <m:t>P</m:t>
                            </m:r>
                          </m:e>
                          <m:sub>
                            <m:r>
                              <m:t>C</m:t>
                            </m:r>
                            <m:sSub>
                              <m:e>
                                <m:r>
                                  <m:t>O</m:t>
                                </m:r>
                              </m:e>
                              <m:sub>
                                <m:r>
                                  <m:t>2</m:t>
                                </m:r>
                              </m:sub>
                            </m:sSub>
                          </m:sub>
                        </m:sSub>
                      </m:e>
                    </m:d>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86"/>
          <w:p/>
        </w:tc>
      </w:tr>
    </w:tbl>
    <w:p>
      <w:pPr>
        <w:pStyle w:val="BodyText"/>
      </w:pPr>
      <w:r>
        <w:rPr>
          <w:vertAlign w:val="subscript"/>
        </w:rPr>
        <w:t xml:space="preserve">Source:</w:t>
      </w:r>
      <w:r>
        <w:rPr>
          <w:vertAlign w:val="subscript"/>
        </w:rPr>
        <w:t xml:space="preserve"> </w:t>
      </w:r>
      <w:hyperlink r:id="rId27">
        <w:r>
          <w:rPr>
            <w:rStyle w:val="Hyperlink"/>
            <w:vertAlign w:val="subscript"/>
          </w:rPr>
          <w:t xml:space="preserve">Article Notebook</w:t>
        </w:r>
      </w:hyperlink>
    </w:p>
    <w:p>
      <w:pPr>
        <w:pStyle w:val="BodyText"/>
      </w:pPr>
      <w:r>
        <w:t xml:space="preserve">As detailed in</w:t>
      </w:r>
      <w:r>
        <w:t xml:space="preserve"> </w:t>
      </w:r>
      <w:hyperlink w:anchor="tbl-pbalance-models">
        <w:r>
          <w:rPr>
            <w:rStyle w:val="Hyperlink"/>
          </w:rPr>
          <w:t xml:space="preserve">Table 7</w:t>
        </w:r>
      </w:hyperlink>
      <w:r>
        <w:t xml:space="preserve">, the kinetic model explained</w:t>
      </w:r>
      <w:r>
        <w:t xml:space="preserve"> </w:t>
      </w:r>
      <w:r>
        <w:rPr>
          <w:b/>
          <w:bCs/>
        </w:rPr>
        <w:t xml:space="preserve">57% of the variance</w:t>
      </w:r>
      <w:r>
        <w:t xml:space="preserve"> </w:t>
      </w:r>
      <w:r>
        <w:t xml:space="preserve">in P-Balance (marginal R² = 0.572), with the</w:t>
      </w:r>
      <w:r>
        <w:t xml:space="preserve"> </w:t>
      </w:r>
      <w:r>
        <w:rPr>
          <w:b/>
          <w:bCs/>
        </w:rPr>
        <w:t xml:space="preserve">Desorbable P pool (</w:t>
      </w:r>
      <m:oMath>
        <m:sSub>
          <m:e>
            <m:r>
              <m:t>P</m:t>
            </m:r>
          </m:e>
          <m:sub>
            <m:r>
              <m:t>d</m:t>
            </m:r>
            <m:r>
              <m:t>e</m:t>
            </m:r>
            <m:r>
              <m:t>s</m:t>
            </m:r>
            <m:r>
              <m:t>o</m:t>
            </m:r>
            <m:r>
              <m:t>r</m:t>
            </m:r>
            <m:r>
              <m:t>b</m:t>
            </m:r>
          </m:sub>
        </m:sSub>
      </m:oMath>
      <w:r>
        <w:t xml:space="preserve">) being the dominant, highly significant predictor. This indicates that the</w:t>
      </w:r>
      <w:r>
        <w:t xml:space="preserve"> </w:t>
      </w:r>
      <m:oMath>
        <m:sSub>
          <m:e>
            <m:r>
              <m:t>P</m:t>
            </m:r>
          </m:e>
          <m:sub>
            <m:r>
              <m:t>d</m:t>
            </m:r>
            <m:r>
              <m:t>e</m:t>
            </m:r>
            <m:r>
              <m:t>s</m:t>
            </m:r>
            <m:r>
              <m:t>o</m:t>
            </m:r>
            <m:r>
              <m:t>r</m:t>
            </m:r>
            <m:r>
              <m:t>b</m:t>
            </m:r>
          </m:sub>
        </m:sSub>
      </m:oMath>
      <w:r>
        <w:t xml:space="preserve"> </w:t>
      </w:r>
      <w:r>
        <w:t xml:space="preserve">parameter from the kinetic experiment is a vastly superior measure of the soil’s P budget compared to standard STP tests.</w:t>
      </w:r>
    </w:p>
    <w:bookmarkEnd w:id="87"/>
    <w:bookmarkEnd w:id="88"/>
    <w:bookmarkEnd w:id="89"/>
    <w:bookmarkStart w:id="90" w:name="discussion"/>
    <w:p>
      <w:pPr>
        <w:pStyle w:val="Heading1"/>
      </w:pPr>
      <w:r>
        <w:t xml:space="preserve">5. Discussion</w:t>
      </w:r>
    </w:p>
    <w:bookmarkEnd w:id="90"/>
    <w:bookmarkStart w:id="91" w:name="conclusion"/>
    <w:p>
      <w:pPr>
        <w:pStyle w:val="Heading1"/>
      </w:pPr>
      <w:r>
        <w:t xml:space="preserve">6. Conclusion</w:t>
      </w:r>
    </w:p>
    <w:bookmarkEnd w:id="91"/>
    <w:bookmarkStart w:id="92" w:name="acknowledgments"/>
    <w:p>
      <w:pPr>
        <w:pStyle w:val="Heading1"/>
      </w:pPr>
      <w:r>
        <w:t xml:space="preserve">7. Acknowledgments</w:t>
      </w:r>
    </w:p>
    <w:bookmarkEnd w:id="92"/>
    <w:bookmarkStart w:id="93" w:name="legal-disclosure"/>
    <w:p>
      <w:pPr>
        <w:pStyle w:val="Heading1"/>
      </w:pPr>
      <w:r>
        <w:t xml:space="preserve">8. Legal Disclosure</w:t>
      </w:r>
    </w:p>
    <w:bookmarkEnd w:id="93"/>
    <w:bookmarkStart w:id="97" w:name="references"/>
    <w:p>
      <w:pPr>
        <w:pStyle w:val="Heading1"/>
      </w:pPr>
      <w:r>
        <w:t xml:space="preserve">9. References</w:t>
      </w:r>
    </w:p>
    <w:bookmarkStart w:id="96" w:name="refs"/>
    <w:bookmarkStart w:id="95" w:name="ref-hirte_yield_2021"/>
    <w:p>
      <w:pPr>
        <w:pStyle w:val="Bibliography"/>
      </w:pPr>
      <w:r>
        <w:t xml:space="preserve">Hirte, J., Richner, W., Orth, B., Liebisch, F., &amp; Flisch, R. (2021). Yield response to soil test phosphorus in switzerland: Pedoclimatic 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94">
        <w:r>
          <w:rPr>
            <w:rStyle w:val="Hyperlink"/>
          </w:rPr>
          <w:t xml:space="preserve">https://doi.org/10.1016/j.scitotenv.2020.143453</w:t>
        </w:r>
      </w:hyperlink>
    </w:p>
    <w:bookmarkEnd w:id="95"/>
    <w:bookmarkEnd w:id="96"/>
    <w:bookmarkEnd w:id="97"/>
    <w:bookmarkStart w:id="98" w:name="appendix"/>
    <w:p>
      <w:pPr>
        <w:pStyle w:val="Heading1"/>
      </w:pPr>
      <w:r>
        <w:t xml:space="preserve">10. Appendix</w:t>
      </w:r>
    </w:p>
    <w:bookmarkEnd w:id="98"/>
    <w:bookmarkStart w:id="99" w:name="supplements"/>
    <w:p>
      <w:pPr>
        <w:pStyle w:val="Heading1"/>
      </w:pPr>
      <w:r>
        <w:t xml:space="preserve">11. Supplements</w:t>
      </w:r>
    </w:p>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_rels/footnotes.xml.rels><?xml version="1.0" encoding="UTF-8"?><Relationships xmlns="http://schemas.openxmlformats.org/package/2006/relationships"><Relationship Type="http://schemas.openxmlformats.org/officeDocument/2006/relationships/hyperlink" Id="rId27" Target="https://Andrapodon.github.io/Master-Thesis-P-kinetics/index.qmd.html" TargetMode="External" /><Relationship Type="http://schemas.openxmlformats.org/officeDocument/2006/relationships/hyperlink" Id="rId94" Target="https://doi.org/10.1016/j.scitotenv.2020.143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
  <dcterms:created xsi:type="dcterms:W3CDTF">2025-09-07T21:06:51Z</dcterms:created>
  <dcterms:modified xsi:type="dcterms:W3CDTF">2025-09-07T21:06:51Z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of">
    <vt:lpwstr>True</vt:lpwstr>
  </property>
  <property fmtid="{D5CDD505-2E9C-101B-9397-08002B2CF9AE}" pid="19" name="lot">
    <vt:lpwstr>True</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