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df" ContentType="application/pdf"/>
  <Override PartName="/word/media/rId59.pdf" ContentType="application/pdf"/>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4"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2.3 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sec-materials-and-methods"/>
    <w:p>
      <w:pPr>
        <w:pStyle w:val="Heading1"/>
      </w:pPr>
      <w:r>
        <w:t xml:space="preserve">3. Materials and Methods</w:t>
      </w:r>
    </w:p>
    <w:bookmarkStart w:id="25"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c261baef4af77ed8b3729bcb7f4988714bd1542"/>
    <w:p>
      <w:pPr>
        <w:pStyle w:val="Heading3"/>
      </w:pPr>
      <w:r>
        <w:t xml:space="preserve">3.3.1 Original Method of Flossmann and Richter (1982) {#sec-original-method-of-flossmann-and-richter-(1982}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ec-statistical-analysis"/>
    <w:p>
      <w:pPr>
        <w:pStyle w:val="Heading2"/>
      </w:pPr>
      <w:r>
        <w:t xml:space="preserve">3.4 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sec-modeling-of-desorption-kinetics"/>
    <w:p>
      <w:pPr>
        <w:pStyle w:val="Heading3"/>
      </w:pPr>
      <w:r>
        <w:t xml:space="preserve">3.4.1 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sec-modeling-of-agronomic-responses"/>
    <w:p>
      <w:pPr>
        <w:pStyle w:val="Heading3"/>
      </w:pPr>
      <w:r>
        <w:t xml:space="preserve">3.4.2 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sec-variables-used-in-the-models"/>
    <w:p>
      <w:pPr>
        <w:pStyle w:val="Heading4"/>
      </w:pPr>
      <w:r>
        <w:t xml:space="preserve">3.4.2.1 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sec-linear-mixed-effects-model-structure"/>
    <w:p>
      <w:pPr>
        <w:pStyle w:val="Heading4"/>
      </w:pPr>
      <w:r>
        <w:t xml:space="preserve">3.4.2.2 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89" w:name="results"/>
    <w:p>
      <w:pPr>
        <w:pStyle w:val="Heading1"/>
      </w:pPr>
      <w:r>
        <w:t xml:space="preserve">4.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bookmarkEnd w:id="53"/>
    <w:bookmarkEnd w:id="54"/>
    <w:bookmarkStart w:id="64"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1981200"/>
                        <wp:effectExtent b="0" l="0" r="0" t="0"/>
                        <wp:docPr descr="" title="" id="56" name="Picture"/>
                        <a:graphic>
                          <a:graphicData uri="http://schemas.openxmlformats.org/drawingml/2006/picture">
                            <pic:pic>
                              <pic:nvPicPr>
                                <pic:cNvPr descr="index_files/figure-docx/fig-iek-comparison-1.pdf" id="57" name="Picture"/>
                                <pic:cNvPicPr>
                                  <a:picLocks noChangeArrowheads="1" noChangeAspect="1"/>
                                </pic:cNvPicPr>
                              </pic:nvPicPr>
                              <pic:blipFill>
                                <a:blip r:embed="rId55"/>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1981200"/>
                        <wp:effectExtent b="0" l="0" r="0" t="0"/>
                        <wp:docPr descr="" title="" id="60" name="Picture"/>
                        <a:graphic>
                          <a:graphicData uri="http://schemas.openxmlformats.org/drawingml/2006/picture">
                            <pic:pic>
                              <pic:nvPicPr>
                                <pic:cNvPr descr="index_files/figure-docx/fig-iek-comparison-2.pdf" id="61" name="Picture"/>
                                <pic:cNvPicPr>
                                  <a:picLocks noChangeArrowheads="1" noChangeAspect="1"/>
                                </pic:cNvPicPr>
                              </pic:nvPicPr>
                              <pic:blipFill>
                                <a:blip r:embed="rId59"/>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79" w:name="sec-p-params-soil-props"/>
    <w:p>
      <w:pPr>
        <w:pStyle w:val="Heading2"/>
      </w:pPr>
      <w:r>
        <w:t xml:space="preserve">4.4 Predicting P Parameters from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amorphous Al/Fe oxides. The models included random effects for</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Block</w:t>
      </w:r>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w:r>
                    <w:t xml:space="preserve">Ald</w:t>
                  </w:r>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w:r>
                    <w:t xml:space="preserve">Fed</w:t>
                  </w:r>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7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in</w:t>
      </w:r>
      <w:r>
        <w:t xml:space="preserve"> </w:t>
      </w:r>
      <w:hyperlink w:anchor="tbl-soil-prop-models">
        <w:r>
          <w:rPr>
            <w:rStyle w:val="Hyperlink"/>
          </w:rPr>
          <w:t xml:space="preserve">Table 3</w:t>
        </w:r>
      </w:hyperlink>
      <w:r>
        <w:t xml:space="preserve"> </w:t>
      </w:r>
      <w:r>
        <w:t xml:space="preserve">reveals that the capacity-based P pools and the kinetic rate constant are controlled by different sets of soil properties. Both amorphous aluminum (</w:t>
      </w:r>
      <m:oMath>
        <m:r>
          <m:t>A</m:t>
        </m:r>
        <m:sSub>
          <m:e>
            <m:r>
              <m:t>l</m:t>
            </m:r>
          </m:e>
          <m:sub>
            <m:r>
              <m:t>o</m:t>
            </m:r>
            <m:r>
              <m:t>x</m:t>
            </m:r>
          </m:sub>
        </m:sSub>
      </m:oMath>
      <w:r>
        <w:t xml:space="preserve">) and iron (</w:t>
      </w:r>
      <m:oMath>
        <m:r>
          <m:t>F</m:t>
        </m:r>
        <m:sSub>
          <m:e>
            <m:r>
              <m:t>e</m:t>
            </m:r>
          </m:e>
          <m:sub>
            <m:r>
              <m:t>o</m:t>
            </m:r>
            <m:r>
              <m:t>x</m:t>
            </m:r>
          </m:sub>
        </m:sSub>
      </m:oMath>
      <w:r>
        <w:t xml:space="preserve">) oxides had a highly significant negative effect on the</w:t>
      </w:r>
      <w:r>
        <w:t xml:space="preserve"> </w:t>
      </w:r>
      <w:r>
        <w:rPr>
          <w:b/>
          <w:bCs/>
        </w:rPr>
        <w:t xml:space="preserve">Desorbable P pool (</w:t>
      </w:r>
      <m:oMath>
        <m:sSub>
          <m:e>
            <m:r>
              <m:t>P</m:t>
            </m:r>
          </m:e>
          <m:sub>
            <m:r>
              <m:t>d</m:t>
            </m:r>
            <m:r>
              <m:t>e</m:t>
            </m:r>
            <m:r>
              <m:t>s</m:t>
            </m:r>
            <m:r>
              <m:t>o</m:t>
            </m:r>
            <m:r>
              <m:t>r</m:t>
            </m:r>
            <m:r>
              <m:t>b</m:t>
            </m:r>
          </m:sub>
        </m:sSub>
      </m:oMath>
      <w:r>
        <w:t xml:space="preserve">), suggesting they bind P strongly. In contrast,</w:t>
      </w:r>
      <w:r>
        <w:t xml:space="preserve"> </w:t>
      </w:r>
      <w:r>
        <w:rPr>
          <w:b/>
          <w:bCs/>
        </w:rPr>
        <w:t xml:space="preserve">Organic Carbon (</w:t>
      </w:r>
      <m:oMath>
        <m:sSub>
          <m:e>
            <m:r>
              <m:t>C</m:t>
            </m:r>
          </m:e>
          <m:sub>
            <m:r>
              <m:t>o</m:t>
            </m:r>
            <m:r>
              <m:t>r</m:t>
            </m:r>
            <m:r>
              <m:t>g</m:t>
            </m:r>
          </m:sub>
        </m:sSub>
      </m:oMath>
      <w:r>
        <w:t xml:space="preserve">) had a significant positive effect on all capacity measures, especially</w:t>
      </w:r>
      <w:r>
        <w:t xml:space="preserve"> </w:t>
      </w:r>
      <w:r>
        <w:rPr>
          <w:rStyle w:val="VerbatimChar"/>
        </w:rPr>
        <w:t xml:space="preserve">$P_{AAE10}$</w:t>
      </w:r>
      <w:r>
        <w:t xml:space="preserve">. The</w:t>
      </w:r>
      <w:r>
        <w:t xml:space="preserve"> </w:t>
      </w:r>
      <w:r>
        <w:rPr>
          <w:b/>
          <w:bCs/>
        </w:rPr>
        <w:t xml:space="preserve">Rate Constant (</w:t>
      </w:r>
      <m:oMath>
        <m:r>
          <m:t>k</m:t>
        </m:r>
      </m:oMath>
      <w:r>
        <w:t xml:space="preserve">) was not significantly driven by the oxides, but showed a significant positive relationship with</w:t>
      </w:r>
      <w:r>
        <w:t xml:space="preserve"> </w:t>
      </w:r>
      <w:r>
        <w:rPr>
          <w:rStyle w:val="VerbatimChar"/>
        </w:rPr>
        <w:t xml:space="preserve">$C_{org}$</w:t>
      </w:r>
      <w:r>
        <w:t xml:space="preserve"> </w:t>
      </w:r>
      <w:r>
        <w:t xml:space="preserve">and a negative relationship with</w:t>
      </w:r>
      <w:r>
        <w:t xml:space="preserve"> </w:t>
      </w:r>
      <w:r>
        <w:rPr>
          <w:rStyle w:val="VerbatimChar"/>
        </w:rPr>
        <w:t xml:space="preserve">Clay</w:t>
      </w:r>
      <w:r>
        <w:t xml:space="preserve"> </w:t>
      </w:r>
      <w:r>
        <w:t xml:space="preserve">content, indicating that the speed of P release is governed by different mechanisms than the total pool size.</w:t>
      </w:r>
    </w:p>
    <w:bookmarkEnd w:id="79"/>
    <w:bookmarkStart w:id="88" w:name="sec-agronomic-modeling"/>
    <w:p>
      <w:pPr>
        <w:pStyle w:val="Heading2"/>
      </w:pPr>
      <w:r>
        <w:t xml:space="preserve">4.5 Predictive Modeling of Agronomic Outcomes</w:t>
      </w:r>
    </w:p>
    <w:p>
      <w:pPr>
        <w:pStyle w:val="FirstParagraph"/>
      </w:pPr>
      <w:r>
        <w:t xml:space="preserve">To formally evaluate and compare the predictive power of the standard STP methods against the newly derived kinetic parameters, a series of linear mixed-effects models (</w:t>
      </w:r>
      <w:r>
        <w:rPr>
          <w:rStyle w:val="VerbatimChar"/>
        </w:rPr>
        <w:t xml:space="preserve">lmer</w:t>
      </w:r>
      <w:r>
        <w:t xml:space="preserve">) were fitted for each of the primary agronomic response variables.</w:t>
      </w:r>
    </w:p>
    <w:bookmarkStart w:id="81" w:name="sec-y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models predicting the site-normalized yield are summarized in</w:t>
      </w:r>
      <w:r>
        <w:t xml:space="preserve"> </w:t>
      </w:r>
      <w:hyperlink w:anchor="tbl-ynorm-models">
        <w:r>
          <w:rPr>
            <w:rStyle w:val="Hyperlink"/>
          </w:rPr>
          <w:t xml:space="preserve">Table 4</w:t>
        </w:r>
      </w:hyperlink>
      <w:r>
        <w:t xml:space="preserve">. For this metric, the standard STP methods proved to be the most effective predictors.</w:t>
      </w:r>
    </w:p>
    <w:tbl>
      <w:tblPr>
        <w:tblStyle w:val="Table"/>
        <w:tblW w:type="pct" w:w="5000"/>
        <w:tblLayout w:type="fixed"/>
        <w:tblLook w:firstRow="0" w:lastRow="0" w:firstColumn="0" w:lastColumn="0" w:noHBand="0" w:noVBand="0" w:val="0000"/>
      </w:tblPr>
      <w:tblGrid>
        <w:gridCol w:w="7920"/>
      </w:tblGrid>
      <w:tr>
        <w:tc>
          <w:tcPr/>
          <w:bookmarkStart w:id="80"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1529"/>
              <w:gridCol w:w="1365"/>
              <w:gridCol w:w="1420"/>
              <w:gridCol w:w="1911"/>
              <w:gridCol w:w="1693"/>
            </w:tblGrid>
            <w:tr>
              <w:trPr>
                <w:tblHeader w:val="on"/>
              </w:trPr>
              <w:tc>
                <w:tcPr/>
                <w:p>
                  <w:pPr>
                    <w:pStyle w:val="Compact"/>
                    <w:jc w:val="left"/>
                    <w:jc w:val="center"/>
                  </w:pPr>
                  <w:r>
                    <w:t xml:space="preserve">Model</w:t>
                  </w:r>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oMath>
                </w:p>
              </w:tc>
              <w:tc>
                <w:tcPr/>
                <w:p>
                  <w:pPr>
                    <w:pStyle w:val="Compact"/>
                    <w:jc w:val="left"/>
                    <w:jc w:val="center"/>
                  </w:pPr>
                  <m:oMath>
                    <m:sSub>
                      <m:e>
                        <m:r>
                          <m:t>Y</m:t>
                        </m:r>
                      </m:e>
                      <m:sub>
                        <m:r>
                          <m:t>n</m:t>
                        </m:r>
                        <m:r>
                          <m:t>o</m:t>
                        </m:r>
                        <m:r>
                          <m:t>r</m:t>
                        </m:r>
                        <m:r>
                          <m:t>m</m:t>
                        </m:r>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w:t>
      </w:r>
      <w:r>
        <w:t xml:space="preserve"> </w:t>
      </w:r>
      <w:hyperlink w:anchor="tbl-ynorm-models">
        <w:r>
          <w:rPr>
            <w:rStyle w:val="Hyperlink"/>
          </w:rPr>
          <w:t xml:space="preserve">Table 4</w:t>
        </w:r>
      </w:hyperlink>
      <w:r>
        <w:t xml:space="preserve">, both</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were highly significant predictors of site-normalized yield, with the model containing</w:t>
      </w:r>
      <w:r>
        <w:t xml:space="preserve"> </w:t>
      </w:r>
      <w:r>
        <w:rPr>
          <w:rStyle w:val="VerbatimChar"/>
        </w:rPr>
        <w:t xml:space="preserve">$P_{CO_2}$</w:t>
      </w:r>
      <w:r>
        <w:t xml:space="preserve"> </w:t>
      </w:r>
      <w:r>
        <w:t xml:space="preserve">explaining the most variance (Marginal R² = 0.218). In contrast, the kinetic parameters showed no significant predictive power for</w:t>
      </w:r>
      <w:r>
        <w:t xml:space="preserve"> </w:t>
      </w:r>
      <w:r>
        <w:rPr>
          <w:rStyle w:val="VerbatimChar"/>
        </w:rPr>
        <w:t xml:space="preserve">$Y_{norm}$</w:t>
      </w:r>
      <w:r>
        <w:t xml:space="preserve">.</w:t>
      </w:r>
    </w:p>
    <w:bookmarkEnd w:id="81"/>
    <w:bookmarkStart w:id="83" w:name="sec-yrel"/>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When predicting the yield normalized to the national average, the kinetic parameters demonstrated a much stronger performance, as summarized in</w:t>
      </w:r>
      <w:r>
        <w:t xml:space="preserve"> </w:t>
      </w:r>
      <w:hyperlink w:anchor="tbl-yrel-models">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oMath>
                </w:p>
              </w:tc>
              <w:tc>
                <w:tcPr/>
                <w:p>
                  <w:pPr>
                    <w:pStyle w:val="Compact"/>
                    <w:jc w:val="left"/>
                    <w:jc w:val="center"/>
                  </w:pPr>
                  <m:oMath>
                    <m:sSub>
                      <m:e>
                        <m:r>
                          <m:t>Y</m:t>
                        </m:r>
                      </m:e>
                      <m:sub>
                        <m:r>
                          <m:t>r</m:t>
                        </m:r>
                        <m:r>
                          <m:t>e</m:t>
                        </m:r>
                        <m:r>
                          <m:t>l</m:t>
                        </m:r>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seen in</w:t>
      </w:r>
      <w:r>
        <w:t xml:space="preserve"> </w:t>
      </w:r>
      <w:hyperlink w:anchor="tbl-yrel-models">
        <w:r>
          <w:rPr>
            <w:rStyle w:val="Hyperlink"/>
          </w:rPr>
          <w:t xml:space="preserve">Table 5</w:t>
        </w:r>
      </w:hyperlink>
      <w:r>
        <w:t xml:space="preserve">, while the standard STP methods were also significant predictors, the kinetic model revealed a significant positive effect of the</w:t>
      </w:r>
      <w:r>
        <w:t xml:space="preserve"> </w:t>
      </w:r>
      <w:r>
        <w:rPr>
          <w:b/>
          <w:bCs/>
        </w:rPr>
        <w:t xml:space="preserve">Rate Constant (</w:t>
      </w:r>
      <m:oMath>
        <m:r>
          <m:t>k</m:t>
        </m:r>
      </m:oMath>
      <w:r>
        <w:t xml:space="preserve">) and its interaction with</w:t>
      </w:r>
      <w:r>
        <w:t xml:space="preserve"> </w:t>
      </w:r>
      <w:r>
        <w:rPr>
          <w:rStyle w:val="VerbatimChar"/>
        </w:rPr>
        <w:t xml:space="preserve">$P_{desorb}$</w:t>
      </w:r>
      <w:r>
        <w:t xml:space="preserve"> </w:t>
      </w:r>
      <w:r>
        <w:t xml:space="preserve">(</w:t>
      </w:r>
      <w:r>
        <w:rPr>
          <w:rStyle w:val="VerbatimChar"/>
        </w:rPr>
        <w:t xml:space="preserve">$J_0$</w:t>
      </w:r>
      <w:r>
        <w:t xml:space="preserve">). This suggests that the speed of P release is a more important factor when comparing yields across the broader environmental gradient represented by the national average.</w:t>
      </w:r>
    </w:p>
    <w:bookmarkEnd w:id="83"/>
    <w:bookmarkStart w:id="85" w:name="sec-pexport"/>
    <w:p>
      <w:pPr>
        <w:pStyle w:val="Heading3"/>
      </w:pPr>
      <w:r>
        <w:t xml:space="preserve">4.5.3 Predicting P-Export (</w:t>
      </w:r>
      <m:oMath>
        <m:sSub>
          <m:e>
            <m:r>
              <m:t>P</m:t>
            </m:r>
          </m:e>
          <m:sub>
            <m:r>
              <m:t>u</m:t>
            </m:r>
            <m:r>
              <m:t>p</m:t>
            </m:r>
          </m:sub>
        </m:sSub>
      </m:oMath>
      <w:r>
        <w:t xml:space="preserve">)</w:t>
      </w:r>
    </w:p>
    <w:p>
      <w:pPr>
        <w:pStyle w:val="FirstParagraph"/>
      </w:pPr>
      <w:r>
        <w:t xml:space="preserve">For predicting P-Export, the standard STP methods performed very well, with the kinetic model showing comparable, albeit non-significant, performance, as shown in</w:t>
      </w:r>
      <w:r>
        <w:t xml:space="preserve"> </w:t>
      </w:r>
      <w:hyperlink w:anchor="tbl-pexport-models">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1618"/>
              <w:gridCol w:w="1329"/>
              <w:gridCol w:w="1387"/>
              <w:gridCol w:w="1907"/>
              <w:gridCol w:w="1676"/>
            </w:tblGrid>
            <w:tr>
              <w:trPr>
                <w:tblHeader w:val="on"/>
              </w:trPr>
              <w:tc>
                <w:tcPr/>
                <w:p>
                  <w:pPr>
                    <w:pStyle w:val="Compact"/>
                    <w:jc w:val="left"/>
                    <w:jc w:val="center"/>
                  </w:pPr>
                  <w:r>
                    <w:t xml:space="preserve">Model</w:t>
                  </w:r>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oMath>
                </w:p>
              </w:tc>
              <w:tc>
                <w:tcPr/>
                <w:p>
                  <w:pPr>
                    <w:pStyle w:val="Compact"/>
                    <w:jc w:val="left"/>
                    <w:jc w:val="center"/>
                  </w:pPr>
                  <m:oMath>
                    <m:sSub>
                      <m:e>
                        <m:r>
                          <m:t>P</m:t>
                        </m:r>
                      </m:e>
                      <m:sub>
                        <m:r>
                          <m:t>u</m:t>
                        </m:r>
                        <m:r>
                          <m:t>p</m:t>
                        </m:r>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8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in</w:t>
      </w:r>
      <w:r>
        <w:t xml:space="preserve"> </w:t>
      </w:r>
      <w:hyperlink w:anchor="tbl-pexport-models">
        <w:r>
          <w:rPr>
            <w:rStyle w:val="Hyperlink"/>
          </w:rPr>
          <w:t xml:space="preserve">Table 6</w:t>
        </w:r>
      </w:hyperlink>
      <w:r>
        <w:t xml:space="preserve"> </w:t>
      </w:r>
      <w:r>
        <w:t xml:space="preserve">show that both</w:t>
      </w:r>
      <w:r>
        <w:t xml:space="preserve"> </w:t>
      </w:r>
      <w:r>
        <w:rPr>
          <w:rStyle w:val="VerbatimChar"/>
        </w:rPr>
        <w:t xml:space="preserve">$P_{CO_2}$</w:t>
      </w:r>
      <w:r>
        <w:t xml:space="preserve"> </w:t>
      </w:r>
      <w:r>
        <w:t xml:space="preserve">and</w:t>
      </w:r>
      <w:r>
        <w:t xml:space="preserve"> </w:t>
      </w:r>
      <w:r>
        <w:rPr>
          <w:rStyle w:val="VerbatimChar"/>
        </w:rPr>
        <w:t xml:space="preserve">$P_{AAE10}$</w:t>
      </w:r>
      <w:r>
        <w:t xml:space="preserve"> </w:t>
      </w:r>
      <w:r>
        <w:t xml:space="preserve">were highly significant predictors, explaining around 6-7% of the variance (marginal R²). This suggests that the size of the available P pool is a robust indicator of the amount of P a crop will take up.</w:t>
      </w:r>
    </w:p>
    <w:bookmarkEnd w:id="85"/>
    <w:bookmarkStart w:id="87" w:name="sec-pbalance"/>
    <w:p>
      <w:pPr>
        <w:pStyle w:val="Heading3"/>
      </w:pPr>
      <w:r>
        <w:t xml:space="preserve">4.5.4 Predicting P-Balance (</w:t>
      </w:r>
      <m:oMath>
        <m:sSub>
          <m:e>
            <m:r>
              <m:t>P</m:t>
            </m:r>
          </m:e>
          <m:sub>
            <m:r>
              <m:t>b</m:t>
            </m:r>
            <m:r>
              <m:t>a</m:t>
            </m:r>
            <m:r>
              <m:t>l</m:t>
            </m:r>
          </m:sub>
        </m:sSub>
      </m:oMath>
      <w:r>
        <w:t xml:space="preserve">)</w:t>
      </w:r>
    </w:p>
    <w:p>
      <w:pPr>
        <w:pStyle w:val="FirstParagraph"/>
      </w:pPr>
      <w:r>
        <w:t xml:space="preserve">The most striking result was found when predicting the P-Balance, summarized in</w:t>
      </w:r>
      <w:r>
        <w:t xml:space="preserve"> </w:t>
      </w:r>
      <w:hyperlink w:anchor="tbl-pbalance-models">
        <w:r>
          <w:rPr>
            <w:rStyle w:val="Hyperlink"/>
          </w:rPr>
          <w:t xml:space="preserve">Table 7</w:t>
        </w:r>
      </w:hyperlink>
      <w:r>
        <w:t xml:space="preserve">. The standard STP methods showed no significant ability to predict the P-Balance, whereas the kinetic model was a powerful predictor.</w:t>
      </w:r>
    </w:p>
    <w:tbl>
      <w:tblPr>
        <w:tblStyle w:val="Table"/>
        <w:tblW w:type="pct" w:w="5000"/>
        <w:tblLayout w:type="fixed"/>
        <w:tblLook w:firstRow="0" w:lastRow="0" w:firstColumn="0" w:lastColumn="0" w:noHBand="0" w:noVBand="0" w:val="0000"/>
      </w:tblPr>
      <w:tblGrid>
        <w:gridCol w:w="7920"/>
      </w:tblGrid>
      <w:tr>
        <w:tc>
          <w:tcPr/>
          <w:bookmarkStart w:id="8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oMath>
                </w:p>
              </w:tc>
              <w:tc>
                <w:tcPr/>
                <w:p>
                  <w:pPr>
                    <w:pStyle w:val="Compact"/>
                    <w:jc w:val="left"/>
                    <w:jc w:val="center"/>
                  </w:pPr>
                  <m:oMath>
                    <m:sSub>
                      <m:e>
                        <m:r>
                          <m:t>P</m:t>
                        </m:r>
                      </m:e>
                      <m:sub>
                        <m:r>
                          <m:t>b</m:t>
                        </m:r>
                        <m:r>
                          <m:t>a</m:t>
                        </m:r>
                        <m:r>
                          <m:t>l</m:t>
                        </m:r>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8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detailed in</w:t>
      </w:r>
      <w:r>
        <w:t xml:space="preserve"> </w:t>
      </w:r>
      <w:hyperlink w:anchor="tbl-pbalance-models">
        <w:r>
          <w:rPr>
            <w:rStyle w:val="Hyperlink"/>
          </w:rPr>
          <w:t xml:space="preserve">Table 7</w:t>
        </w:r>
      </w:hyperlink>
      <w:r>
        <w:t xml:space="preserve">, the kinetic model explained</w:t>
      </w:r>
      <w:r>
        <w:t xml:space="preserve"> </w:t>
      </w:r>
      <w:r>
        <w:rPr>
          <w:b/>
          <w:bCs/>
        </w:rPr>
        <w:t xml:space="preserve">57% of the variance</w:t>
      </w:r>
      <w:r>
        <w:t xml:space="preserve"> </w:t>
      </w:r>
      <w:r>
        <w:t xml:space="preserve">in P-Balance (marginal R² = 0.572), with the</w:t>
      </w:r>
      <w:r>
        <w:t xml:space="preserve"> </w:t>
      </w:r>
      <w:r>
        <w:rPr>
          <w:b/>
          <w:bCs/>
        </w:rPr>
        <w:t xml:space="preserve">Desorbable P pool (</w:t>
      </w:r>
      <m:oMath>
        <m:sSub>
          <m:e>
            <m:r>
              <m:t>P</m:t>
            </m:r>
          </m:e>
          <m:sub>
            <m:r>
              <m:t>d</m:t>
            </m:r>
            <m:r>
              <m:t>e</m:t>
            </m:r>
            <m:r>
              <m:t>s</m:t>
            </m:r>
            <m:r>
              <m:t>o</m:t>
            </m:r>
            <m:r>
              <m:t>r</m:t>
            </m:r>
            <m:r>
              <m:t>b</m:t>
            </m:r>
          </m:sub>
        </m:sSub>
      </m:oMath>
      <w:r>
        <w:t xml:space="preserve">) being the dominant, highly significant predictor. This indicates that the</w:t>
      </w:r>
      <w:r>
        <w:t xml:space="preserve"> </w:t>
      </w:r>
      <w:r>
        <w:rPr>
          <w:rStyle w:val="VerbatimChar"/>
        </w:rPr>
        <w:t xml:space="preserve">$P_{desorb}$</w:t>
      </w:r>
      <w:r>
        <w:t xml:space="preserve"> </w:t>
      </w:r>
      <w:r>
        <w:t xml:space="preserve">parameter from the kinetic experiment is a vastly superior measure of the soil’s P budget compared to standard STP tests.</w:t>
      </w:r>
    </w:p>
    <w:bookmarkEnd w:id="87"/>
    <w:bookmarkEnd w:id="88"/>
    <w:bookmarkEnd w:id="89"/>
    <w:bookmarkStart w:id="90" w:name="discussion"/>
    <w:p>
      <w:pPr>
        <w:pStyle w:val="Heading1"/>
      </w:pPr>
      <w:r>
        <w:t xml:space="preserve">5. Discussion</w:t>
      </w:r>
    </w:p>
    <w:bookmarkEnd w:id="90"/>
    <w:bookmarkStart w:id="91" w:name="conclusion"/>
    <w:p>
      <w:pPr>
        <w:pStyle w:val="Heading1"/>
      </w:pPr>
      <w:r>
        <w:t xml:space="preserve">6. Conclusion</w:t>
      </w:r>
    </w:p>
    <w:bookmarkEnd w:id="91"/>
    <w:bookmarkStart w:id="92" w:name="acknowledgments"/>
    <w:p>
      <w:pPr>
        <w:pStyle w:val="Heading1"/>
      </w:pPr>
      <w:r>
        <w:t xml:space="preserve">7. Acknowledgments</w:t>
      </w:r>
    </w:p>
    <w:bookmarkEnd w:id="92"/>
    <w:bookmarkStart w:id="93" w:name="legal-disclosure"/>
    <w:p>
      <w:pPr>
        <w:pStyle w:val="Heading1"/>
      </w:pPr>
      <w:r>
        <w:t xml:space="preserve">8. Legal Disclosure</w:t>
      </w:r>
    </w:p>
    <w:bookmarkEnd w:id="93"/>
    <w:bookmarkStart w:id="97" w:name="references"/>
    <w:p>
      <w:pPr>
        <w:pStyle w:val="Heading1"/>
      </w:pPr>
      <w:r>
        <w:t xml:space="preserve">9. References</w:t>
      </w:r>
    </w:p>
    <w:bookmarkStart w:id="96" w:name="refs"/>
    <w:bookmarkStart w:id="95" w:name="ref-hirte_yield_2021"/>
    <w:p>
      <w:pPr>
        <w:pStyle w:val="Bibliography"/>
      </w:pPr>
      <w:r>
        <w:t xml:space="preserve">Hirte, J., Richner, W., Orth, B., Liebisch, F., &amp; Flisch, R. (2021). Yield response to soil test phosphorus in switzerland: Pedoclimatic 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94">
        <w:r>
          <w:rPr>
            <w:rStyle w:val="Hyperlink"/>
          </w:rPr>
          <w:t xml:space="preserve">https://doi.org/10.1016/j.scitotenv.2020.143453</w:t>
        </w:r>
      </w:hyperlink>
    </w:p>
    <w:bookmarkEnd w:id="95"/>
    <w:bookmarkEnd w:id="96"/>
    <w:bookmarkEnd w:id="97"/>
    <w:bookmarkStart w:id="98" w:name="appendix"/>
    <w:p>
      <w:pPr>
        <w:pStyle w:val="Heading1"/>
      </w:pPr>
      <w:r>
        <w:t xml:space="preserve">10. Appendix</w:t>
      </w:r>
    </w:p>
    <w:bookmarkEnd w:id="98"/>
    <w:bookmarkStart w:id="99" w:name="supplements"/>
    <w:p>
      <w:pPr>
        <w:pStyle w:val="Heading1"/>
      </w:pPr>
      <w:r>
        <w:t xml:space="preserve">11. Supplements</w:t>
      </w:r>
    </w:p>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
  <dcterms:created xsi:type="dcterms:W3CDTF">2025-09-07T20:51:25Z</dcterms:created>
  <dcterms:modified xsi:type="dcterms:W3CDTF">2025-09-07T20:51:25Z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