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102.png" ContentType="image/png"/>
  <Override PartName="/word/media/rId54.png" ContentType="image/png"/>
  <Override PartName="/word/media/rId58.png" ContentType="image/png"/>
  <Override PartName="/word/media/rId41.png" ContentType="image/png"/>
  <Override PartName="/word/media/rId47.png" ContentType="image/png"/>
  <Override PartName="/word/media/rId70.png" ContentType="image/png"/>
  <Override PartName="/word/media/rId84.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Swiss cropping systems</w:t>
      </w:r>
    </w:p>
    <w:p>
      <w:pPr>
        <w:pStyle w:val="Date"/>
      </w:pPr>
      <w:r>
        <w:t xml:space="preserve">2025-09-12</w:t>
      </w:r>
    </w:p>
    <w:p>
      <w:pPr>
        <w:pStyle w:val="AbstractTitle"/>
      </w:pPr>
      <w:r>
        <w:t xml:space="preserve">Abstract</w:t>
      </w:r>
    </w:p>
    <w:p>
      <w:pPr>
        <w:pStyle w:val="Abstract"/>
      </w:pPr>
      <w:r>
        <w:t xml:space="preserve">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w:t>
      </w:r>
      <m:oMath>
        <m:sSub>
          <m:e>
            <m:r>
              <m:t>P</m:t>
            </m:r>
          </m:e>
          <m:sub>
            <m:r>
              <m:t>d</m:t>
            </m:r>
            <m:r>
              <m:t>e</m:t>
            </m:r>
            <m:r>
              <m:t>s</m:t>
            </m:r>
            <m:r>
              <m:t>o</m:t>
            </m:r>
            <m:r>
              <m:t>r</m:t>
            </m:r>
            <m:r>
              <m:t>b</m:t>
            </m:r>
          </m:sub>
        </m:sSub>
      </m:oMath>
      <w:r>
        <w:t xml:space="preserve">) and a rate constant (</w:t>
      </w:r>
      <w:r>
        <w:rPr>
          <w:i/>
          <w:iCs/>
        </w:rPr>
        <w:t xml:space="preserve">k</w:t>
      </w:r>
      <w:r>
        <w:t xml:space="preserve">). The predictive power of these kinetic parameters was compared against standard Swiss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w:t>
      </w:r>
      <w:r>
        <w:t xml:space="preserve"> </w:t>
      </w:r>
      <m:oMath>
        <m:sSub>
          <m:e>
            <m:r>
              <m:t>P</m:t>
            </m:r>
          </m:e>
          <m:sub>
            <m:r>
              <m:t>d</m:t>
            </m:r>
            <m:r>
              <m:t>e</m:t>
            </m:r>
            <m:r>
              <m:t>s</m:t>
            </m:r>
            <m:r>
              <m:t>o</m:t>
            </m:r>
            <m:r>
              <m:t>r</m:t>
            </m:r>
            <m:r>
              <m:t>b</m:t>
            </m:r>
          </m:sub>
        </m:sSub>
      </m:oMath>
      <w:r>
        <w:t xml:space="preserve"> </w:t>
      </w:r>
      <w:r>
        <w:t xml:space="preserve">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4" w:name="introduction"/>
    <w:p>
      <w:pPr>
        <w:pStyle w:val="Heading1"/>
      </w:pPr>
      <w:r>
        <w:t xml:space="preserve">1. Introduction</w:t>
      </w:r>
    </w:p>
    <w:bookmarkStart w:id="20" w:name="the-complexity-of-phosphorus"/>
    <w:p>
      <w:pPr>
        <w:pStyle w:val="Heading2"/>
      </w:pPr>
      <w:r>
        <w:t xml:space="preserve">1.1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0"/>
    <w:bookmarkStart w:id="21" w:name="X90347e8b4dc365a5eb8cb51b623f41ad652a9ff"/>
    <w:p>
      <w:pPr>
        <w:pStyle w:val="Heading2"/>
      </w:pPr>
      <w:r>
        <w:t xml:space="preserve">1.2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w:t>
      </w:r>
      <w:r>
        <w:t xml:space="preserve"> </w:t>
      </w:r>
      <w:r>
        <w:t xml:space="preserve">(Frossard et al., 2000)</w:t>
      </w:r>
      <w:r>
        <w:t xml:space="preserve">.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often employ a dual-method approach. This strategy is designed to assess both the P-intensity and P-capacity factors separately by using a combination of weak and strong extractants. Weak extractants, such as CO₂-saturated water, are intended to measure the readily available P in the soil solution (intensity). In contrast, stronger, often chelate-based extractants like ammonium acetate EDTA (AAE10) or calcium-acetate-lactate (CAL) are used to estimate the more tightly bound, resupply pool of phosphorus (capacity)</w:t>
      </w:r>
      <w:r>
        <w:t xml:space="preserve"> </w:t>
      </w:r>
      <w:r>
        <w:t xml:space="preserve">(Forschungsanstalt für Agrarökologie und Landbau (FAL), 1996; Verband Deutscher Landwirtschaftlicher Untersuchungs- und Forschungsanstalten (VDLUFA), 2000)</w:t>
      </w:r>
      <w:r>
        <w:t xml:space="preserve">. While this dual approach is logical, other international standards, such as the widely used Olsen-P method, rely on a single extraction to provide an index of plant-available P</w:t>
      </w:r>
      <w:r>
        <w:t xml:space="preserve"> </w:t>
      </w:r>
      <w:r>
        <w:t xml:space="preserve">(Olsen et al., 1954)</w:t>
      </w:r>
      <w:r>
        <w:t xml:space="preserve">. Although these static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Additionally, understanding the release kinetics of this legacy P is key to both improving nutrient use efficiency and protecting water ecosystems and reserves</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1"/>
    <w:bookmarkStart w:id="23" w:name="objectives-and-research-questions"/>
    <w:p>
      <w:pPr>
        <w:pStyle w:val="Heading2"/>
      </w:pPr>
      <w:r>
        <w:t xml:space="preserve">1.3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(Frossard et al., 2000; 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The experiment’s multi-decade history has established stable P equilibria across a wide and deliberately created gradient of P availability (from 0% to 167% of recommended fertilization), allowing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2" w:name="research-questions-and-hypotheses"/>
    <w:p>
      <w:pPr>
        <w:pStyle w:val="Heading3"/>
      </w:pPr>
      <w:r>
        <w:t xml:space="preserve">1.3.1 Research Questions and Hypotheses</w:t>
      </w:r>
    </w:p>
    <w:p>
      <w:pPr>
        <w:pStyle w:val="FirstParagraph"/>
      </w:pPr>
      <w:r>
        <w:t xml:space="preserve">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p>
      <w:pPr>
        <w:pStyle w:val="FirstParagraph"/>
      </w:pPr>
      <w:r>
        <w:t xml:space="preserve">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p>
      <w:pPr>
        <w:pStyle w:val="FirstParagraph"/>
      </w:pPr>
      <w:r>
        <w:t xml:space="preserve">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p>
      <w:r>
        <w:br w:type="page"/>
      </w:r>
    </w:p>
    <w:bookmarkEnd w:id="22"/>
    <w:bookmarkEnd w:id="23"/>
    <w:bookmarkEnd w:id="24"/>
    <w:bookmarkStart w:id="40" w:name="sec-materials-and-methods"/>
    <w:p>
      <w:pPr>
        <w:pStyle w:val="Heading1"/>
      </w:pPr>
      <w:r>
        <w:t xml:space="preserve">2. Materials and Methods</w:t>
      </w:r>
    </w:p>
    <w:bookmarkStart w:id="25" w:name="X2a96c2427ceb6b998508f67b3ec6e8131f2af39"/>
    <w:p>
      <w:pPr>
        <w:pStyle w:val="Heading2"/>
      </w:pPr>
      <w:r>
        <w:t xml:space="preserve">2.1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2.2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lef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in the year 2022 from the topsoil layer (0-20 cm).</w:t>
      </w:r>
    </w:p>
    <w:bookmarkEnd w:id="28"/>
    <w:bookmarkStart w:id="31" w:name="sec-phosphorus-desorption-kinetics"/>
    <w:p>
      <w:pPr>
        <w:pStyle w:val="Heading2"/>
      </w:pPr>
      <w:r>
        <w:t xml:space="preserve">2.3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29" w:name="original-method-of-flossmann-and-richter"/>
    <w:p>
      <w:pPr>
        <w:pStyle w:val="Heading3"/>
      </w:pPr>
      <w:r>
        <w:t xml:space="preserve">2.3.1 Original Method of Flossmann and Richter</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29"/>
    <w:bookmarkStart w:id="30" w:name="Xbd6c1e5704c75ae9a98b5e8f17a138b0c980a04"/>
    <w:p>
      <w:pPr>
        <w:pStyle w:val="Heading3"/>
      </w:pPr>
      <w:r>
        <w:t xml:space="preserve">2.3.2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bookmarkEnd w:id="30"/>
    <w:bookmarkEnd w:id="31"/>
    <w:bookmarkStart w:id="39" w:name="sec-statistical-analysis"/>
    <w:p>
      <w:pPr>
        <w:pStyle w:val="Heading2"/>
      </w:pPr>
      <w:r>
        <w:t xml:space="preserve">2.4 Statistical Analysis</w:t>
      </w:r>
    </w:p>
    <w:bookmarkStart w:id="32" w:name="software-and-statistical-environment"/>
    <w:p>
      <w:pPr>
        <w:pStyle w:val="Heading3"/>
      </w:pPr>
      <w:r>
        <w:t xml:space="preserve">2.4.1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2"/>
    <w:bookmarkStart w:id="33" w:name="sec-modeling-of-desorption-kinetics"/>
    <w:p>
      <w:pPr>
        <w:pStyle w:val="Heading3"/>
      </w:pPr>
      <w:r>
        <w:t xml:space="preserve">2.4.2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3"/>
    <w:bookmarkStart w:id="35" w:name="X7948ef6b44c07ffe5eee7eadbac8c6481287b2f"/>
    <w:p>
      <w:pPr>
        <w:pStyle w:val="Heading3"/>
      </w:pPr>
      <w:r>
        <w:t xml:space="preserve">2.4.3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lef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Variable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5"/>
    <w:bookmarkStart w:id="38" w:name="model-assumptions-and-diagnostics"/>
    <w:p>
      <w:pPr>
        <w:pStyle w:val="Heading3"/>
      </w:pPr>
      <w:r>
        <w:t xml:space="preserve">2.4.4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36" w:name="Xa8a482f2a6a3ad912fccf7e6dc90aeedf0c36d0"/>
    <w:p>
      <w:pPr>
        <w:pStyle w:val="Heading4"/>
      </w:pPr>
      <w:r>
        <w:t xml:space="preserve">2.4.4.1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36"/>
    <w:bookmarkStart w:id="37" w:name="comparative-models-of-agronomic-outcomes"/>
    <w:p>
      <w:pPr>
        <w:pStyle w:val="Heading4"/>
      </w:pPr>
      <w:r>
        <w:t xml:space="preserve">2.4.4.2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p>
      <w:r>
        <w:br w:type="page"/>
      </w:r>
    </w:p>
    <w:bookmarkEnd w:id="37"/>
    <w:bookmarkEnd w:id="38"/>
    <w:bookmarkEnd w:id="39"/>
    <w:bookmarkEnd w:id="40"/>
    <w:bookmarkStart w:id="100" w:name="results"/>
    <w:p>
      <w:pPr>
        <w:pStyle w:val="Heading1"/>
      </w:pPr>
      <w:r>
        <w:t xml:space="preserve">3.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3" w:name="X623e521be83114432db2f1c7d18ba665d67bdd5"/>
    <w:p>
      <w:pPr>
        <w:pStyle w:val="Heading2"/>
      </w:pPr>
      <w:r>
        <w:t xml:space="preserve">3.1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6" w:name="Xc5152bc0d8277c92f5b5561836317bc1f747dd2"/>
    <w:p>
      <w:pPr>
        <w:pStyle w:val="Heading3"/>
      </w:pPr>
      <w:r>
        <w:t xml:space="preserve">3.1.1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(0/0) of the coordinate system.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5" w:name="cell-fig-linearized-model"/>
    <w:tbl>
      <w:tblPr>
        <w:tblStyle w:val="Table"/>
        <w:tblW w:type="pct" w:w="5000"/>
        <w:tblLayout w:type="fixed"/>
        <w:tblLook w:firstRow="0" w:lastRow="0" w:firstColumn="0" w:lastColumn="0" w:noHBand="0" w:noVBand="0" w:val="0000"/>
      </w:tblPr>
      <w:tblGrid>
        <w:gridCol w:w="7920"/>
      </w:tblGrid>
      <w:tr>
        <w:tc>
          <w:tcPr/>
          <w:bookmarkStart w:id="44" w:name="fig-linearized-model"/>
          <w:p>
            <w:pPr>
              <w:pStyle w:val="Compact"/>
              <w:jc w:val="center"/>
            </w:pPr>
            <w:r>
              <w:drawing>
                <wp:inline>
                  <wp:extent cx="4620126" cy="4620126"/>
                  <wp:effectExtent b="0" l="0" r="0" t="0"/>
                  <wp:docPr descr="" title="" id="42" name="Picture"/>
                  <a:graphic>
                    <a:graphicData uri="http://schemas.openxmlformats.org/drawingml/2006/picture">
                      <pic:pic>
                        <pic:nvPicPr>
                          <pic:cNvPr descr="index_files/figure-docx/fig-linearized-model-1.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left"/>
              <w:spacing w:before="200"/>
              <w:pStyle w:val="ImageCaption"/>
            </w:pPr>
            <w:r>
              <w:t xml:space="preserve">Figure 1: Test of the linearized first-order kinetic model. The plot visually supports the statistical finding that many intercepts are not zero.</w:t>
            </w:r>
          </w:p>
          <w:bookmarkEnd w:id="4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5"/>
    <w:bookmarkEnd w:id="46"/>
    <w:bookmarkStart w:id="52" w:name="Xa1f48741cc3a88a20671852547ba1fa19b477bc"/>
    <w:p>
      <w:pPr>
        <w:pStyle w:val="Heading3"/>
      </w:pPr>
      <w:r>
        <w:t xml:space="preserve">3.1.2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w:t>
      </w:r>
      <w:hyperlink w:anchor="fig-nonlinear-model">
        <w:r>
          <w:rPr>
            <w:rStyle w:val="Hyperlink"/>
          </w:rPr>
          <w:t xml:space="preserve">Figure 2</w:t>
        </w:r>
      </w:hyperlink>
      <w:r>
        <w:t xml:space="preserve">).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1" w:name="cell-fig-nonlinear-model"/>
    <w:tbl>
      <w:tblPr>
        <w:tblStyle w:val="Table"/>
        <w:tblW w:type="pct" w:w="5000"/>
        <w:tblLayout w:type="fixed"/>
        <w:tblLook w:firstRow="0" w:lastRow="0" w:firstColumn="0" w:lastColumn="0" w:noHBand="0" w:noVBand="0" w:val="0000"/>
      </w:tblPr>
      <w:tblGrid>
        <w:gridCol w:w="7920"/>
      </w:tblGrid>
      <w:tr>
        <w:tc>
          <w:tcPr/>
          <w:bookmarkStart w:id="50" w:name="fig-nonlinear-model"/>
          <w:p>
            <w:pPr>
              <w:pStyle w:val="Compact"/>
              <w:jc w:val="center"/>
            </w:pPr>
            <w:r>
              <w:drawing>
                <wp:inline>
                  <wp:extent cx="4620126" cy="5544151"/>
                  <wp:effectExtent b="0" l="0" r="0" t="0"/>
                  <wp:docPr descr="" title="" id="48" name="Picture"/>
                  <a:graphic>
                    <a:graphicData uri="http://schemas.openxmlformats.org/drawingml/2006/picture">
                      <pic:pic>
                        <pic:nvPicPr>
                          <pic:cNvPr descr="index_files/figure-docx/fig-nonlinear-model-1.png" id="49" name="Picture"/>
                          <pic:cNvPicPr>
                            <a:picLocks noChangeArrowheads="1" noChangeAspect="1"/>
                          </pic:cNvPicPr>
                        </pic:nvPicPr>
                        <pic:blipFill>
                          <a:blip r:embed="rId47"/>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left"/>
              <w:spacing w:before="200"/>
              <w:pStyle w:val="ImageCaption"/>
            </w:pPr>
            <w:r>
              <w:t xml:space="preserve">Figure 2: Non-linear first-order kinetic model fits for P desorption over time. Points represent measured data and solid lines represent the fitted model for each replicate.</w:t>
            </w:r>
          </w:p>
          <w:bookmarkEnd w:id="50"/>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1"/>
    <w:bookmarkEnd w:id="52"/>
    <w:bookmarkEnd w:id="53"/>
    <w:bookmarkStart w:id="63" w:name="X57c0e16474e0112c1b66bc31d7fcfca02c450f3"/>
    <w:p>
      <w:pPr>
        <w:pStyle w:val="Heading2"/>
      </w:pPr>
      <w:r>
        <w:t xml:space="preserve">3.2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2"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7" w:name="fig-iek-comparison-1"/>
                <w:p>
                  <w:pPr>
                    <w:pStyle w:val="Compact"/>
                    <w:jc w:val="center"/>
                    <w:jc w:val="left"/>
                  </w:pPr>
                  <w:r>
                    <w:drawing>
                      <wp:inline>
                        <wp:extent cx="2971800" cy="2377440"/>
                        <wp:effectExtent b="0" l="0" r="0" t="0"/>
                        <wp:docPr descr="" title="" id="55" name="Picture"/>
                        <a:graphic>
                          <a:graphicData uri="http://schemas.openxmlformats.org/drawingml/2006/picture">
                            <pic:pic>
                              <pic:nvPicPr>
                                <pic:cNvPr descr="index_files/figure-docx/fig-iek-comparison-1.png" id="56" name="Picture"/>
                                <pic:cNvPicPr>
                                  <a:picLocks noChangeArrowheads="1" noChangeAspect="1"/>
                                </pic:cNvPicPr>
                              </pic:nvPicPr>
                              <pic:blipFill>
                                <a:blip r:embed="rId5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7"/>
              </w:tc>
            </w:tr>
          </w:tbl>
          <w:p/>
        </w:tc>
        <w:tc>
          <w:tcPr/>
          <w:tbl>
            <w:tblPr>
              <w:tblStyle w:val="Table"/>
              <w:tblW w:type="pct" w:w="4900"/>
              <w:tblLayout w:type="fixed"/>
              <w:tblLook w:firstRow="0" w:lastRow="0" w:firstColumn="0" w:lastColumn="0" w:noHBand="0" w:noVBand="0" w:val="0000"/>
            </w:tblPr>
            <w:tblGrid>
              <w:gridCol w:w="7761"/>
            </w:tblGrid>
            <w:tr>
              <w:tc>
                <w:tcPr/>
                <w:bookmarkStart w:id="61" w:name="fig-iek-comparison-2"/>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2.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Kinetics: k vs</w:t>
                  </w:r>
                  <w:r>
                    <w:t xml:space="preserve"> </w:t>
                  </w:r>
                  <m:oMath>
                    <m:sSub>
                      <m:e>
                        <m:r>
                          <m:t>n</m:t>
                        </m:r>
                      </m:e>
                      <m:sub>
                        <m:r>
                          <m:rPr>
                            <m:nor/>
                            <m:sty m:val="p"/>
                          </m:rPr>
                          <m:t>1d</m:t>
                        </m:r>
                      </m:sub>
                    </m:sSub>
                  </m:oMath>
                </w:p>
                <w:bookmarkEnd w:id="61"/>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2"/>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w:t>
      </w:r>
      <w:hyperlink w:anchor="fig-iek-comparison">
        <w:r>
          <w:rPr>
            <w:rStyle w:val="Hyperlink"/>
          </w:rPr>
          <w:t xml:space="preserve">Figure 3</w:t>
        </w:r>
      </w:hyperlink>
      <w:r>
        <w:t xml:space="preserve">). The Spearman’s rank correlation coefficient was 0.41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w:t>
      </w:r>
      <w:hyperlink w:anchor="fig-iek-comparison">
        <w:r>
          <w:rPr>
            <w:rStyle w:val="Hyperlink"/>
          </w:rPr>
          <w:t xml:space="preserve">Figure 3</w:t>
        </w:r>
      </w:hyperlink>
      <w:r>
        <w:t xml:space="preserve">). The Spearman’s rank correlation coefficient was 0.37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w:t>
      </w:r>
      <w:r>
        <w:t xml:space="preserve"> </w:t>
      </w:r>
      <w:r>
        <w:t xml:space="preserve">(Demaria et al., 2013)</w:t>
      </w:r>
      <w:r>
        <w:t xml:space="preserve">.</w:t>
      </w:r>
    </w:p>
    <w:bookmarkEnd w:id="63"/>
    <w:bookmarkStart w:id="76" w:name="Xecaf9e4ead9471844934973fdc01e77ea889a2e"/>
    <w:p>
      <w:pPr>
        <w:pStyle w:val="Heading2"/>
      </w:pPr>
      <w:r>
        <w:t xml:space="preserve">3.3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69" w:name="X7766650a521c07025d9048e5b46ef5cbb460559"/>
    <w:p>
      <w:pPr>
        <w:pStyle w:val="Heading3"/>
      </w:pPr>
      <w:r>
        <w:t xml:space="preserve">3.3.1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8" w:name="cell-fig-agronomic-responses"/>
    <w:tbl>
      <w:tblPr>
        <w:tblStyle w:val="Table"/>
        <w:tblW w:type="pct" w:w="5000"/>
        <w:tblLayout w:type="fixed"/>
        <w:tblLook w:firstRow="0" w:lastRow="0" w:firstColumn="0" w:lastColumn="0" w:noHBand="0" w:noVBand="0" w:val="0000"/>
      </w:tblPr>
      <w:tblGrid>
        <w:gridCol w:w="7920"/>
      </w:tblGrid>
      <w:tr>
        <w:tc>
          <w:tcPr/>
          <w:bookmarkStart w:id="67" w:name="fig-agronomic-responses"/>
          <w:p>
            <w:pPr>
              <w:pStyle w:val="Compact"/>
              <w:jc w:val="center"/>
            </w:pPr>
            <w:r>
              <w:drawing>
                <wp:inline>
                  <wp:extent cx="4620126" cy="6468176"/>
                  <wp:effectExtent b="0" l="0" r="0" t="0"/>
                  <wp:docPr descr="" title="" id="65" name="Picture"/>
                  <a:graphic>
                    <a:graphicData uri="http://schemas.openxmlformats.org/drawingml/2006/picture">
                      <pic:pic>
                        <pic:nvPicPr>
                          <pic:cNvPr descr="index_files/figure-docx/fig-agronomic-responses-1.png" id="66" name="Picture"/>
                          <pic:cNvPicPr>
                            <a:picLocks noChangeArrowheads="1" noChangeAspect="1"/>
                          </pic:cNvPicPr>
                        </pic:nvPicPr>
                        <pic:blipFill>
                          <a:blip r:embed="rId6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left"/>
              <w:spacing w:before="200"/>
              <w:pStyle w:val="ImageCaption"/>
            </w:pPr>
            <w:r>
              <w:t xml:space="preserve">Figure 4: Agronomic response variables across six P fertilization treatments and six experimental sites. Data from 2017-2022.</w:t>
            </w:r>
          </w:p>
          <w:bookmarkEnd w:id="6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8"/>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69"/>
    <w:bookmarkStart w:id="75" w:name="Xf1b1c7e5b0bdd9bd952a6bec2c8d4ca508e5273"/>
    <w:p>
      <w:pPr>
        <w:pStyle w:val="Heading3"/>
      </w:pPr>
      <w:r>
        <w:t xml:space="preserve">3.3.2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4" w:name="cell-fig-soil-parameters"/>
    <w:tbl>
      <w:tblPr>
        <w:tblStyle w:val="Table"/>
        <w:tblW w:type="pct" w:w="5000"/>
        <w:tblLayout w:type="fixed"/>
        <w:tblLook w:firstRow="0" w:lastRow="0" w:firstColumn="0" w:lastColumn="0" w:noHBand="0" w:noVBand="0" w:val="0000"/>
      </w:tblPr>
      <w:tblGrid>
        <w:gridCol w:w="7920"/>
      </w:tblGrid>
      <w:tr>
        <w:tc>
          <w:tcPr/>
          <w:bookmarkStart w:id="73" w:name="fig-soil-parameters"/>
          <w:p>
            <w:pPr>
              <w:pStyle w:val="Compact"/>
              <w:jc w:val="center"/>
            </w:pPr>
            <w:r>
              <w:drawing>
                <wp:inline>
                  <wp:extent cx="4620126" cy="6468176"/>
                  <wp:effectExtent b="0" l="0" r="0" t="0"/>
                  <wp:docPr descr="" title="" id="71" name="Picture"/>
                  <a:graphic>
                    <a:graphicData uri="http://schemas.openxmlformats.org/drawingml/2006/picture">
                      <pic:pic>
                        <pic:nvPicPr>
                          <pic:cNvPr descr="index_files/figure-docx/fig-soil-parameters-1.png" id="72" name="Picture"/>
                          <pic:cNvPicPr>
                            <a:picLocks noChangeArrowheads="1" noChangeAspect="1"/>
                          </pic:cNvPicPr>
                        </pic:nvPicPr>
                        <pic:blipFill>
                          <a:blip r:embed="rId7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left"/>
              <w:spacing w:before="200"/>
              <w:pStyle w:val="ImageCaption"/>
            </w:pPr>
            <w:r>
              <w:t xml:space="preserve">Figure 5: Soil P parameters across six P fertilization treatments and six experimental sites.</w:t>
            </w:r>
          </w:p>
          <w:bookmarkEnd w:id="73"/>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4"/>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the static tests P-CO2 and P-AAE10 alone. The next section will use formal statistical models to test these relationships.</w:t>
      </w:r>
    </w:p>
    <w:bookmarkEnd w:id="75"/>
    <w:bookmarkEnd w:id="76"/>
    <w:bookmarkStart w:id="78" w:name="sec-p-params-soil-props"/>
    <w:p>
      <w:pPr>
        <w:pStyle w:val="Heading2"/>
      </w:pPr>
      <w:r>
        <w:t xml:space="preserve">3.4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soil-prop-models"/>
          <w:p>
            <w:pPr>
              <w:jc w:val="center"/>
            </w:pPr>
            <w:pPr>
              <w:jc w:val="left"/>
              <w:spacing w:before="200"/>
              <w:pStyle w:val="ImageCaption"/>
            </w:pPr>
            <w:r>
              <w:t xml:space="preserve">Table 3: Results of linear mixed-effects models predicting P parameters from intrinsic soil properties</w:t>
            </w:r>
            <w:r>
              <w:t xml:space="preserve"> </w:t>
            </w:r>
            <w:hyperlink w:anchor="tbl-variables">
              <w:r>
                <w:rPr>
                  <w:rStyle w:val="Hyperlink"/>
                </w:rPr>
                <w:t xml:space="preserve">Table 2</w:t>
              </w:r>
            </w:hyperlink>
            <w:r>
              <w:t xml:space="preserve">.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200"/>
              <w:gridCol w:w="1560"/>
              <w:gridCol w:w="1200"/>
              <w:gridCol w:w="1200"/>
              <w:gridCol w:w="1320"/>
              <w:gridCol w:w="1440"/>
            </w:tblGrid>
            <w:tr>
              <w:trPr>
                <w:tblHeader w:val="on"/>
              </w:trPr>
              <w:tc>
                <w:tcPr/>
                <w:p>
                  <w:pPr>
                    <w:pStyle w:val="Compact"/>
                    <w:jc w:val="left"/>
                    <w:jc w:val="center"/>
                  </w:pPr>
                  <w:r>
                    <w:t xml:space="preserve">Predictor</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21.185</w:t>
                  </w:r>
                </w:p>
              </w:tc>
              <w:tc>
                <w:tcPr/>
                <w:p>
                  <w:pPr>
                    <w:pStyle w:val="Compact"/>
                    <w:jc w:val="left"/>
                    <w:jc w:val="center"/>
                  </w:pPr>
                  <w:r>
                    <w:t xml:space="preserve">8.973</w:t>
                  </w:r>
                </w:p>
              </w:tc>
              <w:tc>
                <w:tcPr/>
                <w:p>
                  <w:pPr>
                    <w:pStyle w:val="Compact"/>
                    <w:jc w:val="left"/>
                    <w:jc w:val="center"/>
                  </w:pPr>
                  <w:r>
                    <w:t xml:space="preserve">16.581</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-8.630***</w:t>
                  </w:r>
                </w:p>
              </w:tc>
              <w:tc>
                <w:tcPr/>
                <w:p>
                  <w:pPr>
                    <w:pStyle w:val="Compact"/>
                    <w:jc w:val="left"/>
                    <w:jc w:val="center"/>
                  </w:pPr>
                  <w:r>
                    <w:t xml:space="preserve">-3.637***</w:t>
                  </w:r>
                </w:p>
              </w:tc>
              <w:tc>
                <w:tcPr/>
                <w:p>
                  <w:pPr>
                    <w:pStyle w:val="Compact"/>
                    <w:jc w:val="left"/>
                    <w:jc w:val="center"/>
                  </w:pPr>
                  <w:r>
                    <w:t xml:space="preserve">-5.881***</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-0.634***</w:t>
                  </w:r>
                </w:p>
              </w:tc>
              <w:tc>
                <w:tcPr/>
                <w:p>
                  <w:pPr>
                    <w:pStyle w:val="Compact"/>
                    <w:jc w:val="left"/>
                    <w:jc w:val="center"/>
                  </w:pPr>
                  <w:r>
                    <w:t xml:space="preserve">-0.658***</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0.026</w:t>
                  </w:r>
                </w:p>
              </w:tc>
              <w:tc>
                <w:tcPr/>
                <w:p>
                  <w:pPr>
                    <w:pStyle w:val="Compact"/>
                    <w:jc w:val="left"/>
                    <w:jc w:val="center"/>
                  </w:pPr>
                  <w:r>
                    <w:t xml:space="preserve">0.014</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0.146</w:t>
                  </w:r>
                </w:p>
              </w:tc>
              <w:tc>
                <w:tcPr/>
                <w:p>
                  <w:pPr>
                    <w:pStyle w:val="Compact"/>
                    <w:jc w:val="left"/>
                    <w:jc w:val="center"/>
                  </w:pPr>
                  <w:r>
                    <w:t xml:space="preserve">0.310</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0.180</w:t>
                  </w:r>
                </w:p>
              </w:tc>
              <w:tc>
                <w:tcPr/>
                <w:p>
                  <w:pPr>
                    <w:pStyle w:val="Compact"/>
                    <w:jc w:val="left"/>
                    <w:jc w:val="center"/>
                  </w:pPr>
                  <w:r>
                    <w:t xml:space="preserve">0.137</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0.014</w:t>
                  </w:r>
                </w:p>
              </w:tc>
              <w:tc>
                <w:tcPr/>
                <w:p>
                  <w:pPr>
                    <w:pStyle w:val="Compact"/>
                    <w:jc w:val="left"/>
                    <w:jc w:val="center"/>
                  </w:pPr>
                  <w:r>
                    <w:t xml:space="preserve">0.021</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0.369</w:t>
                  </w:r>
                </w:p>
              </w:tc>
              <w:tc>
                <w:tcPr/>
                <w:p>
                  <w:pPr>
                    <w:pStyle w:val="Compact"/>
                    <w:jc w:val="left"/>
                    <w:jc w:val="center"/>
                  </w:pPr>
                  <w:r>
                    <w:t xml:space="preserve">0.333</w:t>
                  </w:r>
                </w:p>
              </w:tc>
              <w:tc>
                <w:tcPr/>
                <w:p>
                  <w:pPr>
                    <w:pStyle w:val="Compact"/>
                    <w:jc w:val="left"/>
                    <w:jc w:val="center"/>
                  </w:pPr>
                  <w:r>
                    <w:t xml:space="preserve">0.467</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0.942</w:t>
                  </w:r>
                </w:p>
              </w:tc>
              <w:tc>
                <w:tcPr/>
                <w:p>
                  <w:pPr>
                    <w:pStyle w:val="Compact"/>
                    <w:jc w:val="left"/>
                    <w:jc w:val="center"/>
                  </w:pPr>
                  <w:r>
                    <w:t xml:space="preserve">0.975</w:t>
                  </w:r>
                </w:p>
              </w:tc>
            </w:tr>
          </w:tbl>
          <w:bookmarkEnd w:id="7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t xml:space="preserve">) 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78"/>
    <w:bookmarkStart w:id="99" w:name="sec-agronomic-modeling"/>
    <w:p>
      <w:pPr>
        <w:pStyle w:val="Heading2"/>
      </w:pPr>
      <w:r>
        <w:t xml:space="preserve">3.5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t xml:space="preserve"> </w:t>
      </w:r>
      <w:r>
        <w:t xml:space="preserve">Model: Used the standard water-soluble P test as the sole predictor.</w:t>
      </w:r>
      <w:r>
        <w:t xml:space="preserve"> </w:t>
      </w:r>
      <m:oMath>
        <m:sSub>
          <m:e>
            <m:r>
              <m:t>P</m:t>
            </m:r>
          </m:e>
          <m:sub>
            <m:r>
              <m:t>A</m:t>
            </m:r>
            <m:r>
              <m:t>A</m:t>
            </m:r>
            <m:r>
              <m:t>E</m:t>
            </m:r>
            <m:r>
              <m:t>10</m:t>
            </m:r>
          </m:sub>
        </m:sSub>
      </m:oMath>
      <w:r>
        <w:t xml:space="preserve"> </w:t>
      </w:r>
      <w:r>
        <w:t xml:space="preserve">Model: 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9" w:name="anomaly-in-the-cadenazzo-yield-data"/>
    <w:p>
      <w:pPr>
        <w:pStyle w:val="Heading3"/>
      </w:pPr>
      <w:r>
        <w:t xml:space="preserve">3.5.1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3" w:name="cell-fig-yield-comparison"/>
    <w:tbl>
      <w:tblPr>
        <w:tblStyle w:val="Table"/>
        <w:tblW w:type="pct" w:w="5000"/>
        <w:tblLayout w:type="fixed"/>
        <w:tblLook w:firstRow="0" w:lastRow="0" w:firstColumn="0" w:lastColumn="0" w:noHBand="0" w:noVBand="0" w:val="0000"/>
      </w:tblPr>
      <w:tblGrid>
        <w:gridCol w:w="7920"/>
      </w:tblGrid>
      <w:tr>
        <w:tc>
          <w:tcPr/>
          <w:bookmarkStart w:id="82" w:name="fig-yield-comparison"/>
          <w:p>
            <w:pPr>
              <w:pStyle w:val="Compact"/>
              <w:jc w:val="center"/>
            </w:pPr>
            <w:r>
              <w:drawing>
                <wp:inline>
                  <wp:extent cx="4620126" cy="3696101"/>
                  <wp:effectExtent b="0" l="0" r="0" t="0"/>
                  <wp:docPr descr="" title="" id="80" name="Picture"/>
                  <a:graphic>
                    <a:graphicData uri="http://schemas.openxmlformats.org/drawingml/2006/picture">
                      <pic:pic>
                        <pic:nvPicPr>
                          <pic:cNvPr descr="index_files/figure-docx/fig-yield-compariso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6: Annual dry matter yield across P fertilization treatments, faceted by experimental site, highlighting the anomalous pattern at Cadenazzo (CAD).</w:t>
            </w:r>
          </w:p>
          <w:bookmarkEnd w:id="82"/>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3"/>
    <w:bookmarkStart w:id="88" w:name="cell-fig-yield-cadenazzo-fix"/>
    <w:tbl>
      <w:tblPr>
        <w:tblStyle w:val="Table"/>
        <w:tblW w:type="pct" w:w="5000"/>
        <w:tblLayout w:type="fixed"/>
        <w:tblLook w:firstRow="0" w:lastRow="0" w:firstColumn="0" w:lastColumn="0" w:noHBand="0" w:noVBand="0" w:val="0000"/>
      </w:tblPr>
      <w:tblGrid>
        <w:gridCol w:w="7920"/>
      </w:tblGrid>
      <w:tr>
        <w:tc>
          <w:tcPr/>
          <w:bookmarkStart w:id="87" w:name="fig-yield-cadenazzo-fix"/>
          <w:p>
            <w:pPr>
              <w:pStyle w:val="Compact"/>
              <w:jc w:val="center"/>
            </w:pPr>
            <w:r>
              <w:drawing>
                <wp:inline>
                  <wp:extent cx="4620126" cy="3696101"/>
                  <wp:effectExtent b="0" l="0" r="0" t="0"/>
                  <wp:docPr descr="" title="" id="85" name="Picture"/>
                  <a:graphic>
                    <a:graphicData uri="http://schemas.openxmlformats.org/drawingml/2006/picture">
                      <pic:pic>
                        <pic:nvPicPr>
                          <pic:cNvPr descr="index_files/figure-docx/fig-yield-cadenazzo-fix-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7: Comparison of Cadenazzo yields with original and swapped (P0 &lt;&gt; P166) treatment labels.</w:t>
            </w:r>
          </w:p>
          <w:bookmarkEnd w:id="8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8"/>
    <w:bookmarkEnd w:id="89"/>
    <w:bookmarkStart w:id="91" w:name="predicting-site-normalized-yield-y_norm"/>
    <w:p>
      <w:pPr>
        <w:pStyle w:val="Heading3"/>
      </w:pPr>
      <w:r>
        <w:t xml:space="preserve">3.5.2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 as seen in</w:t>
      </w:r>
      <w:r>
        <w:t xml:space="preserve"> </w:t>
      </w:r>
      <w:hyperlink w:anchor="tbl-ynorm-models">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0" w:name="tbl-ynorm-models"/>
          <w:p>
            <w:pPr>
              <w:jc w:val="center"/>
            </w:pPr>
            <w:pPr>
              <w:jc w:val="lef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1.038***</w:t>
                  </w:r>
                </w:p>
              </w:tc>
              <w:tc>
                <w:tcPr/>
                <w:p>
                  <w:pPr>
                    <w:pStyle w:val="Compact"/>
                    <w:jc w:val="left"/>
                    <w:jc w:val="center"/>
                  </w:pPr>
                  <w:r>
                    <w:t xml:space="preserve">0.463***</w:t>
                  </w:r>
                </w:p>
              </w:tc>
              <w:tc>
                <w:tcPr/>
                <w:p>
                  <w:pPr>
                    <w:pStyle w:val="Compact"/>
                    <w:jc w:val="left"/>
                    <w:jc w:val="center"/>
                  </w:pPr>
                  <w:r>
                    <w:t xml:space="preserve">0.970***</w:t>
                  </w:r>
                </w:p>
              </w:tc>
              <w:tc>
                <w:tcPr/>
                <w:p>
                  <w:pPr>
                    <w:pStyle w:val="Compact"/>
                    <w:jc w:val="left"/>
                    <w:jc w:val="center"/>
                  </w:pPr>
                  <w:r>
                    <w:t xml:space="preserve">0.993*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1.913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0.805</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0.140***</w:t>
                  </w:r>
                </w:p>
              </w:tc>
              <w:tc>
                <w:tcPr/>
                <w:p>
                  <w:pPr>
                    <w:pStyle w:val="Compact"/>
                    <w:jc w:val="left"/>
                    <w:jc w:val="center"/>
                  </w:pPr>
                  <w:r>
                    <w:t xml:space="preserve">0.020</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0.163***</w:t>
                  </w:r>
                </w:p>
              </w:tc>
              <w:tc>
                <w:tcPr/>
                <w:p>
                  <w:pPr>
                    <w:pStyle w:val="Compact"/>
                  </w:pPr>
                </w:p>
              </w:tc>
              <w:tc>
                <w:tcPr/>
                <w:p>
                  <w:pPr>
                    <w:pStyle w:val="Compact"/>
                    <w:jc w:val="left"/>
                    <w:jc w:val="center"/>
                  </w:pPr>
                  <w:r>
                    <w:t xml:space="preserve">0.095</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0.021</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0.226</w:t>
                  </w:r>
                </w:p>
              </w:tc>
              <w:tc>
                <w:tcPr/>
                <w:p>
                  <w:pPr>
                    <w:pStyle w:val="Compact"/>
                    <w:jc w:val="left"/>
                    <w:jc w:val="center"/>
                  </w:pPr>
                  <w:r>
                    <w:t xml:space="preserve">0.203</w:t>
                  </w:r>
                </w:p>
              </w:tc>
              <w:tc>
                <w:tcPr/>
                <w:p>
                  <w:pPr>
                    <w:pStyle w:val="Compact"/>
                    <w:jc w:val="left"/>
                    <w:jc w:val="center"/>
                  </w:pPr>
                  <w:r>
                    <w:t xml:space="preserve">0.224</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0.432</w:t>
                  </w:r>
                </w:p>
              </w:tc>
              <w:tc>
                <w:tcPr/>
                <w:p>
                  <w:pPr>
                    <w:pStyle w:val="Compact"/>
                    <w:jc w:val="left"/>
                    <w:jc w:val="center"/>
                  </w:pPr>
                  <w:r>
                    <w:t xml:space="preserve">0.445</w:t>
                  </w:r>
                </w:p>
              </w:tc>
              <w:tc>
                <w:tcPr/>
                <w:p>
                  <w:pPr>
                    <w:pStyle w:val="Compact"/>
                    <w:jc w:val="left"/>
                    <w:jc w:val="center"/>
                  </w:pPr>
                  <w:r>
                    <w:t xml:space="preserve">0.439</w:t>
                  </w:r>
                </w:p>
              </w:tc>
              <w:tc>
                <w:tcPr/>
                <w:p>
                  <w:pPr>
                    <w:pStyle w:val="Compact"/>
                    <w:jc w:val="left"/>
                    <w:jc w:val="center"/>
                  </w:pPr>
                  <w:r>
                    <w:t xml:space="preserve">0.321</w:t>
                  </w:r>
                </w:p>
              </w:tc>
            </w:tr>
          </w:tbl>
          <w:bookmarkEnd w:id="9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for site-normalized yield showed that both the</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models had highly significant coefficients and explained 21.8% and 19.8% of the variance, respectively. The combined STP-interaction model performed best, explaining 22% of the variance. In contrast, the kinetic model had a marginal R² of only 1.4%, and none of its parameters were statistically significant.</w:t>
      </w:r>
    </w:p>
    <w:bookmarkEnd w:id="91"/>
    <w:bookmarkStart w:id="94" w:name="Xe0b402b7183f6a3d6df8442ac2834a5544132c5"/>
    <w:p>
      <w:pPr>
        <w:pStyle w:val="Heading3"/>
      </w:pPr>
      <w:r>
        <w:t xml:space="preserve">3.5.3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2" w:name="tbl-yrel-models"/>
          <w:p>
            <w:pPr>
              <w:jc w:val="center"/>
            </w:pPr>
            <w:pPr>
              <w:jc w:val="lef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917"/>
              <w:gridCol w:w="1146"/>
              <w:gridCol w:w="1250"/>
              <w:gridCol w:w="1667"/>
              <w:gridCol w:w="937"/>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104.177***</w:t>
                  </w:r>
                </w:p>
              </w:tc>
              <w:tc>
                <w:tcPr/>
                <w:p>
                  <w:pPr>
                    <w:pStyle w:val="Compact"/>
                    <w:jc w:val="left"/>
                    <w:jc w:val="center"/>
                  </w:pPr>
                  <w:r>
                    <w:t xml:space="preserve">65.643***</w:t>
                  </w:r>
                </w:p>
              </w:tc>
              <w:tc>
                <w:tcPr/>
                <w:p>
                  <w:pPr>
                    <w:pStyle w:val="Compact"/>
                    <w:jc w:val="left"/>
                    <w:jc w:val="center"/>
                  </w:pPr>
                  <w:r>
                    <w:t xml:space="preserve">86.797***</w:t>
                  </w:r>
                </w:p>
              </w:tc>
              <w:tc>
                <w:tcPr/>
                <w:p>
                  <w:pPr>
                    <w:pStyle w:val="Compact"/>
                    <w:jc w:val="left"/>
                    <w:jc w:val="center"/>
                  </w:pPr>
                  <w:r>
                    <w:t xml:space="preserve">82.385**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294.257*</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131.381*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-18.957*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9.963***</w:t>
                  </w:r>
                </w:p>
              </w:tc>
              <w:tc>
                <w:tcPr/>
                <w:p>
                  <w:pPr>
                    <w:pStyle w:val="Compact"/>
                    <w:jc w:val="left"/>
                    <w:jc w:val="center"/>
                  </w:pPr>
                  <w:r>
                    <w:t xml:space="preserve">4.593</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8.623***</w:t>
                  </w:r>
                </w:p>
              </w:tc>
              <w:tc>
                <w:tcPr/>
                <w:p>
                  <w:pPr>
                    <w:pStyle w:val="Compact"/>
                  </w:pPr>
                </w:p>
              </w:tc>
              <w:tc>
                <w:tcPr/>
                <w:p>
                  <w:pPr>
                    <w:pStyle w:val="Compact"/>
                    <w:jc w:val="left"/>
                    <w:jc w:val="center"/>
                  </w:pPr>
                  <w:r>
                    <w:t xml:space="preserve">17.430</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-4.372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0.066</w:t>
                  </w:r>
                </w:p>
              </w:tc>
              <w:tc>
                <w:tcPr/>
                <w:p>
                  <w:pPr>
                    <w:pStyle w:val="Compact"/>
                    <w:jc w:val="left"/>
                    <w:jc w:val="center"/>
                  </w:pPr>
                  <w:r>
                    <w:t xml:space="preserve">0.092</w:t>
                  </w:r>
                </w:p>
              </w:tc>
              <w:tc>
                <w:tcPr/>
                <w:p>
                  <w:pPr>
                    <w:pStyle w:val="Compact"/>
                    <w:jc w:val="left"/>
                    <w:jc w:val="center"/>
                  </w:pPr>
                  <w:r>
                    <w:t xml:space="preserve">0.099</w:t>
                  </w:r>
                </w:p>
              </w:tc>
              <w:tc>
                <w:tcPr/>
                <w:p>
                  <w:pPr>
                    <w:pStyle w:val="Compact"/>
                    <w:jc w:val="left"/>
                    <w:jc w:val="center"/>
                  </w:pPr>
                  <w:r>
                    <w:t xml:space="preserve">0.015</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0.573</w:t>
                  </w:r>
                </w:p>
              </w:tc>
              <w:tc>
                <w:tcPr/>
                <w:p>
                  <w:pPr>
                    <w:pStyle w:val="Compact"/>
                    <w:jc w:val="left"/>
                    <w:jc w:val="center"/>
                  </w:pPr>
                  <w:r>
                    <w:t xml:space="preserve">0.576</w:t>
                  </w:r>
                </w:p>
              </w:tc>
              <w:tc>
                <w:tcPr/>
                <w:p>
                  <w:pPr>
                    <w:pStyle w:val="Compact"/>
                    <w:jc w:val="left"/>
                    <w:jc w:val="center"/>
                  </w:pPr>
                  <w:r>
                    <w:t xml:space="preserve">0.579</w:t>
                  </w:r>
                </w:p>
              </w:tc>
              <w:tc>
                <w:tcPr/>
                <w:p>
                  <w:pPr>
                    <w:pStyle w:val="Compact"/>
                    <w:jc w:val="left"/>
                    <w:jc w:val="center"/>
                  </w:pPr>
                  <w:r>
                    <w:t xml:space="preserve">0.512</w:t>
                  </w:r>
                </w:p>
              </w:tc>
            </w:tr>
          </w:tbl>
          <w:bookmarkEnd w:id="9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93" w:name="performance-of-standard-stp-methods"/>
    <w:p>
      <w:pPr>
        <w:pStyle w:val="Heading4"/>
      </w:pPr>
      <w:r>
        <w:t xml:space="preserve">3.5.3.1 Performance of Standard STP Methods</w:t>
      </w:r>
    </w:p>
    <w:p>
      <w:pPr>
        <w:pStyle w:val="FirstParagraph"/>
      </w:pPr>
      <w:r>
        <w:t xml:space="preserve">The models based on standard soil tests,</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were significant predictors, explaining 7.4% and 6.3% of the variance in yield, respectively. The model including their interaction term performed slightly better, explaining 7.8% of the variance. The model based on kinetic parameters demonstrated lower predictive power, with a marginal R² of 2.2%. A critical observation across all models is the large discrepancy between the marginal R² (</w:t>
      </w:r>
      <m:oMath>
        <m:sSubSup>
          <m:e>
            <m:r>
              <m:t>R</m:t>
            </m:r>
          </m:e>
          <m:sub>
            <m:r>
              <m:t>m</m:t>
            </m:r>
          </m:sub>
          <m:sup>
            <m:r>
              <m:t>2</m:t>
            </m:r>
          </m:sup>
        </m:sSubSup>
      </m:oMath>
      <w:r>
        <w:t xml:space="preserve">) and the conditional R² (</w:t>
      </w:r>
      <m:oMath>
        <m:sSubSup>
          <m:e>
            <m:r>
              <m:t>R</m:t>
            </m:r>
          </m:e>
          <m:sub>
            <m:r>
              <m:t>c</m:t>
            </m:r>
          </m:sub>
          <m:sup>
            <m:r>
              <m:t>2</m:t>
            </m:r>
          </m:sup>
        </m:sSubSup>
      </m:oMath>
      <w:r>
        <w:t xml:space="preserve">). For instance, in the best-performing STP model, the marginal R² is only 0.078, but the conditional R² is 0.596.</w:t>
      </w:r>
    </w:p>
    <w:bookmarkEnd w:id="93"/>
    <w:bookmarkEnd w:id="94"/>
    <w:bookmarkStart w:id="96" w:name="predicting-p-uptake-p_up"/>
    <w:p>
      <w:pPr>
        <w:pStyle w:val="Heading3"/>
      </w:pPr>
      <w:r>
        <w:t xml:space="preserve">3.5.4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5" w:name="tbl-pexport-models"/>
          <w:p>
            <w:pPr>
              <w:jc w:val="center"/>
            </w:pPr>
            <w:pPr>
              <w:jc w:val="lef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27.439***</w:t>
                  </w:r>
                </w:p>
              </w:tc>
              <w:tc>
                <w:tcPr/>
                <w:p>
                  <w:pPr>
                    <w:pStyle w:val="Compact"/>
                    <w:jc w:val="left"/>
                    <w:jc w:val="center"/>
                  </w:pPr>
                  <w:r>
                    <w:t xml:space="preserve">4.653</w:t>
                  </w:r>
                </w:p>
              </w:tc>
              <w:tc>
                <w:tcPr/>
                <w:p>
                  <w:pPr>
                    <w:pStyle w:val="Compact"/>
                    <w:jc w:val="left"/>
                    <w:jc w:val="center"/>
                  </w:pPr>
                  <w:r>
                    <w:t xml:space="preserve">30.629**</w:t>
                  </w:r>
                </w:p>
              </w:tc>
              <w:tc>
                <w:tcPr/>
                <w:p>
                  <w:pPr>
                    <w:pStyle w:val="Compact"/>
                    <w:jc w:val="left"/>
                    <w:jc w:val="center"/>
                  </w:pPr>
                  <w:r>
                    <w:t xml:space="preserve">38.072***</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23.502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10.549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2.608</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5.806***</w:t>
                  </w:r>
                </w:p>
              </w:tc>
              <w:tc>
                <w:tcPr/>
                <w:p>
                  <w:pPr>
                    <w:pStyle w:val="Compact"/>
                    <w:jc w:val="left"/>
                    <w:jc w:val="center"/>
                  </w:pPr>
                  <w:r>
                    <w:t xml:space="preserve">-0.810</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5.815***</w:t>
                  </w:r>
                </w:p>
              </w:tc>
              <w:tc>
                <w:tcPr/>
                <w:p>
                  <w:pPr>
                    <w:pStyle w:val="Compact"/>
                  </w:pPr>
                </w:p>
              </w:tc>
              <w:tc>
                <w:tcPr/>
                <w:p>
                  <w:pPr>
                    <w:pStyle w:val="Compact"/>
                    <w:jc w:val="left"/>
                    <w:jc w:val="center"/>
                  </w:pPr>
                  <w:r>
                    <w:t xml:space="preserve">9.821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-1.165</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0.076</w:t>
                  </w:r>
                </w:p>
              </w:tc>
              <w:tc>
                <w:tcPr/>
                <w:p>
                  <w:pPr>
                    <w:pStyle w:val="Compact"/>
                    <w:jc w:val="left"/>
                    <w:jc w:val="center"/>
                  </w:pPr>
                  <w:r>
                    <w:t xml:space="preserve">0.080</w:t>
                  </w:r>
                </w:p>
              </w:tc>
              <w:tc>
                <w:tcPr/>
                <w:p>
                  <w:pPr>
                    <w:pStyle w:val="Compact"/>
                    <w:jc w:val="left"/>
                    <w:jc w:val="center"/>
                  </w:pPr>
                  <w:r>
                    <w:t xml:space="preserve">0.077</w:t>
                  </w:r>
                </w:p>
              </w:tc>
              <w:tc>
                <w:tcPr/>
                <w:p>
                  <w:pPr>
                    <w:pStyle w:val="Compact"/>
                    <w:jc w:val="left"/>
                    <w:jc w:val="center"/>
                  </w:pPr>
                  <w:r>
                    <w:t xml:space="preserve">0.040</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0.654</w:t>
                  </w:r>
                </w:p>
              </w:tc>
              <w:tc>
                <w:tcPr/>
                <w:p>
                  <w:pPr>
                    <w:pStyle w:val="Compact"/>
                    <w:jc w:val="left"/>
                    <w:jc w:val="center"/>
                  </w:pPr>
                  <w:r>
                    <w:t xml:space="preserve">0.620</w:t>
                  </w:r>
                </w:p>
              </w:tc>
              <w:tc>
                <w:tcPr/>
                <w:p>
                  <w:pPr>
                    <w:pStyle w:val="Compact"/>
                    <w:jc w:val="left"/>
                    <w:jc w:val="center"/>
                  </w:pPr>
                  <w:r>
                    <w:t xml:space="preserve">0.649</w:t>
                  </w:r>
                </w:p>
              </w:tc>
              <w:tc>
                <w:tcPr/>
                <w:p>
                  <w:pPr>
                    <w:pStyle w:val="Compact"/>
                    <w:jc w:val="left"/>
                    <w:jc w:val="center"/>
                  </w:pPr>
                  <w:r>
                    <w:t xml:space="preserve">0.776</w:t>
                  </w:r>
                </w:p>
              </w:tc>
            </w:tr>
          </w:tbl>
          <w:bookmarkEnd w:id="95"/>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When predicting P-uptake, the individual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were significant positive predictors, explaining 6.4% and 7.3% of the variance, respectively. The interaction model did not improve the explained variance. The kinetic model performed on par with the standard individual tests, explaining 6.4% of the variance, though none of its parameters were individually significant. As with yield, a large difference between the marginal and conditional R² values was observed across all models.</w:t>
      </w:r>
    </w:p>
    <w:bookmarkEnd w:id="96"/>
    <w:bookmarkStart w:id="98" w:name="predicting-p-balance-p_bal"/>
    <w:p>
      <w:pPr>
        <w:pStyle w:val="Heading3"/>
      </w:pPr>
      <w:r>
        <w:t xml:space="preserve">3.5.5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7" w:name="tbl-pbalance-models"/>
          <w:p>
            <w:pPr>
              <w:jc w:val="center"/>
            </w:pPr>
            <w:pPr>
              <w:jc w:val="lef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2.055</w:t>
                  </w:r>
                </w:p>
              </w:tc>
              <w:tc>
                <w:tcPr/>
                <w:p>
                  <w:pPr>
                    <w:pStyle w:val="Compact"/>
                    <w:jc w:val="left"/>
                    <w:jc w:val="center"/>
                  </w:pPr>
                  <w:r>
                    <w:t xml:space="preserve">14.589</w:t>
                  </w:r>
                </w:p>
              </w:tc>
              <w:tc>
                <w:tcPr/>
                <w:p>
                  <w:pPr>
                    <w:pStyle w:val="Compact"/>
                    <w:jc w:val="left"/>
                    <w:jc w:val="center"/>
                  </w:pPr>
                  <w:r>
                    <w:t xml:space="preserve">-5.502</w:t>
                  </w:r>
                </w:p>
              </w:tc>
              <w:tc>
                <w:tcPr/>
                <w:p>
                  <w:pPr>
                    <w:pStyle w:val="Compact"/>
                    <w:jc w:val="left"/>
                    <w:jc w:val="center"/>
                  </w:pPr>
                  <w:r>
                    <w:t xml:space="preserve">59.223***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42.436</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17.933</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21.577***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-2.873</w:t>
                  </w:r>
                </w:p>
              </w:tc>
              <w:tc>
                <w:tcPr/>
                <w:p>
                  <w:pPr>
                    <w:pStyle w:val="Compact"/>
                    <w:jc w:val="left"/>
                    <w:jc w:val="center"/>
                  </w:pPr>
                  <w:r>
                    <w:t xml:space="preserve">1.981</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-4.892*</w:t>
                  </w:r>
                </w:p>
              </w:tc>
              <w:tc>
                <w:tcPr/>
                <w:p>
                  <w:pPr>
                    <w:pStyle w:val="Compact"/>
                  </w:pPr>
                </w:p>
              </w:tc>
              <w:tc>
                <w:tcPr/>
                <w:p>
                  <w:pPr>
                    <w:pStyle w:val="Compact"/>
                    <w:jc w:val="left"/>
                    <w:jc w:val="center"/>
                  </w:pPr>
                  <w:r>
                    <w:t xml:space="preserve">-10.403</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1.417</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0.014</w:t>
                  </w:r>
                </w:p>
              </w:tc>
              <w:tc>
                <w:tcPr/>
                <w:p>
                  <w:pPr>
                    <w:pStyle w:val="Compact"/>
                    <w:jc w:val="left"/>
                    <w:jc w:val="center"/>
                  </w:pPr>
                  <w:r>
                    <w:t xml:space="preserve">0.005</w:t>
                  </w:r>
                </w:p>
              </w:tc>
              <w:tc>
                <w:tcPr/>
                <w:p>
                  <w:pPr>
                    <w:pStyle w:val="Compact"/>
                    <w:jc w:val="left"/>
                    <w:jc w:val="center"/>
                  </w:pPr>
                  <w:r>
                    <w:t xml:space="preserve">0.013</w:t>
                  </w:r>
                </w:p>
              </w:tc>
              <w:tc>
                <w:tcPr/>
                <w:p>
                  <w:pPr>
                    <w:pStyle w:val="Compact"/>
                    <w:jc w:val="left"/>
                    <w:jc w:val="center"/>
                  </w:pPr>
                  <w:r>
                    <w:t xml:space="preserve">0.490</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0.842</w:t>
                  </w:r>
                </w:p>
              </w:tc>
              <w:tc>
                <w:tcPr/>
                <w:p>
                  <w:pPr>
                    <w:pStyle w:val="Compact"/>
                    <w:jc w:val="left"/>
                    <w:jc w:val="center"/>
                  </w:pPr>
                  <w:r>
                    <w:t xml:space="preserve">0.822</w:t>
                  </w:r>
                </w:p>
              </w:tc>
              <w:tc>
                <w:tcPr/>
                <w:p>
                  <w:pPr>
                    <w:pStyle w:val="Compact"/>
                    <w:jc w:val="left"/>
                    <w:jc w:val="center"/>
                  </w:pPr>
                  <w:r>
                    <w:t xml:space="preserve">0.841</w:t>
                  </w:r>
                </w:p>
              </w:tc>
              <w:tc>
                <w:tcPr/>
                <w:p>
                  <w:pPr>
                    <w:pStyle w:val="Compact"/>
                    <w:jc w:val="left"/>
                    <w:jc w:val="center"/>
                  </w:pPr>
                  <w:r>
                    <w:t xml:space="preserve">0.746</w:t>
                  </w:r>
                </w:p>
              </w:tc>
            </w:tr>
          </w:tbl>
          <w:bookmarkEnd w:id="9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kinetic model emerged as a strong predictor of the P-Balance, explaining 57.2% of the variance, with the desorbable P pool (</w:t>
      </w:r>
      <m:oMath>
        <m:sSub>
          <m:e>
            <m:r>
              <m:t>P</m:t>
            </m:r>
          </m:e>
          <m:sub>
            <m:r>
              <m:t>d</m:t>
            </m:r>
            <m:r>
              <m:t>e</m:t>
            </m:r>
            <m:r>
              <m:t>s</m:t>
            </m:r>
            <m:r>
              <m:t>o</m:t>
            </m:r>
            <m:r>
              <m:t>r</m:t>
            </m:r>
            <m:r>
              <m:t>b</m:t>
            </m:r>
          </m:sub>
        </m:sSub>
      </m:oMath>
      <w:r>
        <w:t xml:space="preserve">) being a highly significant predictor. In contrast, all models based on the standard STP methods had marginal R² values of 0.1% and no significant predictors. The conditional R² for the STP models was high (around 0.81), while the kinetic model had both a high marginal R² (0.572) and a high conditional R² (0.744).</w:t>
      </w:r>
    </w:p>
    <w:p>
      <w:r>
        <w:br w:type="page"/>
      </w:r>
    </w:p>
    <w:bookmarkEnd w:id="98"/>
    <w:bookmarkEnd w:id="99"/>
    <w:bookmarkEnd w:id="100"/>
    <w:bookmarkStart w:id="110" w:name="discussion"/>
    <w:p>
      <w:pPr>
        <w:pStyle w:val="Heading1"/>
      </w:pPr>
      <w:r>
        <w:t xml:space="preserve">4. Discussion</w:t>
      </w:r>
    </w:p>
    <w:p>
      <w:pPr>
        <w:pStyle w:val="FirstParagraph"/>
      </w:pPr>
      <w:r>
        <w:t xml:space="preserve">Before addressing the individual hypotheses, it is crucial to first evaluate the overall feasibility of the experimental results and the integrity of the underlying data. A critical examination of the agronomic data revealed a significant and implausible anomaly at the Cadenazzo (CAD) site. Across multiple years, the zero-fertilizer treatment (</w:t>
      </w:r>
      <w:r>
        <w:rPr>
          <w:rStyle w:val="VerbatimChar"/>
        </w:rPr>
        <w:t xml:space="preserve">P0</w:t>
      </w:r>
      <w:r>
        <w:t xml:space="preserve">), which has not received P for nearly 40 years, consistently showed higher median yields than the optimally fertilized treatments. This contradicts fundamental agronomic principles and stands in contrast to previous findings from the same long-term experiment</w:t>
      </w:r>
      <w:r>
        <w:t xml:space="preserve"> </w:t>
      </w:r>
      <w:r>
        <w:t xml:space="preserve">(Hirte, Richner, et al., 2021)</w:t>
      </w:r>
      <w:r>
        <w:t xml:space="preserve">, suggesting a systematic issue with the data from this specific site. As the corresponding soil analysis data for Cadenazzo was unavailable, a definitive explanation for this anomaly could not be found. This unresolved issue, combined with the site’s uniquely high productivity, introduces significant unexplained variance and must be considered when interpreting the performance of the predictive models, particularly for yield-based metrics.</w:t>
      </w:r>
    </w:p>
    <w:p>
      <w:pPr>
        <w:pStyle w:val="BodyText"/>
      </w:pPr>
      <w:r>
        <w:t xml:space="preserve">A second key observation is the consistent, large discrepancy between the marginal R-squared (</w:t>
      </w:r>
      <m:oMath>
        <m:sSubSup>
          <m:e>
            <m:r>
              <m:t>R</m:t>
            </m:r>
          </m:e>
          <m:sub>
            <m:r>
              <m:t>m</m:t>
            </m:r>
          </m:sub>
          <m:sup>
            <m:r>
              <m:t>2</m:t>
            </m:r>
          </m:sup>
        </m:sSubSup>
      </m:oMath>
      <w:r>
        <w:t xml:space="preserve">) and conditional R-squared (</w:t>
      </w:r>
      <m:oMath>
        <m:sSubSup>
          <m:e>
            <m:r>
              <m:t>R</m:t>
            </m:r>
          </m:e>
          <m:sub>
            <m:r>
              <m:t>c</m:t>
            </m:r>
          </m:sub>
          <m:sup>
            <m:r>
              <m:t>2</m:t>
            </m:r>
          </m:sup>
        </m:sSubSup>
      </m:oMath>
      <w:r>
        <w:t xml:space="preserve">) values in the models for yield and P-uptake. This finding is plausible and expected, as it underscores that in P-sufficient Swiss soils, crop yield is primarily co-limited by overarching pedoclimatic factors rather than P availability alone. The Swiss fertilization guidelines (GRUD), on which the</w:t>
      </w:r>
      <w:r>
        <w:t xml:space="preserve"> </w:t>
      </w:r>
      <w:r>
        <w:rPr>
          <w:rStyle w:val="VerbatimChar"/>
        </w:rPr>
        <w:t xml:space="preserve">P100</w:t>
      </w:r>
      <w:r>
        <w:t xml:space="preserve"> </w:t>
      </w:r>
      <w:r>
        <w:t xml:space="preserve">treatment is based, were designed to ensure P is never limiting, which over decades has led to a widespread accumulation of</w:t>
      </w:r>
      <w:r>
        <w:t xml:space="preserve"> </w:t>
      </w:r>
      <w:r>
        <w:t xml:space="preserve">“legacy P”</w:t>
      </w:r>
      <w:r>
        <w:t xml:space="preserve"> </w:t>
      </w:r>
      <w:r>
        <w:t xml:space="preserve">in many agricultural soils</w:t>
      </w:r>
      <w:r>
        <w:t xml:space="preserve"> </w:t>
      </w:r>
      <w:r>
        <w:t xml:space="preserve">(Hirte et al., 2018)</w:t>
      </w:r>
      <w:r>
        <w:t xml:space="preserve">. Consequently, the</w:t>
      </w:r>
      <w:r>
        <w:t xml:space="preserve"> </w:t>
      </w:r>
      <w:r>
        <w:rPr>
          <w:rStyle w:val="VerbatimChar"/>
        </w:rPr>
        <w:t xml:space="preserve">P100</w:t>
      </w:r>
      <w:r>
        <w:t xml:space="preserve"> </w:t>
      </w:r>
      <w:r>
        <w:t xml:space="preserve">and</w:t>
      </w:r>
      <w:r>
        <w:t xml:space="preserve"> </w:t>
      </w:r>
      <w:r>
        <w:rPr>
          <w:rStyle w:val="VerbatimChar"/>
        </w:rPr>
        <w:t xml:space="preserve">P166</w:t>
      </w:r>
      <w:r>
        <w:t xml:space="preserve"> </w:t>
      </w:r>
      <w:r>
        <w:t xml:space="preserve">treatments in this study were likely operating in a P-surplus range, well above the critical threshold for a yield response. This lack of P-limitation means the experiment was not designed to effectively test the sensitivity of different soil P metrics for predicting yield, which fundamentally influences the size and significance of the effects we could detect.</w:t>
      </w:r>
    </w:p>
    <w:p>
      <w:pPr>
        <w:pStyle w:val="BodyText"/>
      </w:pPr>
      <w:r>
        <w:t xml:space="preserve">Therefore, a marginal R² of around 8% for a model predicting national-normalized yield based on a single soil P metric should not be considered low. In fact, it is arguably higher than expected, demonstrating that despite the overwhelming influence of climate and the general P-sufficiency of the soils, both static and kinetic P tests can still capture a statistically significant, albeit small, portion of the variance in crop productivity. With this context established, we can proceed to a detailed evaluation of the specific hypotheses.</w:t>
      </w:r>
    </w:p>
    <w:bookmarkStart w:id="101" w:name="X2be6dfad3d423d878672cb793cc807af4a34ac3"/>
    <w:p>
      <w:pPr>
        <w:pStyle w:val="Heading2"/>
      </w:pPr>
      <w:r>
        <w:t xml:space="preserve">4.1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1"/>
    <w:bookmarkStart w:id="107" w:name="X1b4f439ca95cf2ff1d299d4f1dc1937990b01b8"/>
    <w:p>
      <w:pPr>
        <w:pStyle w:val="Heading2"/>
      </w:pPr>
      <w:r>
        <w:t xml:space="preserve">4.2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6" w:name="cell-fig-ell-outlier-check-dual-axis"/>
    <w:tbl>
      <w:tblPr>
        <w:tblStyle w:val="Table"/>
        <w:tblW w:type="pct" w:w="5000"/>
        <w:tblLayout w:type="fixed"/>
        <w:tblLook w:firstRow="0" w:lastRow="0" w:firstColumn="0" w:lastColumn="0" w:noHBand="0" w:noVBand="0" w:val="0000"/>
      </w:tblPr>
      <w:tblGrid>
        <w:gridCol w:w="7920"/>
      </w:tblGrid>
      <w:tr>
        <w:tc>
          <w:tcPr/>
          <w:bookmarkStart w:id="105" w:name="fig-ell-outlier-check-dual-axis"/>
          <w:p>
            <w:pPr>
              <w:pStyle w:val="Compact"/>
              <w:jc w:val="center"/>
            </w:pPr>
            <w:r>
              <w:drawing>
                <wp:inline>
                  <wp:extent cx="4620126" cy="3696101"/>
                  <wp:effectExtent b="0" l="0" r="0" t="0"/>
                  <wp:docPr descr="" title="" id="103" name="Picture"/>
                  <a:graphic>
                    <a:graphicData uri="http://schemas.openxmlformats.org/drawingml/2006/picture">
                      <pic:pic>
                        <pic:nvPicPr>
                          <pic:cNvPr descr="index_files/figure-docx/fig-ell-outlier-check-dual-axis-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106"/>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7"/>
    <w:bookmarkStart w:id="109" w:name="X2bcc4bfc211ba9abec9a74e664b2fca0cf81079"/>
    <w:p>
      <w:pPr>
        <w:pStyle w:val="Heading2"/>
      </w:pPr>
      <w:r>
        <w:t xml:space="preserve">4.3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p>
      <w:r>
        <w:br w:type="page"/>
      </w:r>
    </w:p>
    <w:bookmarkStart w:id="108" w:name="conclusion-and-outlook"/>
    <w:p>
      <w:pPr>
        <w:pStyle w:val="Heading3"/>
      </w:pPr>
      <w:r>
        <w:t xml:space="preserve">4.3.1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p>
      <w:r>
        <w:br w:type="page"/>
      </w:r>
    </w:p>
    <w:bookmarkEnd w:id="108"/>
    <w:bookmarkEnd w:id="109"/>
    <w:bookmarkEnd w:id="110"/>
    <w:bookmarkStart w:id="111" w:name="acknowledgments"/>
    <w:p>
      <w:pPr>
        <w:pStyle w:val="Heading1"/>
      </w:pPr>
      <w:r>
        <w:t xml:space="preserve">5. Acknowledgments</w:t>
      </w:r>
    </w:p>
    <w:p>
      <w:pPr>
        <w:pStyle w:val="FirstParagraph"/>
      </w:pPr>
      <w:r>
        <w:t xml:space="preserve">Without my wife I could not have again and again found the energy and time to work on my deeply personally motivated thesis. While she gave me the space to work, she tended to our little son, who in return with his intruiging way of demanding and negotiating play-time, attention and proximity, constantly earthed and reminded me of our dependence on others. The idea for this thesis came from many lengthy discussions with Frank Liebisch, where he, although being so busy, invested so much time in my development to an agronomist during my internship. He endured over and over my harsh critique on the nature and issues of agronomic research, and understood my drustration on the limitations posed on agronomic researchers, while still giving me hope in the possibility of progress and knowledge gain. It is not common, that a master student can choose his own topic and methodology for his master thesis, Emmanuel Frossard agreed immediately upon hearing from my idea. He knew that the task I set myself was difficult and extensive, but he not only showed confidence in my ability to grow on the pitfalls and issues, he would always remind me with his charactersitic words.</w:t>
      </w:r>
      <w:r>
        <w:t xml:space="preserve"> </w:t>
      </w:r>
      <w:r>
        <w:t xml:space="preserve">“Il faut avoir le courage”</w:t>
      </w:r>
      <w:r>
        <w:t xml:space="preserve">, that acknowloding one’s own limitation and ignorance and simultaneously making falsifiable claims and to stand for them, is a cardinal attitude I can grow into. The support of Frank and Emmanuel went beyond their responsibility as specialists, I will never forget the kindness and patience shown to me, knowing that I behaved often spiky and frustrated, when my abstract and often idealistic considerations met the hard reality of soil-chemisty-measurements. Gratiously Emmanuel Frossard provided me access to the group’s laboratory, where Laurie Schönholzer supported me heavily, developing the protocol for my experiments. She not only shared her professional knowledge, but would also educate me on the code how to properly prepare and clean a lab. My wife reports, that I behave differently since then when it comes to our household. I benefited increadibly from this thesis. Lukas Graz introduced me to Quarto and helped me setting up a workflow, that is both safe in terms of data-loss and reproducible. He relentlessly explained me the pitfalls when using hierarchical models, aided in the selection of the effect-structure and taught me both as a friend and specialist invaluable lessons, how to structure and effiently write R-code, approaching complex real data. He encouraged me over and over, this thesis would not have been possible without him. I would also like to acknowledge the use of Google’s Gemini language model in the preparation of this thesis. It served as a valuable programming assistant for debugging R and LaTeX code, and as an editorial tool for improving language, formatting, and the overall structure of the manuscript, particularly in the discussion and conclusion sections.</w:t>
      </w:r>
    </w:p>
    <w:p>
      <w:r>
        <w:br w:type="page"/>
      </w:r>
    </w:p>
    <w:bookmarkEnd w:id="111"/>
    <w:bookmarkStart w:id="188" w:name="references"/>
    <w:p>
      <w:pPr>
        <w:pStyle w:val="Heading1"/>
      </w:pPr>
      <w:r>
        <w:t xml:space="preserve">6. References</w:t>
      </w:r>
    </w:p>
    <w:bookmarkStart w:id="187" w:name="refs"/>
    <w:bookmarkStart w:id="113" w:name="ref-Abelson1999Dilemma"/>
    <w:p>
      <w:pPr>
        <w:pStyle w:val="Bibliography"/>
      </w:pPr>
      <w:r>
        <w:t xml:space="preserve">Abelson, P. H. (1999). A potential phosphate crisis.</w:t>
      </w:r>
      <w:r>
        <w:t xml:space="preserve"> </w:t>
      </w:r>
      <w:r>
        <w:rPr>
          <w:i/>
          <w:iCs/>
        </w:rPr>
        <w:t xml:space="preserve">Science</w:t>
      </w:r>
      <w:r>
        <w:t xml:space="preserve">,</w:t>
      </w:r>
      <w:r>
        <w:t xml:space="preserve"> </w:t>
      </w:r>
      <w:r>
        <w:rPr>
          <w:i/>
          <w:iCs/>
        </w:rPr>
        <w:t xml:space="preserve">283</w:t>
      </w:r>
      <w:r>
        <w:t xml:space="preserve">(5410), 2015–2015.</w:t>
      </w:r>
      <w:r>
        <w:t xml:space="preserve"> </w:t>
      </w:r>
      <w:hyperlink r:id="rId112">
        <w:r>
          <w:rPr>
            <w:rStyle w:val="Hyperlink"/>
          </w:rPr>
          <w:t xml:space="preserve">https://doi.org/10.1126/science.283.5410.2015</w:t>
        </w:r>
      </w:hyperlink>
    </w:p>
    <w:bookmarkEnd w:id="113"/>
    <w:bookmarkStart w:id="115"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4">
        <w:r>
          <w:rPr>
            <w:rStyle w:val="Hyperlink"/>
          </w:rPr>
          <w:t xml:space="preserve">https://doi.org/10.18637/jss.v067.i01</w:t>
        </w:r>
      </w:hyperlink>
    </w:p>
    <w:bookmarkEnd w:id="115"/>
    <w:bookmarkStart w:id="117"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6">
        <w:r>
          <w:rPr>
            <w:rStyle w:val="Hyperlink"/>
          </w:rPr>
          <w:t xml:space="preserve">https://doi.org/10.1071/CP13019</w:t>
        </w:r>
      </w:hyperlink>
    </w:p>
    <w:bookmarkEnd w:id="117"/>
    <w:bookmarkStart w:id="118"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8"/>
    <w:bookmarkStart w:id="119"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19"/>
    <w:bookmarkStart w:id="120"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0"/>
    <w:bookmarkStart w:id="122" w:name="ref-demariaSoilPropertiesPhosphorus2013"/>
    <w:p>
      <w:pPr>
        <w:pStyle w:val="Bibliography"/>
      </w:pPr>
      <w:r>
        <w:t xml:space="preserve">Demaria, P., Sinaj, S., Flisch, R., &amp; Frossard, E. (2013). Soil</w:t>
      </w:r>
      <w:r>
        <w:t xml:space="preserve"> </w:t>
      </w:r>
      <w:r>
        <w:t xml:space="preserve">Properties</w:t>
      </w:r>
      <w:r>
        <w:t xml:space="preserve"> </w:t>
      </w:r>
      <w:r>
        <w:t xml:space="preserve">and</w:t>
      </w:r>
      <w:r>
        <w:t xml:space="preserve"> </w:t>
      </w:r>
      <w:r>
        <w:t xml:space="preserve">Phosphorus Isotopic Exchangeability</w:t>
      </w:r>
      <w:r>
        <w:t xml:space="preserve"> </w:t>
      </w:r>
      <w:r>
        <w:t xml:space="preserve">in</w:t>
      </w:r>
      <w:r>
        <w:t xml:space="preserve"> </w:t>
      </w:r>
      <w:r>
        <w:t xml:space="preserve">Cropped Temperate Soils</w:t>
      </w:r>
      <w:r>
        <w:t xml:space="preserve">.</w:t>
      </w:r>
      <w:r>
        <w:t xml:space="preserve"> </w:t>
      </w:r>
      <w:r>
        <w:rPr>
          <w:i/>
          <w:iCs/>
        </w:rPr>
        <w:t xml:space="preserve">Communications in Soil Science and Plant Analysis</w:t>
      </w:r>
      <w:r>
        <w:t xml:space="preserve">,</w:t>
      </w:r>
      <w:r>
        <w:t xml:space="preserve"> </w:t>
      </w:r>
      <w:r>
        <w:rPr>
          <w:i/>
          <w:iCs/>
        </w:rPr>
        <w:t xml:space="preserve">44</w:t>
      </w:r>
      <w:r>
        <w:t xml:space="preserve">(1–4), 287–300.</w:t>
      </w:r>
      <w:r>
        <w:t xml:space="preserve"> </w:t>
      </w:r>
      <w:hyperlink r:id="rId121">
        <w:r>
          <w:rPr>
            <w:rStyle w:val="Hyperlink"/>
          </w:rPr>
          <w:t xml:space="preserve">https://doi.org/10.1080/00103624.2013.741896</w:t>
        </w:r>
      </w:hyperlink>
    </w:p>
    <w:bookmarkEnd w:id="122"/>
    <w:bookmarkStart w:id="12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3">
        <w:r>
          <w:rPr>
            <w:rStyle w:val="Hyperlink"/>
          </w:rPr>
          <w:t xml:space="preserve">https://doi.org/10.1051/agro:19910908</w:t>
        </w:r>
      </w:hyperlink>
    </w:p>
    <w:bookmarkEnd w:id="124"/>
    <w:bookmarkStart w:id="125" w:name="ref-Fisher1925"/>
    <w:p>
      <w:pPr>
        <w:pStyle w:val="Bibliography"/>
      </w:pPr>
      <w:r>
        <w:t xml:space="preserve">Fisher, R. A. (1925).</w:t>
      </w:r>
      <w:r>
        <w:t xml:space="preserve"> </w:t>
      </w:r>
      <w:r>
        <w:rPr>
          <w:i/>
          <w:iCs/>
        </w:rPr>
        <w:t xml:space="preserve">Statistical methods for research workers</w:t>
      </w:r>
      <w:r>
        <w:t xml:space="preserve">. Oliver; Boyd.</w:t>
      </w:r>
    </w:p>
    <w:bookmarkEnd w:id="125"/>
    <w:bookmarkStart w:id="12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6">
        <w:r>
          <w:rPr>
            <w:rStyle w:val="Hyperlink"/>
          </w:rPr>
          <w:t xml:space="preserve">https://doi.org/10.2136/sssabookser3.2ed.c11</w:t>
        </w:r>
      </w:hyperlink>
    </w:p>
    <w:bookmarkEnd w:id="127"/>
    <w:bookmarkStart w:id="12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8"/>
    <w:bookmarkStart w:id="12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9"/>
    <w:bookmarkStart w:id="131" w:name="ref-Frossard2000Processes"/>
    <w:p>
      <w:pPr>
        <w:pStyle w:val="Bibliography"/>
      </w:pPr>
      <w:r>
        <w:t xml:space="preserve">Frossard, E., Condron, L. M., Oberson, A., Sinaj, S., &amp; Fardeau, J.-C.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0">
        <w:r>
          <w:rPr>
            <w:rStyle w:val="Hyperlink"/>
          </w:rPr>
          <w:t xml:space="preserve">https://doi.org/10.2134/jeq2000.00472425002900010003x</w:t>
        </w:r>
      </w:hyperlink>
    </w:p>
    <w:bookmarkEnd w:id="131"/>
    <w:bookmarkStart w:id="13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2">
        <w:r>
          <w:rPr>
            <w:rStyle w:val="Hyperlink"/>
          </w:rPr>
          <w:t xml:space="preserve">https://doi.org/10.1097/SS.0b013e3181f26a1d</w:t>
        </w:r>
      </w:hyperlink>
    </w:p>
    <w:bookmarkEnd w:id="133"/>
    <w:bookmarkStart w:id="13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4">
        <w:r>
          <w:rPr>
            <w:rStyle w:val="Hyperlink"/>
          </w:rPr>
          <w:t xml:space="preserve">https://doi.org/10.1023/A:1013339317511</w:t>
        </w:r>
      </w:hyperlink>
    </w:p>
    <w:bookmarkEnd w:id="135"/>
    <w:bookmarkStart w:id="13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6">
        <w:r>
          <w:rPr>
            <w:rStyle w:val="Hyperlink"/>
          </w:rPr>
          <w:t xml:space="preserve">https://doi.org/10.1007/s13280-017-0987-9</w:t>
        </w:r>
      </w:hyperlink>
    </w:p>
    <w:bookmarkEnd w:id="137"/>
    <w:bookmarkStart w:id="13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8">
        <w:r>
          <w:rPr>
            <w:rStyle w:val="Hyperlink"/>
          </w:rPr>
          <w:t xml:space="preserve">https://doi.org/10.1016/j.scitotenv.2020.143453</w:t>
        </w:r>
      </w:hyperlink>
    </w:p>
    <w:bookmarkEnd w:id="139"/>
    <w:bookmarkStart w:id="14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0">
        <w:r>
          <w:rPr>
            <w:rStyle w:val="Hyperlink"/>
          </w:rPr>
          <w:t xml:space="preserve">https://doi.org/10.1016/j.agee.2020.107270</w:t>
        </w:r>
      </w:hyperlink>
    </w:p>
    <w:bookmarkEnd w:id="141"/>
    <w:bookmarkStart w:id="14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2">
        <w:r>
          <w:rPr>
            <w:rStyle w:val="Hyperlink"/>
          </w:rPr>
          <w:t xml:space="preserve">https://doi.org/10.1071/S96047</w:t>
        </w:r>
      </w:hyperlink>
    </w:p>
    <w:bookmarkEnd w:id="143"/>
    <w:bookmarkStart w:id="14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4">
        <w:r>
          <w:rPr>
            <w:rStyle w:val="Hyperlink"/>
          </w:rPr>
          <w:t xml:space="preserve">https://doi.org/10.1100/tsw.2001.272</w:t>
        </w:r>
      </w:hyperlink>
    </w:p>
    <w:bookmarkEnd w:id="145"/>
    <w:bookmarkStart w:id="14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6">
        <w:r>
          <w:rPr>
            <w:rStyle w:val="Hyperlink"/>
          </w:rPr>
          <w:t xml:space="preserve">https://doi.org/10.1007/s11368-012-0498-8</w:t>
        </w:r>
      </w:hyperlink>
    </w:p>
    <w:bookmarkEnd w:id="147"/>
    <w:bookmarkStart w:id="14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8">
        <w:r>
          <w:rPr>
            <w:rStyle w:val="Hyperlink"/>
          </w:rPr>
          <w:t xml:space="preserve">https://doi.org/10.18637/jss.v082.i13</w:t>
        </w:r>
      </w:hyperlink>
    </w:p>
    <w:bookmarkEnd w:id="149"/>
    <w:bookmarkStart w:id="15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0">
        <w:r>
          <w:rPr>
            <w:rStyle w:val="Hyperlink"/>
          </w:rPr>
          <w:t xml:space="preserve">https://doi.org/10.21105/joss.01903</w:t>
        </w:r>
      </w:hyperlink>
    </w:p>
    <w:bookmarkEnd w:id="151"/>
    <w:bookmarkStart w:id="15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2">
        <w:r>
          <w:rPr>
            <w:rStyle w:val="Hyperlink"/>
          </w:rPr>
          <w:t xml:space="preserve">https://doi.org/10.2134/jeq2001.302508x</w:t>
        </w:r>
      </w:hyperlink>
    </w:p>
    <w:bookmarkEnd w:id="153"/>
    <w:bookmarkStart w:id="15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4"/>
    <w:bookmarkStart w:id="15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5">
        <w:r>
          <w:rPr>
            <w:rStyle w:val="Hyperlink"/>
          </w:rPr>
          <w:t xml:space="preserve">https://ods.od.nih.gov/factsheets/Phosphorus-HealthProfessional/</w:t>
        </w:r>
      </w:hyperlink>
    </w:p>
    <w:bookmarkEnd w:id="156"/>
    <w:bookmarkStart w:id="15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7"/>
    <w:bookmarkStart w:id="15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8"/>
    <w:bookmarkStart w:id="159" w:name="ref-Olsen1954"/>
    <w:p>
      <w:pPr>
        <w:pStyle w:val="Bibliography"/>
      </w:pPr>
      <w:r>
        <w:t xml:space="preserve">Olsen, S. R., Cole, C. V., Watanabe, F. S., &amp; Dean, L. A. (1954). Estimation of available phosphorus in soils by extraction with sodium bicarbonate.</w:t>
      </w:r>
      <w:r>
        <w:t xml:space="preserve"> </w:t>
      </w:r>
      <w:r>
        <w:rPr>
          <w:i/>
          <w:iCs/>
        </w:rPr>
        <w:t xml:space="preserve">US Department of Agriculture Circular</w:t>
      </w:r>
      <w:r>
        <w:t xml:space="preserve">,</w:t>
      </w:r>
      <w:r>
        <w:t xml:space="preserve"> </w:t>
      </w:r>
      <w:r>
        <w:rPr>
          <w:i/>
          <w:iCs/>
        </w:rPr>
        <w:t xml:space="preserve">939</w:t>
      </w:r>
      <w:r>
        <w:t xml:space="preserve">, 1–19.</w:t>
      </w:r>
    </w:p>
    <w:bookmarkEnd w:id="159"/>
    <w:bookmarkStart w:id="161"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0">
        <w:r>
          <w:rPr>
            <w:rStyle w:val="Hyperlink"/>
          </w:rPr>
          <w:t xml:space="preserve">https://CRAN.R-project.org/package=nlme</w:t>
        </w:r>
      </w:hyperlink>
    </w:p>
    <w:bookmarkEnd w:id="161"/>
    <w:bookmarkStart w:id="163"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5" w:name="ref-Rast1996Eutrophication"/>
    <w:p>
      <w:pPr>
        <w:pStyle w:val="Bibliography"/>
      </w:pPr>
      <w:r>
        <w:t xml:space="preserve">Rast, W., &amp; Thornton, J. A. (1996). Trends in eutrophication research and control.</w:t>
      </w:r>
      <w:r>
        <w:t xml:space="preserve"> </w:t>
      </w:r>
      <w:r>
        <w:rPr>
          <w:i/>
          <w:iCs/>
        </w:rPr>
        <w:t xml:space="preserve">Hydrological Processes</w:t>
      </w:r>
      <w:r>
        <w:t xml:space="preserve">,</w:t>
      </w:r>
      <w:r>
        <w:t xml:space="preserve"> </w:t>
      </w:r>
      <w:r>
        <w:rPr>
          <w:i/>
          <w:iCs/>
        </w:rPr>
        <w:t xml:space="preserve">10</w:t>
      </w:r>
      <w:r>
        <w:t xml:space="preserve">(2), 295–313.</w:t>
      </w:r>
      <w:r>
        <w:t xml:space="preserve"> </w:t>
      </w:r>
      <w:hyperlink r:id="rId164">
        <w:r>
          <w:rPr>
            <w:rStyle w:val="Hyperlink"/>
          </w:rPr>
          <w:t xml:space="preserve">https://doi.org/10.1002/(SICI)1099-1085(199602)10:2&lt;295::AID-HYP360&gt;3.0.CO;2-F</w:t>
        </w:r>
      </w:hyperlink>
    </w:p>
    <w:bookmarkEnd w:id="165"/>
    <w:bookmarkStart w:id="167"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6">
        <w:r>
          <w:rPr>
            <w:rStyle w:val="Hyperlink"/>
          </w:rPr>
          <w:t xml:space="preserve">https://doi.org/10.1007/s10705-015-9726-1</w:t>
        </w:r>
      </w:hyperlink>
    </w:p>
    <w:bookmarkEnd w:id="167"/>
    <w:bookmarkStart w:id="169"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8">
        <w:r>
          <w:rPr>
            <w:rStyle w:val="Hyperlink"/>
          </w:rPr>
          <w:t xml:space="preserve">https://doi.org/10.1051/agro:2002018</w:t>
        </w:r>
      </w:hyperlink>
    </w:p>
    <w:bookmarkEnd w:id="169"/>
    <w:bookmarkStart w:id="170"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0"/>
    <w:bookmarkStart w:id="172"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1">
        <w:r>
          <w:rPr>
            <w:rStyle w:val="Hyperlink"/>
          </w:rPr>
          <w:t xml:space="preserve">https://doi.org/10.2134/jeq2000.00472425002900010001x</w:t>
        </w:r>
      </w:hyperlink>
    </w:p>
    <w:bookmarkEnd w:id="172"/>
    <w:bookmarkStart w:id="174"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3">
        <w:r>
          <w:rPr>
            <w:rStyle w:val="Hyperlink"/>
          </w:rPr>
          <w:t xml:space="preserve">https://doi.org/10.2134/jeq2003.4210</w:t>
        </w:r>
      </w:hyperlink>
    </w:p>
    <w:bookmarkEnd w:id="174"/>
    <w:bookmarkStart w:id="176"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5">
        <w:r>
          <w:rPr>
            <w:rStyle w:val="Hyperlink"/>
          </w:rPr>
          <w:t xml:space="preserve">https://doi.org/10.2134/agronmonogr46</w:t>
        </w:r>
      </w:hyperlink>
    </w:p>
    <w:bookmarkEnd w:id="176"/>
    <w:bookmarkStart w:id="178"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7">
        <w:r>
          <w:rPr>
            <w:rStyle w:val="Hyperlink"/>
          </w:rPr>
          <w:t xml:space="preserve">https://doi.org/10.2135/cropsci1998.0011183X003800030002x</w:t>
        </w:r>
      </w:hyperlink>
    </w:p>
    <w:bookmarkEnd w:id="178"/>
    <w:bookmarkStart w:id="180"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9">
        <w:r>
          <w:rPr>
            <w:rStyle w:val="Hyperlink"/>
          </w:rPr>
          <w:t xml:space="preserve">https://doi.org/10.1016/B978-0-12-656446-4.50001-X</w:t>
        </w:r>
      </w:hyperlink>
    </w:p>
    <w:bookmarkEnd w:id="180"/>
    <w:bookmarkStart w:id="181"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1"/>
    <w:bookmarkStart w:id="182"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2"/>
    <w:bookmarkStart w:id="184"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3">
        <w:r>
          <w:rPr>
            <w:rStyle w:val="Hyperlink"/>
          </w:rPr>
          <w:t xml:space="preserve">https://doi.org/10.2134/agronj2002.2830</w:t>
        </w:r>
      </w:hyperlink>
    </w:p>
    <w:bookmarkEnd w:id="184"/>
    <w:bookmarkStart w:id="185"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5"/>
    <w:bookmarkStart w:id="186"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6"/>
    <w:bookmarkEnd w:id="187"/>
    <w:p>
      <w:r>
        <w:br w:type="page"/>
      </w:r>
    </w:p>
    <w:p>
      <w:r>
        <w:br w:type="page"/>
      </w:r>
    </w:p>
    <w:bookmarkEnd w:id="188"/>
    <w:bookmarkStart w:id="192" w:name="appendix"/>
    <w:p>
      <w:pPr>
        <w:pStyle w:val="Heading1"/>
      </w:pPr>
      <w:r>
        <w:t xml:space="preserve">7. Appendix</w:t>
      </w:r>
    </w:p>
    <w:bookmarkStart w:id="191" w:name="X5a320362c19fbb9a0d497031784de26d114bb0f"/>
    <w:p>
      <w:pPr>
        <w:pStyle w:val="Heading2"/>
      </w:pPr>
      <w:r>
        <w:t xml:space="preserve">7.1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hyperlink r:id="rId189">
        <w:r>
          <w:rPr>
            <w:rStyle w:val="Hyperlink"/>
            <w:b/>
            <w:bCs/>
          </w:rPr>
          <w:t xml:space="preserve">[https://github.com/Andrapodon/Master-Thesis-P-kinetics]</w:t>
        </w:r>
      </w:hyperlink>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hyperlink r:id="rId190">
        <w:r>
          <w:rPr>
            <w:rStyle w:val="Hyperlink"/>
            <w:b/>
            <w:bCs/>
          </w:rPr>
          <w:t xml:space="preserve">[https://andrapodon.github.io/Master-Thesis-P-kinetics/]</w:t>
        </w:r>
      </w:hyperlink>
    </w:p>
    <w:p>
      <w:pPr>
        <w:pStyle w:val="BodyText"/>
      </w:pPr>
      <w:r>
        <w:t xml:space="preserve">This approach ensures full transparency and allows for the complete replication of the findings presented in this thesis.</w:t>
      </w:r>
    </w:p>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102" Target="media/rId10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Swiss cropping systems</dc:title>
  <dc:creator/>
  <cp:keywords/>
  <dcterms:created xsi:type="dcterms:W3CDTF">2025-10-20T01:59:38Z</dcterms:created>
  <dcterms:modified xsi:type="dcterms:W3CDTF">2025-10-20T01:59:38Z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(P_{desorb}) and a rate constant (k). The predictive power of these kinetic parameters was compared against standard Swiss STPs (P_{CO_2} and P_{AAE10})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 P_{desorb} 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2025-09-12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