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58.pdf" ContentType="application/pdf"/>
  <Override PartName="/word/media/rId62.pdf" ContentType="application/pdf"/>
  <Override PartName="/word/media/rId45.png" ContentType="image/png"/>
  <Override PartName="/word/media/rId5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such as extraction with CO₂-saturated water or ammonium acetate EDTA (AAE10), are designed to estimate the size of this readily available P pool (the capacity factor)</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w:r>
        <w:rPr>
          <w:rStyle w:val="VerbatimChar"/>
        </w:rPr>
        <w:t xml:space="preserve">PS</w:t>
      </w:r>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01"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1981200"/>
                        <wp:effectExtent b="0" l="0" r="0" t="0"/>
                        <wp:docPr descr="" title="" id="59" name="Picture"/>
                        <a:graphic>
                          <a:graphicData uri="http://schemas.openxmlformats.org/drawingml/2006/picture">
                            <pic:pic>
                              <pic:nvPicPr>
                                <pic:cNvPr descr="index_files/figure-docx/fig-iek-comparison-1.pdf" id="60" name="Picture"/>
                                <pic:cNvPicPr>
                                  <a:picLocks noChangeArrowheads="1" noChangeAspect="1"/>
                                </pic:cNvPicPr>
                              </pic:nvPicPr>
                              <pic:blipFill>
                                <a:blip r:embed="rId58"/>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1981200"/>
                        <wp:effectExtent b="0" l="0" r="0" t="0"/>
                        <wp:docPr descr="" title="" id="63" name="Picture"/>
                        <a:graphic>
                          <a:graphicData uri="http://schemas.openxmlformats.org/drawingml/2006/picture">
                            <pic:pic>
                              <pic:nvPicPr>
                                <pic:cNvPr descr="index_files/figure-docx/fig-iek-comparison-2.pdf" id="64" name="Picture"/>
                                <pic:cNvPicPr>
                                  <a:picLocks noChangeArrowheads="1" noChangeAspect="1"/>
                                </pic:cNvPicPr>
                              </pic:nvPicPr>
                              <pic:blipFill>
                                <a:blip r:embed="rId62"/>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00"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w:r>
        <w:t xml:space="preserve">*</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w:r>
        <w:t xml:space="preserve">*</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t xml:space="preserve">*</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t xml:space="preserve">*</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4" w:name="predicting-site-normalized-yield-y_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When predicting yield normalized to the site’s own potential, the standard STP methods, particularly</w:t>
      </w:r>
      <w:r>
        <w:t xml:space="preserve"> </w:t>
      </w:r>
      <m:oMath>
        <m:sSub>
          <m:e>
            <m:r>
              <m:t>P</m:t>
            </m:r>
          </m:e>
          <m:sub>
            <m:r>
              <m:t>C</m:t>
            </m:r>
            <m:sSub>
              <m:e>
                <m:r>
                  <m:t>O</m:t>
                </m:r>
              </m:e>
              <m:sub>
                <m:r>
                  <m:t>2</m:t>
                </m:r>
              </m:sub>
            </m:sSub>
          </m:sub>
        </m:sSub>
      </m:oMath>
      <w:r>
        <w:t xml:space="preserve">, were the most effective predictors (</w:t>
      </w:r>
      <w:hyperlink w:anchor="tbl-ynorm-models">
        <w:r>
          <w:rPr>
            <w:rStyle w:val="Hyperlink"/>
          </w:rPr>
          <w:t xml:space="preserve">Table 4</w:t>
        </w:r>
      </w:hyperlink>
      <w:r>
        <w:t xml:space="preserve">). The model including both STP methods (</w:t>
      </w:r>
      <m:oMath>
        <m:sSub>
          <m:e>
            <m:r>
              <m:t>P</m:t>
            </m:r>
          </m:e>
          <m:sub>
            <m:r>
              <m:t>C</m:t>
            </m:r>
            <m:sSub>
              <m:e>
                <m:r>
                  <m:t>O</m:t>
                </m:r>
              </m:e>
              <m:sub>
                <m:r>
                  <m:t>2</m:t>
                </m:r>
              </m:sub>
            </m:sSub>
          </m:sub>
        </m:sSub>
        <m:r>
          <m:rPr>
            <m:sty m:val="p"/>
          </m:rPr>
          <m:t>*</m:t>
        </m:r>
        <m:sSub>
          <m:e>
            <m:r>
              <m:t>P</m:t>
            </m:r>
          </m:e>
          <m:sub>
            <m:r>
              <m:t>A</m:t>
            </m:r>
            <m:r>
              <m:t>A</m:t>
            </m:r>
            <m:r>
              <m:t>E</m:t>
            </m:r>
            <m:r>
              <m:t>10</m:t>
            </m:r>
          </m:sub>
        </m:sSub>
      </m:oMath>
      <w:r>
        <w:t xml:space="preserve">) achieved a marginal R² of 0.22, explaining a substantial portion of the variance in within-site yield response. The kinetic model also performed well, explaining 16.5% of the variance (marginal R² = 0.165), with the desorbable P pool (</w:t>
      </w:r>
      <m:oMath>
        <m:sSub>
          <m:e>
            <m:r>
              <m:t>P</m:t>
            </m:r>
          </m:e>
          <m:sub>
            <m:r>
              <m:t>d</m:t>
            </m:r>
            <m:r>
              <m:t>e</m:t>
            </m:r>
            <m:r>
              <m:t>s</m:t>
            </m:r>
            <m:r>
              <m:t>o</m:t>
            </m:r>
            <m:r>
              <m:t>r</m:t>
            </m:r>
            <m:r>
              <m:t>b</m:t>
            </m:r>
          </m:sub>
        </m:sSub>
      </m:oMath>
      <w:r>
        <w:t xml:space="preserve">) being a highly significant predictor. This indicates that for optimizing yield within a given field, both static and kinetic capacity measures are effective.</w:t>
      </w:r>
    </w:p>
    <w:tbl>
      <w:tblPr>
        <w:tblStyle w:val="Table"/>
        <w:tblW w:type="pct" w:w="5000"/>
        <w:tblLayout w:type="fixed"/>
        <w:tblLook w:firstRow="0" w:lastRow="0" w:firstColumn="0" w:lastColumn="0" w:noHBand="0" w:noVBand="0" w:val="0000"/>
      </w:tblPr>
      <w:tblGrid>
        <w:gridCol w:w="7920"/>
      </w:tblGrid>
      <w:tr>
        <w:tc>
          <w:tcPr/>
          <w:bookmarkStart w:id="8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96"/>
              <w:gridCol w:w="1070"/>
              <w:gridCol w:w="1284"/>
              <w:gridCol w:w="1712"/>
              <w:gridCol w:w="856"/>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r>
                      <m:rPr>
                        <m:sty m:val="p"/>
                      </m:rPr>
                      <m:t>|</m:t>
                    </m:r>
                  </m:oMath>
                  <w:r>
                    <w:t xml:space="preserve">P_{AAE10}$</w:t>
                  </w:r>
                </w:p>
              </w:tc>
              <w:tc>
                <w:tcPr/>
                <w:p>
                  <w:pPr>
                    <w:pStyle w:val="Compact"/>
                    <w:jc w:val="left"/>
                    <w:jc w:val="center"/>
                  </w:pPr>
                  <w:r>
                    <w:t xml:space="preserve">STP-interaction</w:t>
                  </w:r>
                </w:p>
              </w:tc>
              <w:tc>
                <w:tcPr/>
                <w:p>
                  <w:pPr>
                    <w:pStyle w:val="Compact"/>
                    <w:jc w:val="left"/>
                    <w:jc w:val="center"/>
                  </w:pPr>
                  <w:r>
                    <w:t xml:space="preserve">kinetic</w:t>
                  </w:r>
                </w:p>
              </w:tc>
              <w:tc>
                <w:tcPr/>
                <w:p>
                  <w:pPr>
                    <w:pStyle w:val="Compact"/>
                  </w:pP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3"/>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a clear and striking difference between the predictive power of the standard STP methods and the kinetic parameters for site-normalized yield.</w:t>
      </w:r>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 R² 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 R² 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84"/>
    <w:bookmarkStart w:id="89" w:name="Xe0b402b7183f6a3d6df8442ac2834a5544132c5"/>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8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86" w:name="performance-of-standard-stp-methods"/>
    <w:p>
      <w:pPr>
        <w:pStyle w:val="Heading4"/>
      </w:pPr>
      <w:r>
        <w:t xml:space="preserve">4.5.2.1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 R²,</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 R² values confirm that these static measurements account for less than 8% of the yield variation, which is indeed a weak predictive performance.</w:t>
      </w:r>
    </w:p>
    <w:bookmarkEnd w:id="86"/>
    <w:bookmarkStart w:id="87" w:name="performance-of-the-kinetic-model"/>
    <w:p>
      <w:pPr>
        <w:pStyle w:val="Heading4"/>
      </w:pPr>
      <w:r>
        <w:t xml:space="preserve">4.5.2.2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 R² 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87"/>
    <w:bookmarkStart w:id="88" w:name="the-role-of-unmeasured-factors"/>
    <w:p>
      <w:pPr>
        <w:pStyle w:val="Heading4"/>
      </w:pPr>
      <w:r>
        <w:t xml:space="preserve">4.5.2.3 The Role of Unmeasured Factors</w:t>
      </w:r>
    </w:p>
    <w:p>
      <w:pPr>
        <w:pStyle w:val="FirstParagraph"/>
      </w:pPr>
      <w:r>
        <w:t xml:space="preserve">A critical observation across all models is the large discrepancy between the marginal R² (</w:t>
      </w:r>
      <m:oMath>
        <m:sSubSup>
          <m:e>
            <m:r>
              <m:t>R</m:t>
            </m:r>
          </m:e>
          <m:sub>
            <m:r>
              <m:t>m</m:t>
            </m:r>
          </m:sub>
          <m:sup>
            <m:r>
              <m:t>2</m:t>
            </m:r>
          </m:sup>
        </m:sSubSup>
      </m:oMath>
      <w:r>
        <w:t xml:space="preserve">) and the conditional R² (</w:t>
      </w:r>
      <m:oMath>
        <m:sSubSup>
          <m:e>
            <m:r>
              <m:t>R</m:t>
            </m:r>
          </m:e>
          <m:sub>
            <m:r>
              <m:t>c</m:t>
            </m:r>
          </m:sub>
          <m:sup>
            <m:r>
              <m:t>2</m:t>
            </m:r>
          </m:sup>
        </m:sSubSup>
      </m:oMath>
      <w:r>
        <w:t xml:space="preserve">). The conditional R² 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 R² is only 0.078, but the conditional R² 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88"/>
    <w:bookmarkEnd w:id="89"/>
    <w:bookmarkStart w:id="94" w:name="predicting-p-uptake-p_up"/>
    <w:p>
      <w:pPr>
        <w:pStyle w:val="Heading3"/>
      </w:pPr>
      <w:r>
        <w:t xml:space="preserve">4.5.3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1" w:name="performance-of-standard-stp-methods-1"/>
    <w:p>
      <w:pPr>
        <w:pStyle w:val="Heading4"/>
      </w:pPr>
      <w:r>
        <w:t xml:space="preserve">4.5.3.1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 R² values confirm that these static tests, while statistically significant on their own, account for a very small fraction of the variability in P-uptake by crops.</w:t>
      </w:r>
    </w:p>
    <w:bookmarkEnd w:id="91"/>
    <w:bookmarkStart w:id="92" w:name="performance-of-the-kinetic-model-1"/>
    <w:p>
      <w:pPr>
        <w:pStyle w:val="Heading4"/>
      </w:pPr>
      <w:r>
        <w:t xml:space="preserve">4.5.3.2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92"/>
    <w:bookmarkStart w:id="93" w:name="dominance-of-site-and-year-effects"/>
    <w:p>
      <w:pPr>
        <w:pStyle w:val="Heading4"/>
      </w:pPr>
      <w:r>
        <w:t xml:space="preserve">4.5.3.3 Dominance of Site and Year Effects</w:t>
      </w:r>
    </w:p>
    <w:p>
      <w:pPr>
        <w:pStyle w:val="FirstParagraph"/>
      </w:pPr>
      <w:r>
        <w:t xml:space="preserve">As with the yield predictions, there is a vast difference between the marginal R² and conditional R² values across all P-uptake models. For example, the kinetic model’s marginal R² is only 0.064, but its conditional R² 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93"/>
    <w:bookmarkEnd w:id="94"/>
    <w:bookmarkStart w:id="99" w:name="predicting-p-balance-p_bal"/>
    <w:p>
      <w:pPr>
        <w:pStyle w:val="Heading3"/>
      </w:pPr>
      <w:r>
        <w:t xml:space="preserve">4.5.4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6" w:name="performance-of-the-kinetic-model-2"/>
    <w:p>
      <w:pPr>
        <w:pStyle w:val="Heading4"/>
      </w:pPr>
      <w:r>
        <w:t xml:space="preserve">4.5.4.1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96"/>
    <w:bookmarkStart w:id="97" w:name="performance-of-standard-stp-methods-2"/>
    <w:p>
      <w:pPr>
        <w:pStyle w:val="Heading4"/>
      </w:pPr>
      <w:r>
        <w:t xml:space="preserve">4.5.4.2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 R² 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97"/>
    <w:bookmarkStart w:id="98" w:name="interpreting-the-r²-discrepancy"/>
    <w:p>
      <w:pPr>
        <w:pStyle w:val="Heading4"/>
      </w:pPr>
      <w:r>
        <w:t xml:space="preserve">4.5.4.3 Interpreting the R² Discrepancy</w:t>
      </w:r>
    </w:p>
    <w:p>
      <w:pPr>
        <w:pStyle w:val="FirstParagraph"/>
      </w:pPr>
      <w:r>
        <w:t xml:space="preserve">The dramatic difference in performance is clear from the R² values. While the conditional R² for the STP models is high (around 0.81), their marginal R² 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 R² (0.572) and a high conditional R² (0.744). This demonstrates that the kinetic parameters are themselves powerful predictors, capturing a large portion of the variance that is independent of site and year effects.</w:t>
      </w:r>
    </w:p>
    <w:bookmarkEnd w:id="98"/>
    <w:bookmarkEnd w:id="99"/>
    <w:bookmarkEnd w:id="100"/>
    <w:bookmarkEnd w:id="101"/>
    <w:bookmarkStart w:id="103"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02"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rPr>
          <w:b/>
          <w:bCs/>
        </w:rPr>
        <w:t xml:space="preserve">)</w:t>
      </w:r>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rPr>
          <w:b/>
          <w:bCs/>
        </w:rPr>
        <w:t xml:space="preserve">)</w:t>
      </w:r>
      <w:r>
        <w:t xml:space="preserve"> </w:t>
      </w:r>
      <w:r>
        <w:t xml:space="preserve">and</w:t>
      </w:r>
      <w:r>
        <w:t xml:space="preserve"> </w:t>
      </w:r>
      <w:r>
        <w:rPr>
          <w:b/>
          <w:bCs/>
        </w:rPr>
        <w:t xml:space="preserve">P-uptake (</w:t>
      </w:r>
      <m:oMath>
        <m:sSub>
          <m:e>
            <m:r>
              <m:t>P</m:t>
            </m:r>
          </m:e>
          <m:sub>
            <m:r>
              <m:t>u</m:t>
            </m:r>
            <m:r>
              <m:t>p</m:t>
            </m:r>
          </m:sub>
        </m:sSub>
      </m:oMath>
      <w:r>
        <w:rPr>
          <w:b/>
          <w:bCs/>
        </w:rPr>
        <w:t xml:space="preserve">)</w:t>
      </w:r>
      <w:r>
        <w:t xml:space="preserve">, the STP models performed poorly, aligning with our initial expectations. Their predictive power dropped significantly, and they were overshadowed by the immense influence of site and year effects. This highlights a crucial limitation: while standard tests may be sufficient for managing a single field, they are inadequate for comparing or predicting productivity across diverse pedoclimatic landscapes, where other factors become far more important than the soil’s P capacity alone.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values were significantly influenced by factors like organic carbon and pH, as anticipated. This reinforces the understanding that STP measurements are not pure measures of P but are instead complex indices reflecting a combination of P status and overarching soil chemistry.</w:t>
      </w:r>
    </w:p>
    <w:bookmarkEnd w:id="102"/>
    <w:bookmarkEnd w:id="103"/>
    <w:bookmarkStart w:id="104" w:name="conclusion"/>
    <w:p>
      <w:pPr>
        <w:pStyle w:val="Heading1"/>
      </w:pPr>
      <w:r>
        <w:t xml:space="preserve">6. Conclusion</w:t>
      </w:r>
    </w:p>
    <w:bookmarkEnd w:id="104"/>
    <w:bookmarkStart w:id="105" w:name="acknowledgments"/>
    <w:p>
      <w:pPr>
        <w:pStyle w:val="Heading1"/>
      </w:pPr>
      <w:r>
        <w:t xml:space="preserve">7. Acknowledgments</w:t>
      </w:r>
    </w:p>
    <w:bookmarkEnd w:id="105"/>
    <w:bookmarkStart w:id="106" w:name="legal-disclosure"/>
    <w:p>
      <w:pPr>
        <w:pStyle w:val="Heading1"/>
      </w:pPr>
      <w:r>
        <w:t xml:space="preserve">8. Legal Disclosure</w:t>
      </w:r>
    </w:p>
    <w:p>
      <w:r>
        <w:br w:type="page"/>
      </w:r>
    </w:p>
    <w:bookmarkEnd w:id="106"/>
    <w:bookmarkStart w:id="170" w:name="references"/>
    <w:p>
      <w:pPr>
        <w:pStyle w:val="Heading1"/>
      </w:pPr>
      <w:r>
        <w:t xml:space="preserve">9. References</w:t>
      </w:r>
    </w:p>
    <w:bookmarkStart w:id="169" w:name="refs"/>
    <w:bookmarkStart w:id="108"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07">
        <w:r>
          <w:rPr>
            <w:rStyle w:val="Hyperlink"/>
          </w:rPr>
          <w:t xml:space="preserve">https://doi.org/10.1126/science.283.5410.2015</w:t>
        </w:r>
      </w:hyperlink>
    </w:p>
    <w:bookmarkEnd w:id="108"/>
    <w:bookmarkStart w:id="110"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09">
        <w:r>
          <w:rPr>
            <w:rStyle w:val="Hyperlink"/>
          </w:rPr>
          <w:t xml:space="preserve">https://doi.org/10.18637/jss.v067.i01</w:t>
        </w:r>
      </w:hyperlink>
    </w:p>
    <w:bookmarkEnd w:id="110"/>
    <w:bookmarkStart w:id="112"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1">
        <w:r>
          <w:rPr>
            <w:rStyle w:val="Hyperlink"/>
          </w:rPr>
          <w:t xml:space="preserve">https://doi.org/10.1071/CP13019</w:t>
        </w:r>
      </w:hyperlink>
    </w:p>
    <w:bookmarkEnd w:id="112"/>
    <w:bookmarkStart w:id="113"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3"/>
    <w:bookmarkStart w:id="114"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14"/>
    <w:bookmarkStart w:id="115"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15"/>
    <w:bookmarkStart w:id="117"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16">
        <w:r>
          <w:rPr>
            <w:rStyle w:val="Hyperlink"/>
          </w:rPr>
          <w:t xml:space="preserve">https://doi.org/10.1051/agro:19910908</w:t>
        </w:r>
      </w:hyperlink>
    </w:p>
    <w:bookmarkEnd w:id="117"/>
    <w:bookmarkStart w:id="11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18"/>
    <w:bookmarkStart w:id="11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19"/>
    <w:bookmarkStart w:id="121"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20">
        <w:r>
          <w:rPr>
            <w:rStyle w:val="Hyperlink"/>
          </w:rPr>
          <w:t xml:space="preserve">https://doi.org/10.2134/jeq2000.00472425002900010003x</w:t>
        </w:r>
      </w:hyperlink>
    </w:p>
    <w:bookmarkEnd w:id="121"/>
    <w:bookmarkStart w:id="12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22">
        <w:r>
          <w:rPr>
            <w:rStyle w:val="Hyperlink"/>
          </w:rPr>
          <w:t xml:space="preserve">https://doi.org/10.1097/SS.0b013e3181f26a1d</w:t>
        </w:r>
      </w:hyperlink>
    </w:p>
    <w:bookmarkEnd w:id="123"/>
    <w:bookmarkStart w:id="12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24">
        <w:r>
          <w:rPr>
            <w:rStyle w:val="Hyperlink"/>
          </w:rPr>
          <w:t xml:space="preserve">https://doi.org/10.1023/A:1013339317511</w:t>
        </w:r>
      </w:hyperlink>
    </w:p>
    <w:bookmarkEnd w:id="125"/>
    <w:bookmarkStart w:id="12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26">
        <w:r>
          <w:rPr>
            <w:rStyle w:val="Hyperlink"/>
          </w:rPr>
          <w:t xml:space="preserve">https://doi.org/10.1007/s13280-017-0987-9</w:t>
        </w:r>
      </w:hyperlink>
    </w:p>
    <w:bookmarkEnd w:id="127"/>
    <w:bookmarkStart w:id="12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28">
        <w:r>
          <w:rPr>
            <w:rStyle w:val="Hyperlink"/>
          </w:rPr>
          <w:t xml:space="preserve">https://doi.org/10.1016/j.scitotenv.2020.143453</w:t>
        </w:r>
      </w:hyperlink>
    </w:p>
    <w:bookmarkEnd w:id="129"/>
    <w:bookmarkStart w:id="13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30">
        <w:r>
          <w:rPr>
            <w:rStyle w:val="Hyperlink"/>
          </w:rPr>
          <w:t xml:space="preserve">https://doi.org/10.1016/j.agee.2020.107270</w:t>
        </w:r>
      </w:hyperlink>
    </w:p>
    <w:bookmarkEnd w:id="131"/>
    <w:bookmarkStart w:id="13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32">
        <w:r>
          <w:rPr>
            <w:rStyle w:val="Hyperlink"/>
          </w:rPr>
          <w:t xml:space="preserve">https://doi.org/10.1071/S96047</w:t>
        </w:r>
      </w:hyperlink>
    </w:p>
    <w:bookmarkEnd w:id="133"/>
    <w:bookmarkStart w:id="13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34">
        <w:r>
          <w:rPr>
            <w:rStyle w:val="Hyperlink"/>
          </w:rPr>
          <w:t xml:space="preserve">https://doi.org/10.1100/tsw.2001.272</w:t>
        </w:r>
      </w:hyperlink>
    </w:p>
    <w:bookmarkEnd w:id="135"/>
    <w:bookmarkStart w:id="13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36">
        <w:r>
          <w:rPr>
            <w:rStyle w:val="Hyperlink"/>
          </w:rPr>
          <w:t xml:space="preserve">https://doi.org/10.1007/s11368-012-0498-8</w:t>
        </w:r>
      </w:hyperlink>
    </w:p>
    <w:bookmarkEnd w:id="137"/>
    <w:bookmarkStart w:id="13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38">
        <w:r>
          <w:rPr>
            <w:rStyle w:val="Hyperlink"/>
          </w:rPr>
          <w:t xml:space="preserve">https://doi.org/10.18637/jss.v082.i13</w:t>
        </w:r>
      </w:hyperlink>
    </w:p>
    <w:bookmarkEnd w:id="139"/>
    <w:bookmarkStart w:id="14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40">
        <w:r>
          <w:rPr>
            <w:rStyle w:val="Hyperlink"/>
          </w:rPr>
          <w:t xml:space="preserve">https://doi.org/10.21105/joss.01903</w:t>
        </w:r>
      </w:hyperlink>
    </w:p>
    <w:bookmarkEnd w:id="141"/>
    <w:bookmarkStart w:id="14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42">
        <w:r>
          <w:rPr>
            <w:rStyle w:val="Hyperlink"/>
          </w:rPr>
          <w:t xml:space="preserve">https://doi.org/10.2134/jeq2001.302508x</w:t>
        </w:r>
      </w:hyperlink>
    </w:p>
    <w:bookmarkEnd w:id="143"/>
    <w:bookmarkStart w:id="14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44"/>
    <w:bookmarkStart w:id="14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45">
        <w:r>
          <w:rPr>
            <w:rStyle w:val="Hyperlink"/>
          </w:rPr>
          <w:t xml:space="preserve">https://ods.od.nih.gov/factsheets/Phosphorus-HealthProfessional/</w:t>
        </w:r>
      </w:hyperlink>
    </w:p>
    <w:bookmarkEnd w:id="146"/>
    <w:bookmarkStart w:id="14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47"/>
    <w:bookmarkStart w:id="14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48"/>
    <w:bookmarkStart w:id="150"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49">
        <w:r>
          <w:rPr>
            <w:rStyle w:val="Hyperlink"/>
          </w:rPr>
          <w:t xml:space="preserve">https://CRAN.R-project.org/package=nlme</w:t>
        </w:r>
      </w:hyperlink>
    </w:p>
    <w:bookmarkEnd w:id="150"/>
    <w:bookmarkStart w:id="152"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51">
        <w:r>
          <w:rPr>
            <w:rStyle w:val="Hyperlink"/>
          </w:rPr>
          <w:t xml:space="preserve">https://www.R-project.org/</w:t>
        </w:r>
      </w:hyperlink>
    </w:p>
    <w:bookmarkEnd w:id="152"/>
    <w:bookmarkStart w:id="153"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53"/>
    <w:bookmarkStart w:id="155" w:name="ref-Rowe2016LegacyP"/>
    <w:p>
      <w:pPr>
        <w:pStyle w:val="Bibliography"/>
      </w:pPr>
      <w:r>
        <w:t xml:space="preserve">Rowe, H., Withers, P. J. A., Baas, P., Chan, N. P., Doody, M., Holiman, J., Jacobs, B., Li, H., MacKay, R. T. E. M., O’Dwyer, M. D. C. P., O’Keeffe, M. G., O’Rourke, G. F. S. F. T. G. T., Rafferty, S. M., &amp; Carton, O. T. (2016). Integrating legacy soil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 393–412.</w:t>
      </w:r>
      <w:r>
        <w:t xml:space="preserve"> </w:t>
      </w:r>
      <w:hyperlink r:id="rId154">
        <w:r>
          <w:rPr>
            <w:rStyle w:val="Hyperlink"/>
          </w:rPr>
          <w:t xml:space="preserve">https://doi.org/10.1007/s10705-015-9726-1</w:t>
        </w:r>
      </w:hyperlink>
    </w:p>
    <w:bookmarkEnd w:id="155"/>
    <w:bookmarkStart w:id="156"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56"/>
    <w:bookmarkStart w:id="158"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57">
        <w:r>
          <w:rPr>
            <w:rStyle w:val="Hyperlink"/>
          </w:rPr>
          <w:t xml:space="preserve">https://doi.org/10.2134/jeq2000.00472425002900010001x</w:t>
        </w:r>
      </w:hyperlink>
    </w:p>
    <w:bookmarkEnd w:id="158"/>
    <w:bookmarkStart w:id="160"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59">
        <w:r>
          <w:rPr>
            <w:rStyle w:val="Hyperlink"/>
          </w:rPr>
          <w:t xml:space="preserve">https://doi.org/10.2134/jeq2003.4210</w:t>
        </w:r>
      </w:hyperlink>
    </w:p>
    <w:bookmarkEnd w:id="160"/>
    <w:bookmarkStart w:id="162"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61">
        <w:r>
          <w:rPr>
            <w:rStyle w:val="Hyperlink"/>
          </w:rPr>
          <w:t xml:space="preserve">https://doi.org/10.2134/agronmonogr46</w:t>
        </w:r>
      </w:hyperlink>
    </w:p>
    <w:bookmarkEnd w:id="162"/>
    <w:bookmarkStart w:id="164"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63">
        <w:r>
          <w:rPr>
            <w:rStyle w:val="Hyperlink"/>
          </w:rPr>
          <w:t xml:space="preserve">https://doi.org/10.1016/B978-0-12-656446-4.50001-X</w:t>
        </w:r>
      </w:hyperlink>
    </w:p>
    <w:bookmarkEnd w:id="164"/>
    <w:bookmarkStart w:id="165"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65"/>
    <w:bookmarkStart w:id="166"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66"/>
    <w:bookmarkStart w:id="167"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67"/>
    <w:bookmarkStart w:id="168"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68"/>
    <w:bookmarkEnd w:id="169"/>
    <w:bookmarkEnd w:id="170"/>
    <w:bookmarkStart w:id="171" w:name="appendix"/>
    <w:p>
      <w:pPr>
        <w:pStyle w:val="Heading1"/>
      </w:pPr>
      <w:r>
        <w:t xml:space="preserve">10. Appendix</w:t>
      </w:r>
    </w:p>
    <w:bookmarkEnd w:id="171"/>
    <w:bookmarkStart w:id="172" w:name="supplements"/>
    <w:p>
      <w:pPr>
        <w:pStyle w:val="Heading1"/>
      </w:pPr>
      <w:r>
        <w:t xml:space="preserve">11. Supplements</w:t>
      </w:r>
    </w:p>
    <w:bookmarkEnd w:id="1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58" Target="media/rId58.pdf" /><Relationship Type="http://schemas.openxmlformats.org/officeDocument/2006/relationships/image" Id="rId62" Target="media/rId62.pd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hyperlink" Id="rId31" Target="https://Andrapodon.github.io/Master-Thesis-P-kinetics/index.qmd.html" TargetMode="External" /><Relationship Type="http://schemas.openxmlformats.org/officeDocument/2006/relationships/hyperlink" Id="rId149" Target="https://CRAN.R-project.org/package=nlme" TargetMode="External" /><Relationship Type="http://schemas.openxmlformats.org/officeDocument/2006/relationships/hyperlink" Id="rId154" Target="https://doi.org/10.1007/s10705-015-9726-1" TargetMode="External" /><Relationship Type="http://schemas.openxmlformats.org/officeDocument/2006/relationships/hyperlink" Id="rId136" Target="https://doi.org/10.1007/s11368-012-0498-8" TargetMode="External" /><Relationship Type="http://schemas.openxmlformats.org/officeDocument/2006/relationships/hyperlink" Id="rId126" Target="https://doi.org/10.1007/s13280-017-0987-9" TargetMode="External" /><Relationship Type="http://schemas.openxmlformats.org/officeDocument/2006/relationships/hyperlink" Id="rId163" Target="https://doi.org/10.1016/B978-0-12-656446-4.50001-X" TargetMode="External" /><Relationship Type="http://schemas.openxmlformats.org/officeDocument/2006/relationships/hyperlink" Id="rId130" Target="https://doi.org/10.1016/j.agee.2020.107270" TargetMode="External" /><Relationship Type="http://schemas.openxmlformats.org/officeDocument/2006/relationships/hyperlink" Id="rId128" Target="https://doi.org/10.1016/j.scitotenv.2020.143453" TargetMode="External" /><Relationship Type="http://schemas.openxmlformats.org/officeDocument/2006/relationships/hyperlink" Id="rId124" Target="https://doi.org/10.1023/A:1013339317511" TargetMode="External" /><Relationship Type="http://schemas.openxmlformats.org/officeDocument/2006/relationships/hyperlink" Id="rId116" Target="https://doi.org/10.1051/agro:19910908" TargetMode="External" /><Relationship Type="http://schemas.openxmlformats.org/officeDocument/2006/relationships/hyperlink" Id="rId111" Target="https://doi.org/10.1071/CP13019" TargetMode="External" /><Relationship Type="http://schemas.openxmlformats.org/officeDocument/2006/relationships/hyperlink" Id="rId132" Target="https://doi.org/10.1071/S96047" TargetMode="External" /><Relationship Type="http://schemas.openxmlformats.org/officeDocument/2006/relationships/hyperlink" Id="rId122" Target="https://doi.org/10.1097/SS.0b013e3181f26a1d" TargetMode="External" /><Relationship Type="http://schemas.openxmlformats.org/officeDocument/2006/relationships/hyperlink" Id="rId134" Target="https://doi.org/10.1100/tsw.2001.272" TargetMode="External" /><Relationship Type="http://schemas.openxmlformats.org/officeDocument/2006/relationships/hyperlink" Id="rId107" Target="https://doi.org/10.1126/science.283.5410.2015" TargetMode="External" /><Relationship Type="http://schemas.openxmlformats.org/officeDocument/2006/relationships/hyperlink" Id="rId109" Target="https://doi.org/10.18637/jss.v067.i01" TargetMode="External" /><Relationship Type="http://schemas.openxmlformats.org/officeDocument/2006/relationships/hyperlink" Id="rId138" Target="https://doi.org/10.18637/jss.v082.i13" TargetMode="External" /><Relationship Type="http://schemas.openxmlformats.org/officeDocument/2006/relationships/hyperlink" Id="rId140" Target="https://doi.org/10.21105/joss.01903" TargetMode="External" /><Relationship Type="http://schemas.openxmlformats.org/officeDocument/2006/relationships/hyperlink" Id="rId161" Target="https://doi.org/10.2134/agronmonogr46" TargetMode="External" /><Relationship Type="http://schemas.openxmlformats.org/officeDocument/2006/relationships/hyperlink" Id="rId157" Target="https://doi.org/10.2134/jeq2000.00472425002900010001x" TargetMode="External" /><Relationship Type="http://schemas.openxmlformats.org/officeDocument/2006/relationships/hyperlink" Id="rId120" Target="https://doi.org/10.2134/jeq2000.00472425002900010003x" TargetMode="External" /><Relationship Type="http://schemas.openxmlformats.org/officeDocument/2006/relationships/hyperlink" Id="rId142" Target="https://doi.org/10.2134/jeq2001.302508x" TargetMode="External" /><Relationship Type="http://schemas.openxmlformats.org/officeDocument/2006/relationships/hyperlink" Id="rId159" Target="https://doi.org/10.2134/jeq2003.4210" TargetMode="External" /><Relationship Type="http://schemas.openxmlformats.org/officeDocument/2006/relationships/hyperlink" Id="rId145" Target="https://ods.od.nih.gov/factsheets/Phosphorus-HealthProfessional/" TargetMode="External" /><Relationship Type="http://schemas.openxmlformats.org/officeDocument/2006/relationships/hyperlink" Id="rId15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49" Target="https://CRAN.R-project.org/package=nlme" TargetMode="External" /><Relationship Type="http://schemas.openxmlformats.org/officeDocument/2006/relationships/hyperlink" Id="rId154" Target="https://doi.org/10.1007/s10705-015-9726-1" TargetMode="External" /><Relationship Type="http://schemas.openxmlformats.org/officeDocument/2006/relationships/hyperlink" Id="rId136" Target="https://doi.org/10.1007/s11368-012-0498-8" TargetMode="External" /><Relationship Type="http://schemas.openxmlformats.org/officeDocument/2006/relationships/hyperlink" Id="rId126" Target="https://doi.org/10.1007/s13280-017-0987-9" TargetMode="External" /><Relationship Type="http://schemas.openxmlformats.org/officeDocument/2006/relationships/hyperlink" Id="rId163" Target="https://doi.org/10.1016/B978-0-12-656446-4.50001-X" TargetMode="External" /><Relationship Type="http://schemas.openxmlformats.org/officeDocument/2006/relationships/hyperlink" Id="rId130" Target="https://doi.org/10.1016/j.agee.2020.107270" TargetMode="External" /><Relationship Type="http://schemas.openxmlformats.org/officeDocument/2006/relationships/hyperlink" Id="rId128" Target="https://doi.org/10.1016/j.scitotenv.2020.143453" TargetMode="External" /><Relationship Type="http://schemas.openxmlformats.org/officeDocument/2006/relationships/hyperlink" Id="rId124" Target="https://doi.org/10.1023/A:1013339317511" TargetMode="External" /><Relationship Type="http://schemas.openxmlformats.org/officeDocument/2006/relationships/hyperlink" Id="rId116" Target="https://doi.org/10.1051/agro:19910908" TargetMode="External" /><Relationship Type="http://schemas.openxmlformats.org/officeDocument/2006/relationships/hyperlink" Id="rId111" Target="https://doi.org/10.1071/CP13019" TargetMode="External" /><Relationship Type="http://schemas.openxmlformats.org/officeDocument/2006/relationships/hyperlink" Id="rId132" Target="https://doi.org/10.1071/S96047" TargetMode="External" /><Relationship Type="http://schemas.openxmlformats.org/officeDocument/2006/relationships/hyperlink" Id="rId122" Target="https://doi.org/10.1097/SS.0b013e3181f26a1d" TargetMode="External" /><Relationship Type="http://schemas.openxmlformats.org/officeDocument/2006/relationships/hyperlink" Id="rId134" Target="https://doi.org/10.1100/tsw.2001.272" TargetMode="External" /><Relationship Type="http://schemas.openxmlformats.org/officeDocument/2006/relationships/hyperlink" Id="rId107" Target="https://doi.org/10.1126/science.283.5410.2015" TargetMode="External" /><Relationship Type="http://schemas.openxmlformats.org/officeDocument/2006/relationships/hyperlink" Id="rId109" Target="https://doi.org/10.18637/jss.v067.i01" TargetMode="External" /><Relationship Type="http://schemas.openxmlformats.org/officeDocument/2006/relationships/hyperlink" Id="rId138" Target="https://doi.org/10.18637/jss.v082.i13" TargetMode="External" /><Relationship Type="http://schemas.openxmlformats.org/officeDocument/2006/relationships/hyperlink" Id="rId140" Target="https://doi.org/10.21105/joss.01903" TargetMode="External" /><Relationship Type="http://schemas.openxmlformats.org/officeDocument/2006/relationships/hyperlink" Id="rId161" Target="https://doi.org/10.2134/agronmonogr46" TargetMode="External" /><Relationship Type="http://schemas.openxmlformats.org/officeDocument/2006/relationships/hyperlink" Id="rId157" Target="https://doi.org/10.2134/jeq2000.00472425002900010001x" TargetMode="External" /><Relationship Type="http://schemas.openxmlformats.org/officeDocument/2006/relationships/hyperlink" Id="rId120" Target="https://doi.org/10.2134/jeq2000.00472425002900010003x" TargetMode="External" /><Relationship Type="http://schemas.openxmlformats.org/officeDocument/2006/relationships/hyperlink" Id="rId142" Target="https://doi.org/10.2134/jeq2001.302508x" TargetMode="External" /><Relationship Type="http://schemas.openxmlformats.org/officeDocument/2006/relationships/hyperlink" Id="rId159" Target="https://doi.org/10.2134/jeq2003.4210" TargetMode="External" /><Relationship Type="http://schemas.openxmlformats.org/officeDocument/2006/relationships/hyperlink" Id="rId145" Target="https://ods.od.nih.gov/factsheets/Phosphorus-HealthProfessional/" TargetMode="External" /><Relationship Type="http://schemas.openxmlformats.org/officeDocument/2006/relationships/hyperlink" Id="rId1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2025-09-09T19:29:41Z</dcterms:created>
  <dcterms:modified xsi:type="dcterms:W3CDTF">2025-09-09T19:29:41Z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