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5" w:name="introduction"/>
    <w:p>
      <w:pPr>
        <w:pStyle w:val="Heading1"/>
      </w:pPr>
      <w:r>
        <w:t xml:space="preserve">Introduction</w:t>
      </w:r>
    </w:p>
    <w:bookmarkStart w:id="22" w:name="the-complexity-of-phosphorus"/>
    <w:p>
      <w:pPr>
        <w:pStyle w:val="Heading2"/>
      </w:pPr>
      <w:r>
        <w:t xml:space="preserve">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bookmarkEnd w:id="22"/>
    <w:bookmarkStart w:id="23" w:name="X90347e8b4dc365a5eb8cb51b623f41ad652a9ff"/>
    <w:p>
      <w:pPr>
        <w:pStyle w:val="Heading2"/>
      </w:pPr>
      <w:r>
        <w:t xml:space="preserve">From Static Measurements to Dynamic Understanding</w:t>
      </w:r>
    </w:p>
    <w:p>
      <w:pPr>
        <w:pStyle w:val="FirstParagraph"/>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3"/>
    <w:bookmarkStart w:id="24" w:name="objectives-and-research-questions"/>
    <w:p>
      <w:pPr>
        <w:pStyle w:val="Heading2"/>
      </w:pPr>
      <w:r>
        <w:t xml:space="preserve">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p>
          <m:e>
            <m:r>
              <m:t>P</m:t>
            </m:r>
          </m:e>
          <m:sup>
            <m:r>
              <m:t>S</m:t>
            </m:r>
          </m:sup>
        </m:sSup>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4"/>
    <w:bookmarkEnd w:id="25"/>
    <w:bookmarkStart w:id="39" w:name="materials-and-methods"/>
    <w:p>
      <w:pPr>
        <w:pStyle w:val="Heading1"/>
      </w:pPr>
      <w:r>
        <w:t xml:space="preserve">Materials and Methods</w:t>
      </w:r>
    </w:p>
    <w:bookmarkStart w:id="26"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6"/>
    <w:bookmarkStart w:id="29"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7"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9"/>
    <w:bookmarkStart w:id="32"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30"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30"/>
    <w:bookmarkStart w:id="31"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bookmarkEnd w:id="31"/>
    <w:bookmarkEnd w:id="32"/>
    <w:bookmarkStart w:id="38" w:name="statistical-analysis"/>
    <w:p>
      <w:pPr>
        <w:pStyle w:val="Heading2"/>
      </w:pPr>
      <w:r>
        <w:t xml:space="preserve">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3" w:name="modeling-of-desorption-kinetics"/>
    <w:p>
      <w:pPr>
        <w:pStyle w:val="Heading3"/>
      </w:pPr>
      <w:r>
        <w:t xml:space="preserve">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p>
          <m:e>
            <m:r>
              <m:t>P</m:t>
            </m:r>
          </m:e>
          <m:sup>
            <m:r>
              <m:t>S</m:t>
            </m:r>
          </m:sup>
        </m:sSup>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p>
            <m:e>
              <m:r>
                <m:t>P</m:t>
              </m:r>
            </m:e>
            <m:sup>
              <m:r>
                <m:t>S</m:t>
              </m:r>
            </m:sup>
          </m:sSup>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endChr m:val=")"/>
            <m:sep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p>
          <m:e>
            <m:r>
              <m:t>P</m:t>
            </m:r>
          </m:e>
          <m:sup>
            <m:r>
              <m:t>S</m:t>
            </m:r>
          </m:sup>
        </m:sSup>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3"/>
    <w:bookmarkStart w:id="37" w:name="modeling-of-agronomic-responses"/>
    <w:p>
      <w:pPr>
        <w:pStyle w:val="Heading3"/>
      </w:pPr>
      <w:r>
        <w:t xml:space="preserve">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5" w:name="variables-used-in-the-models"/>
    <w:p>
      <w:pPr>
        <w:pStyle w:val="Heading4"/>
      </w:pPr>
      <w:r>
        <w:t xml:space="preserve">Variables Used in the Models</w:t>
      </w:r>
    </w:p>
    <w:p>
      <w:pPr>
        <w:pStyle w:val="FirstParagraph"/>
      </w:pPr>
      <w:r>
        <w:t xml:space="preserve">The response and predictor variables used in the linear mixed-effects models are defined in the table below. Several predictors were log-transformed to improve linearity and meet model assumptions.</w:t>
      </w:r>
    </w:p>
    <w:tbl>
      <w:tblPr>
        <w:tblStyle w:val="Table"/>
        <w:tblW w:type="pct" w:w="5000"/>
        <w:tblLayout w:type="fixed"/>
        <w:tblLook w:firstRow="0" w:lastRow="0" w:firstColumn="0" w:lastColumn="0" w:noHBand="0" w:noVBand="0" w:val="0000"/>
      </w:tblPr>
      <w:tblGrid>
        <w:gridCol w:w="7920"/>
      </w:tblGrid>
      <w:tr>
        <w:tc>
          <w:tcPr/>
          <w:bookmarkStart w:id="34" w:name="tbl-variables"/>
          <w:p>
            <w:pPr>
              <w:jc w:val="center"/>
            </w:pPr>
            <w:pPr>
              <w:jc w:val="start"/>
              <w:spacing w:before="200"/>
              <w:pStyle w:val="ImageCaption"/>
            </w:pPr>
            <w:r>
              <w:t xml:space="preserve">Table 2: Description of response and predictor variables used in the agronomic models.</w:t>
            </w:r>
          </w:p>
          <w:tbl>
            <w:tblPr>
              <w:tblStyle w:val="Table"/>
              <w:tblW w:type="pct" w:w="5000"/>
              <w:tblLayout w:type="fixed"/>
              <w:tblLook w:firstRow="1" w:lastRow="0" w:firstColumn="0" w:lastColumn="0" w:noHBand="0" w:noVBand="0" w:val="0020"/>
            </w:tblPr>
            <w:tblGrid>
              <w:gridCol w:w="864"/>
              <w:gridCol w:w="455"/>
              <w:gridCol w:w="6600"/>
            </w:tblGrid>
            <w:tr>
              <w:trPr>
                <w:tblHeader w:val="on"/>
              </w:trPr>
              <w:tc>
                <w:tcPr/>
                <w:p>
                  <w:pPr>
                    <w:pStyle w:val="Compact"/>
                    <w:jc w:val="left"/>
                    <w:jc w:val="center"/>
                  </w:pPr>
                  <w:r>
                    <w:t xml:space="preserve">Variable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w:r>
                    <w:rPr>
                      <w:rStyle w:val="VerbatimChar"/>
                    </w:rPr>
                    <w:t xml:space="preserve">Y_norm</w:t>
                  </w:r>
                </w:p>
              </w:tc>
              <w:tc>
                <w:tcPr/>
                <w:p>
                  <w:pPr>
                    <w:pStyle w:val="Compact"/>
                    <w:jc w:val="left"/>
                    <w:jc w:val="center"/>
                  </w:pPr>
                  <w:r>
                    <w:t xml:space="preserve">Response</w:t>
                  </w:r>
                </w:p>
              </w:tc>
              <w:tc>
                <w:tcPr/>
                <w:p>
                  <w:pPr>
                    <w:pStyle w:val="Compact"/>
                    <w:jc w:val="left"/>
                    <w:jc w:val="center"/>
                  </w:pPr>
                  <w:r>
                    <w:t xml:space="preserve">Normalized crop yield, calculated as the plot yield divided by the site-specific median yield of the highest P treatment for that year and crop.</w:t>
                  </w:r>
                </w:p>
              </w:tc>
            </w:tr>
            <w:tr>
              <w:tc>
                <w:tcPr/>
                <w:p>
                  <w:pPr>
                    <w:pStyle w:val="Compact"/>
                    <w:jc w:val="left"/>
                    <w:jc w:val="center"/>
                  </w:pPr>
                  <w:r>
                    <w:rPr>
                      <w:rStyle w:val="VerbatimChar"/>
                    </w:rPr>
                    <w:t xml:space="preserve">annual_P_uptake</w:t>
                  </w:r>
                </w:p>
              </w:tc>
              <w:tc>
                <w:tcPr/>
                <w:p>
                  <w:pPr>
                    <w:pStyle w:val="Compact"/>
                    <w:jc w:val="left"/>
                    <w:jc w:val="center"/>
                  </w:pPr>
                  <w:r>
                    <w:t xml:space="preserve">Response</w:t>
                  </w:r>
                </w:p>
              </w:tc>
              <w:tc>
                <w:tcPr/>
                <w:p>
                  <w:pPr>
                    <w:pStyle w:val="Compact"/>
                    <w:jc w:val="left"/>
                    <w:jc w:val="center"/>
                  </w:pPr>
                  <w:r>
                    <w:t xml:space="preserve">Total phosphorus taken up by the harvested crop biomass over a growing season (kg P ha⁻¹).</w:t>
                  </w:r>
                </w:p>
              </w:tc>
            </w:tr>
            <w:tr>
              <w:tc>
                <w:tcPr/>
                <w:p>
                  <w:pPr>
                    <w:pStyle w:val="Compact"/>
                    <w:jc w:val="left"/>
                    <w:jc w:val="center"/>
                  </w:pPr>
                  <w:r>
                    <w:rPr>
                      <w:rStyle w:val="VerbatimChar"/>
                    </w:rPr>
                    <w:t xml:space="preserve">annual_P_balance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by harvest) (kg P ha⁻¹).</w:t>
                  </w:r>
                </w:p>
              </w:tc>
            </w:tr>
            <w:tr>
              <w:tc>
                <w:tcPr/>
                <w:p>
                  <w:pPr>
                    <w:pStyle w:val="Compact"/>
                    <w:jc w:val="left"/>
                    <w:jc w:val="center"/>
                  </w:pPr>
                  <w:r>
                    <w:rPr>
                      <w:rStyle w:val="VerbatimChar"/>
                    </w:rPr>
                    <w:t xml:space="preserve">k</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w:r>
                    <w:rPr>
                      <w:rStyle w:val="VerbatimChar"/>
                    </w:rPr>
                    <w:t xml:space="preserve">PS</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w:r>
                    <w:rPr>
                      <w:rStyle w:val="VerbatimChar"/>
                    </w:rPr>
                    <w:t xml:space="preserve">kPS</w:t>
                  </w:r>
                </w:p>
              </w:tc>
              <w:tc>
                <w:tcPr/>
                <w:p>
                  <w:pPr>
                    <w:pStyle w:val="Compact"/>
                    <w:jc w:val="left"/>
                    <w:jc w:val="center"/>
                  </w:pPr>
                  <w:r>
                    <w:t xml:space="preserve">Predictor</w:t>
                  </w:r>
                </w:p>
              </w:tc>
              <w:tc>
                <w:tcPr/>
                <w:p>
                  <w:pPr>
                    <w:pStyle w:val="Compact"/>
                    <w:jc w:val="left"/>
                    <w:jc w:val="center"/>
                  </w:pPr>
                  <w:r>
                    <w:t xml:space="preserve">Product of</w:t>
                  </w:r>
                  <w:r>
                    <w:t xml:space="preserve"> </w:t>
                  </w:r>
                  <w:r>
                    <w:rPr>
                      <w:rStyle w:val="VerbatimChar"/>
                    </w:rPr>
                    <w:t xml:space="preserve">k</w:t>
                  </w:r>
                  <w:r>
                    <w:t xml:space="preserve"> </w:t>
                  </w:r>
                  <w:r>
                    <w:t xml:space="preserve">and</w:t>
                  </w:r>
                  <w:r>
                    <w:t xml:space="preserve"> </w:t>
                  </w:r>
                  <w:r>
                    <w:rPr>
                      <w:rStyle w:val="VerbatimChar"/>
                    </w:rPr>
                    <w:t xml:space="preserve">PS</w:t>
                  </w:r>
                  <w:r>
                    <w:t xml:space="preserve">, representing the initial flux of P from the soil.</w:t>
                  </w:r>
                </w:p>
              </w:tc>
            </w:tr>
            <w:tr>
              <w:tc>
                <w:tcPr/>
                <w:p>
                  <w:pPr>
                    <w:pStyle w:val="Compact"/>
                    <w:jc w:val="left"/>
                    <w:jc w:val="center"/>
                  </w:pPr>
                  <w:r>
                    <w:rPr>
                      <w:rStyle w:val="VerbatimChar"/>
                    </w:rPr>
                    <w:t xml:space="preserve">P_CO2</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w:r>
                    <w:rPr>
                      <w:rStyle w:val="VerbatimChar"/>
                    </w:rPr>
                    <w:t xml:space="preserve">P_AAE10</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4"/>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35"/>
    <w:bookmarkStart w:id="36" w:name="linear-mixed-effects-model-structure"/>
    <w:p>
      <w:pPr>
        <w:pStyle w:val="Heading4"/>
      </w:pPr>
      <w:r>
        <w:t xml:space="preserve">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w:r>
        <w:rPr>
          <w:rStyle w:val="VerbatimChar"/>
        </w:rPr>
        <w:t xml:space="preserve">k</w:t>
      </w:r>
      <w:r>
        <w:t xml:space="preserve">,</w:t>
      </w:r>
      <w:r>
        <w:t xml:space="preserve"> </w:t>
      </w:r>
      <w:r>
        <w:rPr>
          <w:rStyle w:val="VerbatimChar"/>
        </w:rPr>
        <w:t xml:space="preserve">PS</w:t>
      </w:r>
      <w:r>
        <w:t xml:space="preserve">,</w:t>
      </w:r>
      <w:r>
        <w:t xml:space="preserve"> </w:t>
      </w:r>
      <w:r>
        <w:rPr>
          <w:rStyle w:val="VerbatimChar"/>
        </w:rPr>
        <w:t xml:space="preserve">kPS</w:t>
      </w:r>
      <w:r>
        <w:t xml:space="preserve">) and the standard soil P tests (</w:t>
      </w:r>
      <w:r>
        <w:rPr>
          <w:rStyle w:val="VerbatimChar"/>
        </w:rPr>
        <w:t xml:space="preserve">P_CO2</w:t>
      </w:r>
      <w:r>
        <w:t xml:space="preserve">,</w:t>
      </w:r>
      <w:r>
        <w:t xml:space="preserve"> </w:t>
      </w:r>
      <w:r>
        <w:rPr>
          <w:rStyle w:val="VerbatimChar"/>
        </w:rPr>
        <w:t xml:space="preserve">P_AAE10</w:t>
      </w:r>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6"/>
    <w:bookmarkEnd w:id="37"/>
    <w:bookmarkEnd w:id="38"/>
    <w:bookmarkEnd w:id="39"/>
    <w:bookmarkStart w:id="40" w:name="results"/>
    <w:p>
      <w:pPr>
        <w:pStyle w:val="Heading1"/>
      </w:pPr>
      <w:r>
        <w:t xml:space="preserve">Results</w:t>
      </w:r>
    </w:p>
    <w:bookmarkEnd w:id="40"/>
    <w:bookmarkStart w:id="41" w:name="discussion"/>
    <w:p>
      <w:pPr>
        <w:pStyle w:val="Heading1"/>
      </w:pPr>
      <w:r>
        <w:t xml:space="preserve">Discussion</w:t>
      </w:r>
    </w:p>
    <w:bookmarkEnd w:id="41"/>
    <w:bookmarkStart w:id="42" w:name="conclusion"/>
    <w:p>
      <w:pPr>
        <w:pStyle w:val="Heading1"/>
      </w:pPr>
      <w:r>
        <w:t xml:space="preserve">Conclusion</w:t>
      </w:r>
    </w:p>
    <w:bookmarkEnd w:id="42"/>
    <w:bookmarkStart w:id="43" w:name="acknowledgments"/>
    <w:p>
      <w:pPr>
        <w:pStyle w:val="Heading1"/>
      </w:pPr>
      <w:r>
        <w:t xml:space="preserve">Acknowledgments</w:t>
      </w:r>
    </w:p>
    <w:bookmarkEnd w:id="43"/>
    <w:bookmarkStart w:id="44" w:name="legal-disclosure"/>
    <w:p>
      <w:pPr>
        <w:pStyle w:val="Heading1"/>
      </w:pPr>
      <w:r>
        <w:t xml:space="preserve">Legal Disclosure</w:t>
      </w:r>
    </w:p>
    <w:bookmarkEnd w:id="44"/>
    <w:bookmarkStart w:id="48" w:name="references"/>
    <w:p>
      <w:pPr>
        <w:pStyle w:val="Heading1"/>
      </w:pPr>
      <w:r>
        <w:t xml:space="preserve">References</w:t>
      </w:r>
    </w:p>
    <w:bookmarkStart w:id="47" w:name="refs"/>
    <w:bookmarkStart w:id="46"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5">
        <w:r>
          <w:rPr>
            <w:rStyle w:val="Hyperlink"/>
          </w:rPr>
          <w:t xml:space="preserve">https://doi.org/10.1093/comjnl/27.2.97</w:t>
        </w:r>
      </w:hyperlink>
      <w:r>
        <w:t xml:space="preserve">.</w:t>
      </w:r>
    </w:p>
    <w:bookmarkEnd w:id="46"/>
    <w:bookmarkEnd w:id="47"/>
    <w:bookmarkEnd w:id="48"/>
    <w:bookmarkStart w:id="49" w:name="appendix"/>
    <w:p>
      <w:pPr>
        <w:pStyle w:val="Heading1"/>
      </w:pPr>
      <w:r>
        <w:t xml:space="preserve">Appendix</w:t>
      </w:r>
    </w:p>
    <w:bookmarkEnd w:id="49"/>
    <w:bookmarkStart w:id="50" w:name="supplements"/>
    <w:p>
      <w:pPr>
        <w:pStyle w:val="Heading1"/>
      </w:pPr>
      <w:r>
        <w:t xml:space="preserve">Supplements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ndrapodon.github.io/Master-Thesis-P-kinetics/index.qmd.html" TargetMode="External" /><Relationship Type="http://schemas.openxmlformats.org/officeDocument/2006/relationships/hyperlink" Id="rId45"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8" Target="https://Andrapodon.github.io/Master-Thesis-P-kinetics/index.qmd.html" TargetMode="External" /><Relationship Type="http://schemas.openxmlformats.org/officeDocument/2006/relationships/hyperlink" Id="rId45"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2025-08-28T10:44:24Z</dcterms:created>
  <dcterms:modified xsi:type="dcterms:W3CDTF">2025-08-28T10:44:24Z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