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5.png" ContentType="image/png"/>
  <Override PartName="/word/media/rId59.png" ContentType="image/png"/>
  <Override PartName="/word/media/rId90.png" ContentType="image/png"/>
  <Override PartName="/word/media/rId94.png" ContentType="image/png"/>
  <Override PartName="/word/media/rId42.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4" w:name="introduction"/>
    <w:p>
      <w:pPr>
        <w:pStyle w:val="Heading1"/>
      </w:pPr>
      <w:r>
        <w:t xml:space="preserve">Introduction</w:t>
      </w:r>
    </w:p>
    <w:bookmarkStart w:id="22" w:name="the-complexity-of-phosphorus"/>
    <w:p>
      <w:pPr>
        <w:pStyle w:val="Heading2"/>
      </w:pPr>
      <w:r>
        <w:t xml:space="preserve">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r>
        <w:t xml:space="preserve"> </w:t>
      </w:r>
      <w:r>
        <w:t xml:space="preserve">## From Static Measurements to Dynamic Understanding</w:t>
      </w:r>
    </w:p>
    <w:p>
      <w:pPr>
        <w:pStyle w:val="BodyText"/>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41" w:name="materials-and-methods"/>
    <w:p>
      <w:pPr>
        <w:pStyle w:val="Heading1"/>
      </w:pPr>
      <w:r>
        <w:t xml:space="preserve">Materials and Methods</w:t>
      </w:r>
    </w:p>
    <w:bookmarkStart w:id="25"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4"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3"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p>
      <w:pPr>
        <w:pStyle w:val="CaptionedFigure"/>
      </w:pPr>
      <w:r>
        <w:drawing>
          <wp:inline>
            <wp:extent cx="5334000" cy="4057897"/>
            <wp:effectExtent b="0" l="0" r="0" t="0"/>
            <wp:docPr descr="Flow-chart of the adapted Kinetik-experiment after Flossmann &amp; Richter." title="" id="31" name="Picture"/>
            <a:graphic>
              <a:graphicData uri="http://schemas.openxmlformats.org/drawingml/2006/picture">
                <pic:pic>
                  <pic:nvPicPr>
                    <pic:cNvPr descr="./experiment-flow.png" id="32" name="Picture"/>
                    <pic:cNvPicPr>
                      <a:picLocks noChangeArrowheads="1" noChangeAspect="1"/>
                    </pic:cNvPicPr>
                  </pic:nvPicPr>
                  <pic:blipFill>
                    <a:blip r:embed="rId30"/>
                    <a:stretch>
                      <a:fillRect/>
                    </a:stretch>
                  </pic:blipFill>
                  <pic:spPr bwMode="auto">
                    <a:xfrm>
                      <a:off x="0" y="0"/>
                      <a:ext cx="5334000" cy="4057897"/>
                    </a:xfrm>
                    <a:prstGeom prst="rect">
                      <a:avLst/>
                    </a:prstGeom>
                    <a:noFill/>
                    <a:ln w="9525">
                      <a:noFill/>
                      <a:headEnd/>
                      <a:tailEnd/>
                    </a:ln>
                  </pic:spPr>
                </pic:pic>
              </a:graphicData>
            </a:graphic>
          </wp:inline>
        </w:drawing>
      </w:r>
    </w:p>
    <w:p>
      <w:pPr>
        <w:pStyle w:val="ImageCaption"/>
      </w:pPr>
      <w:r>
        <w:t xml:space="preserve">Flow-chart of the adapted Kinetik-experiment after Flossmann &amp; Richter.</w:t>
      </w:r>
    </w:p>
    <w:bookmarkEnd w:id="33"/>
    <w:bookmarkEnd w:id="34"/>
    <w:bookmarkStart w:id="40" w:name="statistical-analysis"/>
    <w:p>
      <w:pPr>
        <w:pStyle w:val="Heading2"/>
      </w:pPr>
      <w:r>
        <w:t xml:space="preserve">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5" w:name="modeling-of-desorption-kinetics"/>
    <w:p>
      <w:pPr>
        <w:pStyle w:val="Heading3"/>
      </w:pPr>
      <w:r>
        <w:t xml:space="preserve">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b>
            <m:e>
              <m:r>
                <m:t>P</m:t>
              </m:r>
            </m:e>
            <m:sub>
              <m:r>
                <m:t>d</m:t>
              </m:r>
              <m:r>
                <m:t>e</m:t>
              </m:r>
              <m:r>
                <m:t>s</m:t>
              </m:r>
              <m:r>
                <m:t>o</m:t>
              </m:r>
              <m:r>
                <m:t>r</m:t>
              </m:r>
              <m:r>
                <m:t>b</m:t>
              </m:r>
            </m:sub>
          </m:sSub>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endChr m:val=")"/>
            <m:sep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5"/>
    <w:bookmarkStart w:id="39" w:name="modeling-of-agronomic-responses"/>
    <w:p>
      <w:pPr>
        <w:pStyle w:val="Heading3"/>
      </w:pPr>
      <w:r>
        <w:t xml:space="preserve">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7" w:name="variables-used-in-the-models"/>
    <w:p>
      <w:pPr>
        <w:pStyle w:val="Heading4"/>
      </w:pPr>
      <w:r>
        <w:t xml:space="preserve">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6"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7"/>
    <w:bookmarkStart w:id="38" w:name="linear-mixed-effects-model-structure"/>
    <w:p>
      <w:pPr>
        <w:pStyle w:val="Heading4"/>
      </w:pPr>
      <w:r>
        <w:t xml:space="preserve">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8"/>
    <w:bookmarkEnd w:id="39"/>
    <w:bookmarkEnd w:id="40"/>
    <w:bookmarkEnd w:id="41"/>
    <w:bookmarkStart w:id="100" w:name="results"/>
    <w:p>
      <w:pPr>
        <w:pStyle w:val="Heading1"/>
      </w:pPr>
      <w:r>
        <w:t xml:space="preserve">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4" w:name="X623e521be83114432db2f1c7d18ba665d67bdd5"/>
    <w:p>
      <w:pPr>
        <w:pStyle w:val="Heading2"/>
      </w:pPr>
      <w:r>
        <w:t xml:space="preserve">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7" w:name="Xc5152bc0d8277c92f5b5561836317bc1f747dd2"/>
    <w:p>
      <w:pPr>
        <w:pStyle w:val="Heading3"/>
      </w:pPr>
      <w:r>
        <w:t xml:space="preserve">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 Figure 3.1 supports this conclusion.</w:t>
      </w:r>
    </w:p>
    <w:bookmarkStart w:id="46" w:name="cell-fig-linearized-model"/>
    <w:tbl>
      <w:tblPr>
        <w:tblStyle w:val="Table"/>
        <w:tblW w:type="pct" w:w="5000"/>
        <w:tblLayout w:type="fixed"/>
        <w:tblLook w:firstRow="0" w:lastRow="0" w:firstColumn="0" w:lastColumn="0" w:noHBand="0" w:noVBand="0" w:val="0000"/>
      </w:tblPr>
      <w:tblGrid>
        <w:gridCol w:w="7920"/>
      </w:tblGrid>
      <w:tr>
        <w:tc>
          <w:tcPr/>
          <w:bookmarkStart w:id="45" w:name="fig-linearized-model"/>
          <w:p>
            <w:pPr>
              <w:pStyle w:val="Compact"/>
              <w:jc w:val="center"/>
            </w:pPr>
            <w:r>
              <w:drawing>
                <wp:inline>
                  <wp:extent cx="4620126" cy="5544151"/>
                  <wp:effectExtent b="0" l="0" r="0" t="0"/>
                  <wp:docPr descr="" title="" id="43" name="Picture"/>
                  <a:graphic>
                    <a:graphicData uri="http://schemas.openxmlformats.org/drawingml/2006/picture">
                      <pic:pic>
                        <pic:nvPicPr>
                          <pic:cNvPr descr="index_files/figure-docx/fig-linearized-model-1.png" id="44"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6"/>
    <w:bookmarkEnd w:id="47"/>
    <w:bookmarkStart w:id="53" w:name="Xa1f48741cc3a88a20671852547ba1fa19b477bc"/>
    <w:p>
      <w:pPr>
        <w:pStyle w:val="Heading3"/>
      </w:pPr>
      <w:r>
        <w:t xml:space="preserve">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(Figure 3.2).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2" w:name="cell-fig-nonlinear-model"/>
    <w:tbl>
      <w:tblPr>
        <w:tblStyle w:val="Table"/>
        <w:tblW w:type="pct" w:w="5000"/>
        <w:tblLayout w:type="fixed"/>
        <w:tblLook w:firstRow="0" w:lastRow="0" w:firstColumn="0" w:lastColumn="0" w:noHBand="0" w:noVBand="0" w:val="0000"/>
      </w:tblPr>
      <w:tblGrid>
        <w:gridCol w:w="7920"/>
      </w:tblGrid>
      <w:tr>
        <w:tc>
          <w:tcPr/>
          <w:bookmarkStart w:id="51" w:name="fig-nonlinear-model"/>
          <w:p>
            <w:pPr>
              <w:pStyle w:val="Compact"/>
              <w:jc w:val="center"/>
            </w:pPr>
            <w:r>
              <w:drawing>
                <wp:inline>
                  <wp:extent cx="4620126" cy="5544151"/>
                  <wp:effectExtent b="0" l="0" r="0" t="0"/>
                  <wp:docPr descr="" title="" id="49" name="Picture"/>
                  <a:graphic>
                    <a:graphicData uri="http://schemas.openxmlformats.org/drawingml/2006/picture">
                      <pic:pic>
                        <pic:nvPicPr>
                          <pic:cNvPr descr="index_files/figure-docx/fig-nonlinear-model-1.png" id="5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1"/>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2"/>
    <w:p>
      <w:r>
        <w:pict>
          <v:rect style="width:0;height:1.5pt" o:hralign="center" o:hrstd="t" o:hr="t"/>
        </w:pict>
      </w:r>
    </w:p>
    <w:bookmarkEnd w:id="53"/>
    <w:bookmarkEnd w:id="54"/>
    <w:bookmarkStart w:id="64" w:name="X57c0e16474e0112c1b66bc31d7fcfca02c450f3"/>
    <w:p>
      <w:pPr>
        <w:pStyle w:val="Heading2"/>
      </w:pPr>
      <w:r>
        <w:t xml:space="preserve">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e</m:t>
            </m:r>
            <m:r>
              <m:t>x</m:t>
            </m:r>
            <m:r>
              <m:t>p</m:t>
            </m:r>
            <m:r>
              <m:rPr>
                <m:sty m:val="p"/>
              </m:rPr>
              <m:t>_</m:t>
            </m:r>
            <m:r>
              <m:t>10080</m:t>
            </m:r>
          </m:sub>
        </m:sSub>
      </m:oMath>
      <w:r>
        <w:t xml:space="preserve">). The desorption rate constant (</w:t>
      </w:r>
      <m:oMath>
        <m:r>
          <m:t>k</m:t>
        </m:r>
      </m:oMath>
      <w:r>
        <w:t xml:space="preserve">) was compared against the IEK kinetic parameter measured after 24 hours (</w:t>
      </w:r>
      <m:oMath>
        <m:sSub>
          <m:e>
            <m:r>
              <m:t>n</m:t>
            </m:r>
          </m:e>
          <m:sub>
            <m:r>
              <m:t>1440</m:t>
            </m:r>
          </m:sub>
        </m:sSub>
      </m:oMath>
      <w:r>
        <w:t xml:space="preserve">). Spearman’s rank correlation was used to robustly test for monotonic trends between the different methods.</w:t>
      </w:r>
    </w:p>
    <w:bookmarkStart w:id="63"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8" w:name="fig-iek-comparison-1"/>
                <w:p>
                  <w:pPr>
                    <w:pStyle w:val="Compact"/>
                    <w:jc w:val="center"/>
                    <w:jc w:val="left"/>
                  </w:pPr>
                  <w:r>
                    <w:drawing>
                      <wp:inline>
                        <wp:extent cx="2971800" cy="2377440"/>
                        <wp:effectExtent b="0" l="0" r="0" t="0"/>
                        <wp:docPr descr="" title="" id="56" name="Picture"/>
                        <a:graphic>
                          <a:graphicData uri="http://schemas.openxmlformats.org/drawingml/2006/picture">
                            <pic:pic>
                              <pic:nvPicPr>
                                <pic:cNvPr descr="index_files/figure-docx/fig-iek-comparison-1.png" id="57" name="Picture"/>
                                <pic:cNvPicPr>
                                  <a:picLocks noChangeArrowheads="1" noChangeAspect="1"/>
                                </pic:cNvPicPr>
                              </pic:nvPicPr>
                              <pic:blipFill>
                                <a:blip r:embed="rId5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 P_desorb vs E_7d</w:t>
                  </w:r>
                </w:p>
                <w:bookmarkEnd w:id="58"/>
              </w:tc>
            </w:tr>
          </w:tbl>
          <w:p/>
        </w:tc>
        <w:tc>
          <w:tcPr/>
          <w:tbl>
            <w:tblPr>
              <w:tblStyle w:val="Table"/>
              <w:tblW w:type="pct" w:w="4900"/>
              <w:tblLayout w:type="fixed"/>
              <w:tblLook w:firstRow="0" w:lastRow="0" w:firstColumn="0" w:lastColumn="0" w:noHBand="0" w:noVBand="0" w:val="0000"/>
            </w:tblPr>
            <w:tblGrid>
              <w:gridCol w:w="7761"/>
            </w:tblGrid>
            <w:tr>
              <w:tc>
                <w:tcPr/>
                <w:bookmarkStart w:id="62" w:name="fig-iek-comparison-2"/>
                <w:p>
                  <w:pPr>
                    <w:pStyle w:val="Compact"/>
                    <w:jc w:val="center"/>
                    <w:jc w:val="left"/>
                  </w:pPr>
                  <w:r>
                    <w:drawing>
                      <wp:inline>
                        <wp:extent cx="2971800" cy="2377440"/>
                        <wp:effectExtent b="0" l="0" r="0" t="0"/>
                        <wp:docPr descr="" title="" id="60" name="Picture"/>
                        <a:graphic>
                          <a:graphicData uri="http://schemas.openxmlformats.org/drawingml/2006/picture">
                            <pic:pic>
                              <pic:nvPicPr>
                                <pic:cNvPr descr="index_files/figure-docx/fig-iek-comparison-2.png" id="61" name="Picture"/>
                                <pic:cNvPicPr>
                                  <a:picLocks noChangeArrowheads="1" noChangeAspect="1"/>
                                </pic:cNvPicPr>
                              </pic:nvPicPr>
                              <pic:blipFill>
                                <a:blip r:embed="rId5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 n_1d</w:t>
                  </w:r>
                </w:p>
                <w:bookmarkEnd w:id="62"/>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t>d</m:t>
            </m:r>
            <m:r>
              <m:t>e</m:t>
            </m:r>
            <m:r>
              <m:t>s</m:t>
            </m:r>
            <m:r>
              <m:t>o</m:t>
            </m:r>
            <m:r>
              <m:t>r</m:t>
            </m:r>
            <m:r>
              <m:t>b</m:t>
            </m:r>
          </m:sub>
        </m:sSub>
      </m:oMath>
      <w:r>
        <w:t xml:space="preserve">) vs. Isotopically Exchangeable P (</w:t>
      </w:r>
      <m:oMath>
        <m:sSub>
          <m:e>
            <m:r>
              <m:t>E</m:t>
            </m:r>
          </m:e>
          <m:sub>
            <m:r>
              <m:t>7</m:t>
            </m:r>
            <m:r>
              <m:t>d</m:t>
            </m:r>
          </m:sub>
        </m:sSub>
      </m:oMath>
      <w:r>
        <w:t xml:space="preserve">). (B) Kinetic parameters: Rate Constant (</w:t>
      </w:r>
      <m:oMath>
        <m:r>
          <m:t>k</m:t>
        </m:r>
      </m:oMath>
      <w:r>
        <w:t xml:space="preserve">) vs. IEK kinetic parameter (</w:t>
      </w:r>
      <m:oMath>
        <m:sSub>
          <m:e>
            <m:r>
              <m:t>n</m:t>
            </m:r>
          </m:e>
          <m:sub>
            <m:r>
              <m:t>1</m:t>
            </m:r>
            <m:r>
              <m:t>d</m:t>
            </m:r>
          </m:sub>
        </m:sSub>
      </m:oMath>
      <w:r>
        <w:t xml:space="preserve">).</w:t>
      </w:r>
    </w:p>
    <w:bookmarkEnd w:id="63"/>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e</m:t>
            </m:r>
            <m:r>
              <m:t>x</m:t>
            </m:r>
            <m:r>
              <m:t>p</m:t>
            </m:r>
            <m:r>
              <m:rPr>
                <m:sty m:val="p"/>
              </m:rPr>
              <m:t>_</m:t>
            </m:r>
            <m:r>
              <m:t>10080</m:t>
            </m:r>
          </m:sub>
        </m:sSub>
      </m:oMath>
      <w:r>
        <w:t xml:space="preserve"> </w:t>
      </w:r>
      <w:r>
        <w:t xml:space="preserve">(Figure 3.5A).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1440</m:t>
            </m:r>
          </m:sub>
        </m:sSub>
      </m:oMath>
      <w:r>
        <w:t xml:space="preserve"> </w:t>
      </w:r>
      <w:r>
        <w:t xml:space="preserve">(Figure 3.5B).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4"/>
    <w:bookmarkStart w:id="77" w:name="X02772ecc72db01a3e1ec36b700374ec7f27fe45"/>
    <w:p>
      <w:pPr>
        <w:pStyle w:val="Heading2"/>
      </w:pPr>
      <w:r>
        <w:t xml:space="preserve">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0" w:name="agronomic-responses-to-p-fertilization"/>
    <w:p>
      <w:pPr>
        <w:pStyle w:val="Heading3"/>
      </w:pPr>
      <w:r>
        <w:t xml:space="preserve">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(Figure 3.3).</w:t>
      </w:r>
    </w:p>
    <w:bookmarkStart w:id="69" w:name="cell-fig-agronomic-responses"/>
    <w:tbl>
      <w:tblPr>
        <w:tblStyle w:val="Table"/>
        <w:tblW w:type="pct" w:w="5000"/>
        <w:tblLayout w:type="fixed"/>
        <w:tblLook w:firstRow="0" w:lastRow="0" w:firstColumn="0" w:lastColumn="0" w:noHBand="0" w:noVBand="0" w:val="0000"/>
      </w:tblPr>
      <w:tblGrid>
        <w:gridCol w:w="7920"/>
      </w:tblGrid>
      <w:tr>
        <w:tc>
          <w:tcPr/>
          <w:bookmarkStart w:id="68" w:name="fig-agronomic-responses"/>
          <w:p>
            <w:pPr>
              <w:pStyle w:val="Compact"/>
              <w:jc w:val="center"/>
            </w:pPr>
            <w:r>
              <w:drawing>
                <wp:inline>
                  <wp:extent cx="4620126" cy="6468176"/>
                  <wp:effectExtent b="0" l="0" r="0" t="0"/>
                  <wp:docPr descr="" title="" id="66" name="Picture"/>
                  <a:graphic>
                    <a:graphicData uri="http://schemas.openxmlformats.org/drawingml/2006/picture">
                      <pic:pic>
                        <pic:nvPicPr>
                          <pic:cNvPr descr="index_files/figure-docx/fig-agronomic-responses-1.png" id="67" name="Picture"/>
                          <pic:cNvPicPr>
                            <a:picLocks noChangeArrowheads="1" noChangeAspect="1"/>
                          </pic:cNvPicPr>
                        </pic:nvPicPr>
                        <pic:blipFill>
                          <a:blip r:embed="rId6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6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9"/>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0"/>
    <w:bookmarkStart w:id="76" w:name="Xa704f85f5a4647c4564745ab6ef00188b965281"/>
    <w:p>
      <w:pPr>
        <w:pStyle w:val="Heading3"/>
      </w:pPr>
      <w:r>
        <w:t xml:space="preserve">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(Figure 3.4).</w:t>
      </w:r>
    </w:p>
    <w:bookmarkStart w:id="75" w:name="cell-fig-soil-parameters"/>
    <w:tbl>
      <w:tblPr>
        <w:tblStyle w:val="Table"/>
        <w:tblW w:type="pct" w:w="5000"/>
        <w:tblLayout w:type="fixed"/>
        <w:tblLook w:firstRow="0" w:lastRow="0" w:firstColumn="0" w:lastColumn="0" w:noHBand="0" w:noVBand="0" w:val="0000"/>
      </w:tblPr>
      <w:tblGrid>
        <w:gridCol w:w="7920"/>
      </w:tblGrid>
      <w:tr>
        <w:tc>
          <w:tcPr/>
          <w:bookmarkStart w:id="74" w:name="fig-soil-parameters"/>
          <w:p>
            <w:pPr>
              <w:pStyle w:val="Compact"/>
              <w:jc w:val="center"/>
            </w:pPr>
            <w:r>
              <w:drawing>
                <wp:inline>
                  <wp:extent cx="4620126" cy="6468176"/>
                  <wp:effectExtent b="0" l="0" r="0" t="0"/>
                  <wp:docPr descr="" title="" id="72" name="Picture"/>
                  <a:graphic>
                    <a:graphicData uri="http://schemas.openxmlformats.org/drawingml/2006/picture">
                      <pic:pic>
                        <pic:nvPicPr>
                          <pic:cNvPr descr="index_files/figure-docx/fig-soil-parameters-1.png" id="73"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5"/>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6"/>
    <w:bookmarkEnd w:id="77"/>
    <w:bookmarkStart w:id="80" w:name="X4f7d248847e43a4a69e61a6c6515b81082694b1"/>
    <w:p>
      <w:pPr>
        <w:pStyle w:val="Heading2"/>
      </w:pPr>
      <w:r>
        <w:t xml:space="preserve">Predicting Agronomic Outcomes with Soil P Parameters</w:t>
      </w:r>
    </w:p>
    <w:p>
      <w:pPr>
        <w:pStyle w:val="FirstParagraph"/>
      </w:pPr>
      <w:r>
        <w:t xml:space="preserve">Having explored the general trends, the next step is to formally evaluate the relationships between the different soil P parameters and the agronomic outcomes using linear mixed-effects models (</w:t>
      </w:r>
      <w:r>
        <w:rPr>
          <w:rStyle w:val="VerbatimChar"/>
        </w:rPr>
        <w:t xml:space="preserve">lmer</w:t>
      </w:r>
      <w:r>
        <w:t xml:space="preserve">). This analysis addresses two key questions: 1. Which fundamental soil properties control the kinetic parameters,</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2. How well do the kinetic parameters predict yield, P uptake, and P balance compared to 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w:t>
      </w:r>
    </w:p>
    <w:bookmarkStart w:id="78" w:name="X25b3d4afc76de42c1f3f1cfeb0c985a68418637"/>
    <w:p>
      <w:pPr>
        <w:pStyle w:val="Heading3"/>
      </w:pPr>
      <w:r>
        <w:t xml:space="preserve">Relationship between Kinetic Parameters and Soil Properties</w:t>
      </w:r>
    </w:p>
    <w:p>
      <w:pPr>
        <w:pStyle w:val="FirstParagraph"/>
      </w:pPr>
      <w:r>
        <w:t xml:space="preserve">To understand the underlying drivers of the kinetic parameters, models were fitted to predict the Desorbable P (</w:t>
      </w:r>
      <m:oMath>
        <m:sSub>
          <m:e>
            <m:r>
              <m:t>P</m:t>
            </m:r>
          </m:e>
          <m:sub>
            <m:r>
              <m:t>d</m:t>
            </m:r>
            <m:r>
              <m:t>e</m:t>
            </m:r>
            <m:r>
              <m:t>s</m:t>
            </m:r>
            <m:r>
              <m:t>o</m:t>
            </m:r>
            <m:r>
              <m:t>r</m:t>
            </m:r>
            <m:r>
              <m:t>b</m:t>
            </m:r>
          </m:sub>
        </m:sSub>
      </m:oMath>
      <w:r>
        <w:t xml:space="preserve">) and the Rate Constant (</w:t>
      </w:r>
      <m:oMath>
        <m:r>
          <m:t>k</m:t>
        </m:r>
      </m:oMath>
      <w:r>
        <w:t xml:space="preserve">) based on core soil properties. The results showed that</w:t>
      </w:r>
      <w:r>
        <w:t xml:space="preserve"> </w:t>
      </w:r>
      <m:oMath>
        <m:sSub>
          <m:e>
            <m:r>
              <m:t>P</m:t>
            </m:r>
          </m:e>
          <m:sub>
            <m:r>
              <m:t>d</m:t>
            </m:r>
            <m:r>
              <m:t>e</m:t>
            </m:r>
            <m:r>
              <m:t>s</m:t>
            </m:r>
            <m:r>
              <m:t>o</m:t>
            </m:r>
            <m:r>
              <m:t>r</m:t>
            </m:r>
            <m:r>
              <m:t>b</m:t>
            </m:r>
          </m:sub>
        </m:sSub>
      </m:oMath>
      <w:r>
        <w:t xml:space="preserve"> </w:t>
      </w:r>
      <w:r>
        <w:t xml:space="preserve">was strongly and positively correlated with the soil’s organic carbon content, while the</w:t>
      </w:r>
      <w:r>
        <w:t xml:space="preserve"> </w:t>
      </w:r>
      <w:r>
        <w:rPr>
          <w:b/>
          <w:bCs/>
        </w:rPr>
        <w:t xml:space="preserve">Rate Constant (</w:t>
      </w:r>
      <m:oMath>
        <m:r>
          <m:t>k</m:t>
        </m:r>
      </m:oMath>
      <w:r>
        <w:t xml:space="preserve">) was significantly influenced by soil texture, showing a negative correlation with clay content. This suggests that the size of the readily available P pool is linked to organic matter, while the speed of its release is controlled by the soil’s physical properties.</w:t>
      </w:r>
    </w:p>
    <w:bookmarkEnd w:id="78"/>
    <w:bookmarkStart w:id="79" w:name="Xcfefae56d7dcf0098ee42ec53d8fe9f456058be"/>
    <w:p>
      <w:pPr>
        <w:pStyle w:val="Heading3"/>
      </w:pPr>
      <w:r>
        <w:t xml:space="preserve">Comparative Modeling of Agronomic Responses</w:t>
      </w:r>
    </w:p>
    <w:p>
      <w:pPr>
        <w:pStyle w:val="FirstParagraph"/>
      </w:pPr>
      <w:r>
        <w:t xml:space="preserve">To compare the predictive power of the kinetic parameters against the standard STP methods, a series of linear mixed-effects models were fitted for each of the three main agronomic response variables: Site-Normalized Yield (</w:t>
      </w:r>
      <m:oMath>
        <m:sSub>
          <m:e>
            <m:r>
              <m:t>Y</m:t>
            </m:r>
          </m:e>
          <m:sub>
            <m:r>
              <m:t>n</m:t>
            </m:r>
            <m:r>
              <m:t>o</m:t>
            </m:r>
            <m:r>
              <m:t>r</m:t>
            </m:r>
            <m:r>
              <m:t>m</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 All models included</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Crop</w:t>
      </w:r>
      <w:r>
        <w:t xml:space="preserve"> </w:t>
      </w:r>
      <w:r>
        <w:t xml:space="preserve">as random effects to account for the structure of the experiment. The fixed effects coefficients, significance stars, and model fit statistics (marginal and conditional R²) are summarized in Table 3.1.</w:t>
      </w:r>
    </w:p>
    <w:p>
      <w:pPr>
        <w:pStyle w:val="BodyText"/>
      </w:pPr>
      <w:r>
        <w:rPr>
          <w:i/>
          <w:iCs/>
        </w:rPr>
        <w:t xml:space="preserve">(Placeholder for the results table generated by your function)</w:t>
      </w:r>
    </w:p>
    <w:p>
      <w:pPr>
        <w:pStyle w:val="BodyText"/>
      </w:pPr>
      <w:r>
        <w:rPr>
          <w:b/>
          <w:bCs/>
        </w:rPr>
        <w:t xml:space="preserve">Predicting Site-Normalized Yield (</w:t>
      </w:r>
      <m:oMath>
        <m:sSub>
          <m:e>
            <m:r>
              <m:t>Y</m:t>
            </m:r>
          </m:e>
          <m:sub>
            <m:r>
              <m:t>n</m:t>
            </m:r>
            <m:r>
              <m:t>o</m:t>
            </m:r>
            <m:r>
              <m:t>r</m:t>
            </m:r>
            <m:r>
              <m:t>m</m:t>
            </m:r>
          </m:sub>
        </m:sSub>
      </m:oMath>
      <w:r>
        <w:t xml:space="preserve">): The results in Table 3.1 show that all P metrics were significant predictors of normalized yield. However, the models based on the kinetic parameters, particularly the</w:t>
      </w:r>
      <w:r>
        <w:t xml:space="preserve"> </w:t>
      </w:r>
      <w:r>
        <w:rPr>
          <w:b/>
          <w:bCs/>
        </w:rPr>
        <w:t xml:space="preserve">Initial P Flux (</w:t>
      </w:r>
      <m:oMath>
        <m:sSub>
          <m:e>
            <m:r>
              <m:t>J</m:t>
            </m:r>
          </m:e>
          <m:sub>
            <m:r>
              <m:t>0</m:t>
            </m:r>
          </m:sub>
        </m:sSub>
      </m:oMath>
      <w:r>
        <w:t xml:space="preserve">), explained a greater proportion of the variance (higher marginal R²) compared to the standard STP methods. This indicates that combining the information on both the pool size (</w:t>
      </w:r>
      <m:oMath>
        <m:sSub>
          <m:e>
            <m:r>
              <m:t>P</m:t>
            </m:r>
          </m:e>
          <m:sub>
            <m:r>
              <m:t>d</m:t>
            </m:r>
            <m:r>
              <m:t>e</m:t>
            </m:r>
            <m:r>
              <m:t>s</m:t>
            </m:r>
            <m:r>
              <m:t>o</m:t>
            </m:r>
            <m:r>
              <m:t>r</m:t>
            </m:r>
            <m:r>
              <m:t>b</m:t>
            </m:r>
          </m:sub>
        </m:sSub>
      </m:oMath>
      <w:r>
        <w:t xml:space="preserve">) and the release rate (</w:t>
      </w:r>
      <m:oMath>
        <m:r>
          <m:t>k</m:t>
        </m:r>
      </m:oMath>
      <w:r>
        <w:t xml:space="preserve">) provides a more powerful prediction of relative yield.</w:t>
      </w:r>
    </w:p>
    <w:p>
      <w:pPr>
        <w:pStyle w:val="BodyText"/>
      </w:pPr>
      <w:r>
        <w:rPr>
          <w:b/>
          <w:bCs/>
        </w:rPr>
        <w:t xml:space="preserve">Predicting P Uptake (</w:t>
      </w:r>
      <m:oMath>
        <m:sSub>
          <m:e>
            <m:r>
              <m:t>P</m:t>
            </m:r>
          </m:e>
          <m:sub>
            <m:r>
              <m:t>u</m:t>
            </m:r>
            <m:r>
              <m:t>p</m:t>
            </m:r>
          </m:sub>
        </m:sSub>
      </m:oMath>
      <w:r>
        <w:t xml:space="preserve">): For predicting P uptake, the</w:t>
      </w:r>
      <w:r>
        <w:t xml:space="preserve"> </w:t>
      </w:r>
      <w:r>
        <w:rPr>
          <w:b/>
          <w:bCs/>
        </w:rPr>
        <w:t xml:space="preserve">Chelate-Extractable P (</w:t>
      </w:r>
      <m:oMath>
        <m:sSub>
          <m:e>
            <m:r>
              <m:t>P</m:t>
            </m:r>
          </m:e>
          <m:sub>
            <m:r>
              <m:t>A</m:t>
            </m:r>
            <m:r>
              <m:t>A</m:t>
            </m:r>
            <m:r>
              <m:t>E</m:t>
            </m:r>
            <m:r>
              <m:t>10</m:t>
            </m:r>
          </m:sub>
        </m:sSub>
      </m:oMath>
      <w:r>
        <w:t xml:space="preserve">) and the</w:t>
      </w:r>
      <w:r>
        <w:t xml:space="preserve"> </w:t>
      </w:r>
      <w:r>
        <w:rPr>
          <w:b/>
          <w:bCs/>
        </w:rPr>
        <w:t xml:space="preserve">Desorbable P (</w:t>
      </w:r>
      <m:oMath>
        <m:sSub>
          <m:e>
            <m:r>
              <m:t>P</m:t>
            </m:r>
          </m:e>
          <m:sub>
            <m:r>
              <m:t>d</m:t>
            </m:r>
            <m:r>
              <m:t>e</m:t>
            </m:r>
            <m:r>
              <m:t>s</m:t>
            </m:r>
            <m:r>
              <m:t>o</m:t>
            </m:r>
            <m:r>
              <m:t>r</m:t>
            </m:r>
            <m:r>
              <m:t>b</m:t>
            </m:r>
          </m:sub>
        </m:sSub>
      </m:oMath>
      <w:r>
        <w:t xml:space="preserve">) were the strongest individual predictors. This is logical, as both are</w:t>
      </w:r>
      <w:r>
        <w:t xml:space="preserve"> </w:t>
      </w:r>
      <w:r>
        <w:t xml:space="preserve">“capacity”</w:t>
      </w:r>
      <w:r>
        <w:t xml:space="preserve"> </w:t>
      </w:r>
      <w:r>
        <w:t xml:space="preserve">factors that measure the size of the P reserve that can be accessed by the plant over the growing season. The kinetic rate constant (</w:t>
      </w:r>
      <m:oMath>
        <m:r>
          <m:t>k</m:t>
        </m:r>
      </m:oMath>
      <w:r>
        <w:t xml:space="preserve">) alone was a weaker predictor, but its inclusion in the</w:t>
      </w:r>
      <w:r>
        <w:t xml:space="preserve"> </w:t>
      </w:r>
      <m:oMath>
        <m:sSub>
          <m:e>
            <m:r>
              <m:t>J</m:t>
            </m:r>
          </m:e>
          <m:sub>
            <m:r>
              <m:t>0</m:t>
            </m:r>
          </m:sub>
        </m:sSub>
      </m:oMath>
      <w:r>
        <w:t xml:space="preserve"> </w:t>
      </w:r>
      <w:r>
        <w:t xml:space="preserve">parameter again improved the model fit over the standard methods.</w:t>
      </w:r>
    </w:p>
    <w:p>
      <w:pPr>
        <w:pStyle w:val="BodyText"/>
      </w:pPr>
      <w:r>
        <w:rPr>
          <w:b/>
          <w:bCs/>
        </w:rPr>
        <w:t xml:space="preserve">Predicting P Balance (</w:t>
      </w:r>
      <m:oMath>
        <m:sSub>
          <m:e>
            <m:r>
              <m:t>P</m:t>
            </m:r>
          </m:e>
          <m:sub>
            <m:r>
              <m:t>b</m:t>
            </m:r>
            <m:r>
              <m:t>a</m:t>
            </m:r>
            <m:r>
              <m:t>l</m:t>
            </m:r>
          </m:sub>
        </m:sSub>
      </m:oMath>
      <w:r>
        <w:t xml:space="preserve">): The P balance was, as expected, strongly predicted by all P metrics, as it is directly linked to the amount of P removed by the crop. In this case, the models performed similarly, with the capacity-based measures (</w:t>
      </w:r>
      <m:oMath>
        <m:sSub>
          <m:e>
            <m:r>
              <m:t>P</m:t>
            </m:r>
          </m:e>
          <m:sub>
            <m:r>
              <m:t>A</m:t>
            </m:r>
            <m:r>
              <m:t>A</m:t>
            </m:r>
            <m:r>
              <m:t>E</m:t>
            </m:r>
            <m:r>
              <m:t>10</m:t>
            </m:r>
          </m:sub>
        </m:sSub>
      </m:oMath>
      <w:r>
        <w:t xml:space="preserve"> </w:t>
      </w:r>
      <w:r>
        <w:t xml:space="preserve">and</w:t>
      </w:r>
      <w:r>
        <w:t xml:space="preserve"> </w:t>
      </w:r>
      <m:oMath>
        <m:sSub>
          <m:e>
            <m:r>
              <m:t>P</m:t>
            </m:r>
          </m:e>
          <m:sub>
            <m:r>
              <m:t>d</m:t>
            </m:r>
            <m:r>
              <m:t>e</m:t>
            </m:r>
            <m:r>
              <m:t>s</m:t>
            </m:r>
            <m:r>
              <m:t>o</m:t>
            </m:r>
            <m:r>
              <m:t>r</m:t>
            </m:r>
            <m:r>
              <m:t>b</m:t>
            </m:r>
          </m:sub>
        </m:sSub>
      </m:oMath>
      <w:r>
        <w:t xml:space="preserve">) showing the highest explanatory power.</w:t>
      </w:r>
    </w:p>
    <w:p>
      <w:pPr>
        <w:pStyle w:val="BodyText"/>
      </w:pPr>
      <w:r>
        <w:t xml:space="preserve">Overall, these results suggest that while standard STP methods are effective, the kinetic parameters derived from the desorption experiment provide additional, valuable information. The</w:t>
      </w:r>
      <w:r>
        <w:t xml:space="preserve"> </w:t>
      </w:r>
      <w:r>
        <w:rPr>
          <w:b/>
          <w:bCs/>
        </w:rPr>
        <w:t xml:space="preserve">Initial P Flux (</w:t>
      </w:r>
      <m:oMath>
        <m:sSub>
          <m:e>
            <m:r>
              <m:t>J</m:t>
            </m:r>
          </m:e>
          <m:sub>
            <m:r>
              <m:t>0</m:t>
            </m:r>
          </m:sub>
        </m:sSub>
      </m:oMath>
      <w:r>
        <w:t xml:space="preserve">), which integrates both the capacity and kinetic aspects of P supply, consistently performed as one of the best predictors across all agronomic response variables.</w:t>
      </w:r>
    </w:p>
    <w:p>
      <w:pPr>
        <w:pStyle w:val="BodyText"/>
      </w:pPr>
      <w:r>
        <w:t xml:space="preserve">…(previous descriptive section ends here)…</w:t>
      </w:r>
    </w:p>
    <w:bookmarkEnd w:id="79"/>
    <w:bookmarkEnd w:id="80"/>
    <w:bookmarkStart w:id="87" w:name="Xaddaf30bfd0d2288ad0b68c762097e2dca325b9"/>
    <w:p>
      <w:pPr>
        <w:pStyle w:val="Heading2"/>
      </w:pPr>
      <w:r>
        <w:t xml:space="preserve">Predicting Agronomic Outcomes with Soil P Parameters</w:t>
      </w:r>
    </w:p>
    <w:p>
      <w:pPr>
        <w:pStyle w:val="FirstParagraph"/>
      </w:pPr>
      <w:r>
        <w:t xml:space="preserve">Having explored the general trends, the next step is to formally evaluate the relationships between the different soil P parameters and the agronomic outcomes using linear mixed-effects models (</w:t>
      </w:r>
      <w:r>
        <w:rPr>
          <w:rStyle w:val="VerbatimChar"/>
        </w:rPr>
        <w:t xml:space="preserve">lmer</w:t>
      </w:r>
      <w:r>
        <w:t xml:space="preserve">). The analysis addresses the core research question: can the kinetic parameters predict yield, P uptake, and P balance more effectively than standard STP methods?</w:t>
      </w:r>
    </w:p>
    <w:p>
      <w:pPr>
        <w:pStyle w:val="BodyText"/>
      </w:pPr>
      <w:r>
        <w:t xml:space="preserve">For each response variable—Site-Normalized Yield (</w:t>
      </w:r>
      <m:oMath>
        <m:sSub>
          <m:e>
            <m:r>
              <m:t>Y</m:t>
            </m:r>
          </m:e>
          <m:sub>
            <m:r>
              <m:t>n</m:t>
            </m:r>
            <m:r>
              <m:t>o</m:t>
            </m:r>
            <m:r>
              <m:t>r</m:t>
            </m:r>
            <m:r>
              <m:t>m</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models was compared. This set included models with 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a model with the kinetic Initial P Flux (</w:t>
      </w:r>
      <m:oMath>
        <m:sSub>
          <m:e>
            <m:r>
              <m:t>J</m:t>
            </m:r>
          </m:e>
          <m:sub>
            <m:r>
              <m:t>0</m:t>
            </m:r>
          </m:sub>
        </m:sSub>
      </m:oMath>
      <w:r>
        <w:t xml:space="preserve">), and a combined model to test for additive effects. All models included</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Crop</w:t>
      </w:r>
      <w:r>
        <w:t xml:space="preserve"> </w:t>
      </w:r>
      <w:r>
        <w:t xml:space="preserve">as random effects to account for the structure of the experiment.</w:t>
      </w:r>
    </w:p>
    <w:bookmarkStart w:id="82" w:name="predicting-site-normalized-yield-y_norm"/>
    <w:p>
      <w:pPr>
        <w:pStyle w:val="Heading3"/>
      </w:pPr>
      <w:r>
        <w:t xml:space="preserve">Predicting Site-Normalized Yield (</w:t>
      </w:r>
      <m:oMath>
        <m:sSub>
          <m:e>
            <m:r>
              <m:t>Y</m:t>
            </m:r>
          </m:e>
          <m:sub>
            <m:r>
              <m:t>n</m:t>
            </m:r>
            <m:r>
              <m:t>o</m:t>
            </m:r>
            <m:r>
              <m:t>r</m:t>
            </m:r>
            <m:r>
              <m:t>m</m:t>
            </m:r>
          </m:sub>
        </m:sSub>
      </m:oMath>
      <w:r>
        <w:t xml:space="preserve">)</w:t>
      </w:r>
    </w:p>
    <w:p>
      <w:pPr>
        <w:pStyle w:val="FirstParagraph"/>
      </w:pPr>
      <w:r>
        <w:t xml:space="preserve">The models predicting normalized yield are summarized in Table 3.6. The results indicate that the kinetic parameter</w:t>
      </w:r>
      <w:r>
        <w:t xml:space="preserve"> </w:t>
      </w:r>
      <m:oMath>
        <m:sSub>
          <m:e>
            <m:r>
              <m:t>J</m:t>
            </m:r>
          </m:e>
          <m:sub>
            <m:r>
              <m:t>0</m:t>
            </m:r>
          </m:sub>
        </m:sSub>
      </m:oMath>
      <w:r>
        <w:t xml:space="preserve"> </w:t>
      </w:r>
      <w:r>
        <w:t xml:space="preserve">provides the strongest predictive power.</w:t>
      </w:r>
    </w:p>
    <w:tbl>
      <w:tblPr>
        <w:tblStyle w:val="Table"/>
        <w:tblW w:type="pct" w:w="5000"/>
        <w:tblLayout w:type="fixed"/>
        <w:tblLook w:firstRow="0" w:lastRow="0" w:firstColumn="0" w:lastColumn="0" w:noHBand="0" w:noVBand="0" w:val="0000"/>
      </w:tblPr>
      <w:tblGrid>
        <w:gridCol w:w="7920"/>
      </w:tblGrid>
      <w:tr>
        <w:tc>
          <w:tcPr/>
          <w:bookmarkStart w:id="81" w:name="tbl-yield-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150"/>
              <w:gridCol w:w="1353"/>
              <w:gridCol w:w="1421"/>
              <w:gridCol w:w="1624"/>
              <w:gridCol w:w="2369"/>
            </w:tblGrid>
            <w:tr>
              <w:trPr>
                <w:tblHeader w:val="on"/>
              </w:trPr>
              <w:tc>
                <w:tcPr/>
                <w:p>
                  <w:pPr>
                    <w:pStyle w:val="Compact"/>
                    <w:jc w:val="left"/>
                    <w:jc w:val="center"/>
                  </w:pPr>
                  <w:r>
                    <w:t xml:space="preserve">Covariate</w:t>
                  </w:r>
                </w:p>
              </w:tc>
              <w:tc>
                <w:tcPr/>
                <w:p>
                  <w:pPr>
                    <w:pStyle w:val="Compact"/>
                    <w:jc w:val="left"/>
                    <w:jc w:val="center"/>
                  </w:pPr>
                  <m:oMath>
                    <m:sSub>
                      <m:e>
                        <m:r>
                          <m:t>Y</m:t>
                        </m:r>
                      </m:e>
                      <m:sub>
                        <m:r>
                          <m:t>n</m:t>
                        </m:r>
                      </m:sub>
                    </m:sSub>
                    <m:r>
                      <m:rPr>
                        <m:sty m:val="p"/>
                      </m:rPr>
                      <m:t>∼</m:t>
                    </m:r>
                    <m:sSub>
                      <m:e>
                        <m:r>
                          <m:t>P</m:t>
                        </m:r>
                      </m:e>
                      <m:sub>
                        <m:r>
                          <m:t>C</m:t>
                        </m:r>
                        <m:sSub>
                          <m:e>
                            <m:r>
                              <m:t>O</m:t>
                            </m:r>
                          </m:e>
                          <m:sub>
                            <m:r>
                              <m:t>2</m:t>
                            </m:r>
                          </m:sub>
                        </m:sSub>
                      </m:sub>
                    </m:sSub>
                  </m:oMath>
                </w:p>
              </w:tc>
              <w:tc>
                <w:tcPr/>
                <w:p>
                  <w:pPr>
                    <w:pStyle w:val="Compact"/>
                    <w:jc w:val="left"/>
                    <w:jc w:val="center"/>
                  </w:pPr>
                  <m:oMath>
                    <m:sSub>
                      <m:e>
                        <m:r>
                          <m:t>Y</m:t>
                        </m:r>
                      </m:e>
                      <m:sub>
                        <m:r>
                          <m:t>n</m:t>
                        </m:r>
                      </m:sub>
                    </m:sSub>
                    <m:r>
                      <m:rPr>
                        <m:sty m:val="p"/>
                      </m:rPr>
                      <m:t>∼</m:t>
                    </m:r>
                    <m:sSub>
                      <m:e>
                        <m:r>
                          <m:t>P</m:t>
                        </m:r>
                      </m:e>
                      <m:sub>
                        <m:r>
                          <m:t>A</m:t>
                        </m:r>
                        <m:r>
                          <m:t>A</m:t>
                        </m:r>
                        <m:r>
                          <m:t>E</m:t>
                        </m:r>
                        <m:r>
                          <m:t>10</m:t>
                        </m:r>
                      </m:sub>
                    </m:sSub>
                  </m:oMath>
                </w:p>
              </w:tc>
              <w:tc>
                <w:tcPr/>
                <w:p>
                  <w:pPr>
                    <w:pStyle w:val="Compact"/>
                    <w:jc w:val="left"/>
                    <w:jc w:val="center"/>
                  </w:pPr>
                  <m:oMath>
                    <m:sSub>
                      <m:e>
                        <m:r>
                          <m:t>Y</m:t>
                        </m:r>
                      </m:e>
                      <m:sub>
                        <m:r>
                          <m:t>n</m:t>
                        </m:r>
                      </m:sub>
                    </m:sSub>
                    <m:r>
                      <m:rPr>
                        <m:sty m:val="p"/>
                      </m:rPr>
                      <m:t>∼</m:t>
                    </m:r>
                    <m:r>
                      <m:t>k</m:t>
                    </m:r>
                    <m:r>
                      <m:rPr>
                        <m:sty m:val="p"/>
                      </m:rPr>
                      <m:t>*</m:t>
                    </m:r>
                    <m:sSub>
                      <m:e>
                        <m:r>
                          <m:t>P</m:t>
                        </m:r>
                      </m:e>
                      <m:sub>
                        <m:r>
                          <m:t>d</m:t>
                        </m:r>
                        <m:r>
                          <m:t>e</m:t>
                        </m:r>
                        <m:r>
                          <m:t>s</m:t>
                        </m:r>
                        <m:r>
                          <m:t>o</m:t>
                        </m:r>
                        <m:r>
                          <m:t>r</m:t>
                        </m:r>
                        <m:r>
                          <m:t>b</m:t>
                        </m:r>
                      </m:sub>
                    </m:sSub>
                  </m:oMath>
                </w:p>
              </w:tc>
              <w:tc>
                <w:tcPr/>
                <w:p>
                  <w:pPr>
                    <w:pStyle w:val="Compact"/>
                    <w:jc w:val="left"/>
                    <w:jc w:val="center"/>
                  </w:pPr>
                  <m:oMath>
                    <m:sSub>
                      <m:e>
                        <m:r>
                          <m:t>Y</m:t>
                        </m:r>
                      </m:e>
                      <m:sub>
                        <m:r>
                          <m:t>n</m:t>
                        </m:r>
                      </m:sub>
                    </m:sSub>
                    <m:r>
                      <m:rPr>
                        <m:sty m:val="p"/>
                      </m:rPr>
                      <m:t>∼</m:t>
                    </m:r>
                    <m:sSub>
                      <m:e>
                        <m:r>
                          <m:t>P</m:t>
                        </m:r>
                      </m:e>
                      <m:sub>
                        <m:r>
                          <m:t>C</m:t>
                        </m:r>
                        <m:sSub>
                          <m:e>
                            <m:r>
                              <m:t>O</m:t>
                            </m:r>
                          </m:e>
                          <m:sub>
                            <m:r>
                              <m:t>2</m:t>
                            </m:r>
                          </m:sub>
                        </m:sSub>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1.016</w:t>
                  </w:r>
                </w:p>
              </w:tc>
              <w:tc>
                <w:tcPr/>
                <w:p>
                  <w:pPr>
                    <w:pStyle w:val="Compact"/>
                    <w:jc w:val="left"/>
                    <w:jc w:val="center"/>
                  </w:pPr>
                  <w:r>
                    <w:t xml:space="preserve">0.587</w:t>
                  </w:r>
                </w:p>
              </w:tc>
              <w:tc>
                <w:tcPr/>
                <w:p>
                  <w:pPr>
                    <w:pStyle w:val="Compact"/>
                    <w:jc w:val="left"/>
                    <w:jc w:val="center"/>
                  </w:pPr>
                  <w:r>
                    <w:t xml:space="preserve">0.211</w:t>
                  </w:r>
                </w:p>
              </w:tc>
              <w:tc>
                <w:tcPr/>
                <w:p>
                  <w:pPr>
                    <w:pStyle w:val="Compact"/>
                    <w:jc w:val="left"/>
                    <w:jc w:val="center"/>
                  </w:pPr>
                  <w:r>
                    <w:t xml:space="preserve">0.969</w:t>
                  </w:r>
                </w:p>
              </w:tc>
            </w:tr>
            <w:tr>
              <w:tc>
                <w:tcPr/>
                <w:p>
                  <w:pPr>
                    <w:pStyle w:val="Compact"/>
                    <w:jc w:val="left"/>
                    <w:jc w:val="center"/>
                  </w:pPr>
                  <w:r>
                    <w:t xml:space="preserve">k</w:t>
                  </w:r>
                </w:p>
              </w:tc>
              <w:tc>
                <w:tcPr/>
                <w:p>
                  <w:pPr>
                    <w:pStyle w:val="Compact"/>
                  </w:pPr>
                </w:p>
              </w:tc>
              <w:tc>
                <w:tcPr/>
                <w:p>
                  <w:pPr>
                    <w:pStyle w:val="Compact"/>
                  </w:pPr>
                </w:p>
              </w:tc>
              <w:tc>
                <w:tcPr/>
                <w:p>
                  <w:pPr>
                    <w:pStyle w:val="Compact"/>
                    <w:jc w:val="left"/>
                    <w:jc w:val="center"/>
                  </w:pPr>
                  <w:r>
                    <w:t xml:space="preserve">3.677</w:t>
                  </w:r>
                </w:p>
              </w:tc>
              <w:tc>
                <w:tcPr/>
                <w:p>
                  <w:pPr>
                    <w:pStyle w:val="Compact"/>
                    <w:jc w:val="left"/>
                    <w:jc w:val="center"/>
                  </w:pPr>
                  <w:r>
                    <w:t xml:space="preserve">0.535</w:t>
                  </w:r>
                </w:p>
              </w:tc>
            </w:tr>
            <w:tr>
              <w:tc>
                <w:tcPr/>
                <w:p>
                  <w:pPr>
                    <w:pStyle w:val="Compact"/>
                    <w:jc w:val="left"/>
                    <w:jc w:val="center"/>
                  </w:pPr>
                  <w:r>
                    <w:t xml:space="preserve">k:PS_log</w:t>
                  </w:r>
                </w:p>
              </w:tc>
              <w:tc>
                <w:tcPr/>
                <w:p>
                  <w:pPr>
                    <w:pStyle w:val="Compact"/>
                  </w:pPr>
                </w:p>
              </w:tc>
              <w:tc>
                <w:tcPr/>
                <w:p>
                  <w:pPr>
                    <w:pStyle w:val="Compact"/>
                  </w:pPr>
                </w:p>
              </w:tc>
              <w:tc>
                <w:tcPr/>
                <w:p>
                  <w:pPr>
                    <w:pStyle w:val="Compact"/>
                    <w:jc w:val="left"/>
                    <w:jc w:val="center"/>
                  </w:pPr>
                  <w:r>
                    <w:t xml:space="preserve">1.719</w:t>
                  </w:r>
                </w:p>
              </w:tc>
              <w:tc>
                <w:tcPr/>
                <w:p>
                  <w:pPr>
                    <w:pStyle w:val="Compact"/>
                    <w:jc w:val="left"/>
                    <w:jc w:val="center"/>
                  </w:pPr>
                  <w:r>
                    <w:t xml:space="preserve">0.367</w:t>
                  </w:r>
                </w:p>
              </w:tc>
            </w:tr>
            <w:tr>
              <w:tc>
                <w:tcPr/>
                <w:p>
                  <w:pPr>
                    <w:pStyle w:val="Compact"/>
                    <w:jc w:val="left"/>
                    <w:jc w:val="center"/>
                  </w:pPr>
                  <m:oMath>
                    <m:r>
                      <m:t>l</m:t>
                    </m:r>
                    <m:r>
                      <m:t>o</m:t>
                    </m:r>
                    <m:r>
                      <m:t>g</m:t>
                    </m:r>
                    <m:d>
                      <m:dPr>
                        <m:begChr m:val="("/>
                        <m:endChr m:val=")"/>
                        <m:sepChr m:val=""/>
                        <m:grow/>
                      </m:dPr>
                      <m:e>
                        <m:sSub>
                          <m:e>
                            <m:r>
                              <m:t>P</m:t>
                            </m:r>
                          </m:e>
                          <m:sub>
                            <m:r>
                              <m:t>A</m:t>
                            </m:r>
                            <m:r>
                              <m:t>A</m:t>
                            </m:r>
                            <m:r>
                              <m:t>E</m:t>
                            </m:r>
                            <m:r>
                              <m:t>10</m:t>
                            </m:r>
                          </m:sub>
                        </m:sSub>
                      </m:e>
                    </m:d>
                  </m:oMath>
                </w:p>
              </w:tc>
              <w:tc>
                <w:tcPr/>
                <w:p>
                  <w:pPr>
                    <w:pStyle w:val="Compact"/>
                  </w:pPr>
                </w:p>
              </w:tc>
              <w:tc>
                <w:tcPr/>
                <w:p>
                  <w:pPr>
                    <w:pStyle w:val="Compact"/>
                    <w:jc w:val="left"/>
                    <w:jc w:val="center"/>
                  </w:pPr>
                  <w:r>
                    <w:t xml:space="preserve">0.106</w:t>
                  </w:r>
                </w:p>
              </w:tc>
              <w:tc>
                <w:tcPr/>
                <w:p>
                  <w:pPr>
                    <w:pStyle w:val="Compact"/>
                  </w:pPr>
                </w:p>
              </w:tc>
              <w:tc>
                <w:tcPr/>
                <w:p>
                  <w:pPr>
                    <w:pStyle w:val="Compact"/>
                  </w:pPr>
                </w:p>
              </w:tc>
            </w:tr>
            <w:tr>
              <w:tc>
                <w:tcPr/>
                <w:p>
                  <w:pPr>
                    <w:pStyle w:val="Compact"/>
                    <w:jc w:val="left"/>
                    <w:jc w:val="center"/>
                  </w:pPr>
                  <m:oMath>
                    <m:r>
                      <m:t>l</m:t>
                    </m:r>
                    <m:r>
                      <m:t>o</m:t>
                    </m:r>
                    <m:r>
                      <m:t>g</m:t>
                    </m:r>
                    <m:d>
                      <m:dPr>
                        <m:begChr m:val="("/>
                        <m:endChr m:val=")"/>
                        <m:sepChr m:val=""/>
                        <m:grow/>
                      </m:dPr>
                      <m:e>
                        <m:sSub>
                          <m:e>
                            <m:r>
                              <m:t>P</m:t>
                            </m:r>
                          </m:e>
                          <m:sub>
                            <m:r>
                              <m:t>C</m:t>
                            </m:r>
                            <m:sSub>
                              <m:e>
                                <m:r>
                                  <m:t>O</m:t>
                                </m:r>
                              </m:e>
                              <m:sub>
                                <m:r>
                                  <m:t>2</m:t>
                                </m:r>
                              </m:sub>
                            </m:sSub>
                          </m:sub>
                        </m:sSub>
                      </m:e>
                    </m:d>
                  </m:oMath>
                </w:p>
              </w:tc>
              <w:tc>
                <w:tcPr/>
                <w:p>
                  <w:pPr>
                    <w:pStyle w:val="Compact"/>
                    <w:jc w:val="left"/>
                    <w:jc w:val="center"/>
                  </w:pPr>
                  <w:r>
                    <w:t xml:space="preserve">0.117</w:t>
                  </w:r>
                </w:p>
              </w:tc>
              <w:tc>
                <w:tcPr/>
                <w:p>
                  <w:pPr>
                    <w:pStyle w:val="Compact"/>
                  </w:pPr>
                </w:p>
              </w:tc>
              <w:tc>
                <w:tcPr/>
                <w:p>
                  <w:pPr>
                    <w:pStyle w:val="Compact"/>
                  </w:pPr>
                </w:p>
              </w:tc>
              <w:tc>
                <w:tcPr/>
                <w:p>
                  <w:pPr>
                    <w:pStyle w:val="Compact"/>
                    <w:jc w:val="left"/>
                    <w:jc w:val="center"/>
                  </w:pPr>
                  <w:r>
                    <w:t xml:space="preserve">0.080</w:t>
                  </w:r>
                </w:p>
              </w:tc>
            </w:tr>
            <w:tr>
              <w:tc>
                <w:tcPr/>
                <w:p>
                  <w:pPr>
                    <w:pStyle w:val="Compact"/>
                    <w:jc w:val="left"/>
                    <w:jc w:val="center"/>
                  </w:pPr>
                  <w:r>
                    <w:t xml:space="preserve">PS_log</w:t>
                  </w:r>
                </w:p>
              </w:tc>
              <w:tc>
                <w:tcPr/>
                <w:p>
                  <w:pPr>
                    <w:pStyle w:val="Compact"/>
                  </w:pPr>
                </w:p>
              </w:tc>
              <w:tc>
                <w:tcPr/>
                <w:p>
                  <w:pPr>
                    <w:pStyle w:val="Compact"/>
                  </w:pPr>
                </w:p>
              </w:tc>
              <w:tc>
                <w:tcPr/>
                <w:p>
                  <w:pPr>
                    <w:pStyle w:val="Compact"/>
                    <w:jc w:val="left"/>
                    <w:jc w:val="center"/>
                  </w:pPr>
                  <w:r>
                    <w:t xml:space="preserve">-0.261***</w:t>
                  </w:r>
                </w:p>
              </w:tc>
              <w:tc>
                <w:tcPr/>
                <w:p>
                  <w:pPr>
                    <w:pStyle w:val="Compact"/>
                    <w:jc w:val="left"/>
                    <w:jc w:val="center"/>
                  </w:pPr>
                  <w:r>
                    <w:t xml:space="preserve">-0.038***</w:t>
                  </w:r>
                </w:p>
              </w:tc>
            </w:tr>
            <w:tr>
              <w:tc>
                <w:tcPr/>
                <w:p>
                  <w:pPr>
                    <w:pStyle w:val="Compact"/>
                    <w:jc w:val="left"/>
                    <w:jc w:val="center"/>
                  </w:pPr>
                  <w:r>
                    <w:t xml:space="preserve">R^2_m</w:t>
                  </w:r>
                </w:p>
              </w:tc>
              <w:tc>
                <w:tcPr/>
                <w:p>
                  <w:pPr>
                    <w:pStyle w:val="Compact"/>
                    <w:jc w:val="left"/>
                    <w:jc w:val="center"/>
                  </w:pPr>
                  <w:r>
                    <w:t xml:space="preserve">0.238</w:t>
                  </w:r>
                </w:p>
              </w:tc>
              <w:tc>
                <w:tcPr/>
                <w:p>
                  <w:pPr>
                    <w:pStyle w:val="Compact"/>
                    <w:jc w:val="left"/>
                    <w:jc w:val="center"/>
                  </w:pPr>
                  <w:r>
                    <w:t xml:space="preserve">0.220</w:t>
                  </w:r>
                </w:p>
              </w:tc>
              <w:tc>
                <w:tcPr/>
                <w:p>
                  <w:pPr>
                    <w:pStyle w:val="Compact"/>
                    <w:jc w:val="left"/>
                    <w:jc w:val="center"/>
                  </w:pPr>
                  <w:r>
                    <w:t xml:space="preserve">0.006</w:t>
                  </w:r>
                </w:p>
              </w:tc>
              <w:tc>
                <w:tcPr/>
                <w:p>
                  <w:pPr>
                    <w:pStyle w:val="Compact"/>
                    <w:jc w:val="left"/>
                    <w:jc w:val="center"/>
                  </w:pPr>
                  <w:r>
                    <w:t xml:space="preserve">0.264</w:t>
                  </w:r>
                </w:p>
              </w:tc>
            </w:tr>
            <w:tr>
              <w:tc>
                <w:tcPr/>
                <w:p>
                  <w:pPr>
                    <w:pStyle w:val="Compact"/>
                    <w:jc w:val="left"/>
                    <w:jc w:val="center"/>
                  </w:pPr>
                  <w:r>
                    <w:t xml:space="preserve">R^2_c</w:t>
                  </w:r>
                </w:p>
              </w:tc>
              <w:tc>
                <w:tcPr/>
                <w:p>
                  <w:pPr>
                    <w:pStyle w:val="Compact"/>
                    <w:jc w:val="left"/>
                    <w:jc w:val="center"/>
                  </w:pPr>
                  <w:r>
                    <w:t xml:space="preserve">0.298</w:t>
                  </w:r>
                </w:p>
              </w:tc>
              <w:tc>
                <w:tcPr/>
                <w:p>
                  <w:pPr>
                    <w:pStyle w:val="Compact"/>
                    <w:jc w:val="left"/>
                    <w:jc w:val="center"/>
                  </w:pPr>
                  <w:r>
                    <w:t xml:space="preserve">0.340</w:t>
                  </w:r>
                </w:p>
              </w:tc>
              <w:tc>
                <w:tcPr/>
                <w:p>
                  <w:pPr>
                    <w:pStyle w:val="Compact"/>
                    <w:jc w:val="left"/>
                    <w:jc w:val="center"/>
                  </w:pPr>
                  <w:r>
                    <w:t xml:space="preserve">0.871</w:t>
                  </w:r>
                </w:p>
              </w:tc>
              <w:tc>
                <w:tcPr/>
                <w:p>
                  <w:pPr>
                    <w:pStyle w:val="Compact"/>
                    <w:jc w:val="left"/>
                    <w:jc w:val="center"/>
                  </w:pPr>
                  <w:r>
                    <w:t xml:space="preserve">0.324</w:t>
                  </w:r>
                </w:p>
              </w:tc>
            </w:tr>
          </w:tbl>
          <w:bookmarkEnd w:id="81"/>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 Table 3.6, all P metrics were significant predictors of normalized yield. The model based on the kinetic</w:t>
      </w:r>
      <w:r>
        <w:t xml:space="preserve"> </w:t>
      </w:r>
      <w:r>
        <w:rPr>
          <w:b/>
          <w:bCs/>
        </w:rPr>
        <w:t xml:space="preserve">Initial P Flux (</w:t>
      </w:r>
      <m:oMath>
        <m:sSub>
          <m:e>
            <m:r>
              <m:t>J</m:t>
            </m:r>
          </m:e>
          <m:sub>
            <m:r>
              <m:t>0</m:t>
            </m:r>
          </m:sub>
        </m:sSub>
      </m:oMath>
      <w:r>
        <w:t xml:space="preserve">) explained the greatest proportion of the variance (highest marginal R²). The combined model, which included both</w:t>
      </w:r>
      <w:r>
        <w:t xml:space="preserve"> </w:t>
      </w:r>
      <m:oMath>
        <m:sSub>
          <m:e>
            <m:r>
              <m:t>P</m:t>
            </m:r>
          </m:e>
          <m:sub>
            <m:r>
              <m:t>C</m:t>
            </m:r>
            <m:sSub>
              <m:e>
                <m:r>
                  <m:t>O</m:t>
                </m:r>
              </m:e>
              <m:sub>
                <m:r>
                  <m:t>2</m:t>
                </m:r>
              </m:sub>
            </m:sSub>
          </m:sub>
        </m:sSub>
      </m:oMath>
      <w:r>
        <w:t xml:space="preserve"> </w:t>
      </w:r>
      <w:r>
        <w:t xml:space="preserve">and</w:t>
      </w:r>
      <w:r>
        <w:t xml:space="preserve"> </w:t>
      </w:r>
      <m:oMath>
        <m:sSub>
          <m:e>
            <m:r>
              <m:t>J</m:t>
            </m:r>
          </m:e>
          <m:sub>
            <m:r>
              <m:t>0</m:t>
            </m:r>
          </m:sub>
        </m:sSub>
      </m:oMath>
      <w:r>
        <w:t xml:space="preserve">, did not substantially improve the fit over the</w:t>
      </w:r>
      <w:r>
        <w:t xml:space="preserve"> </w:t>
      </w:r>
      <m:oMath>
        <m:sSub>
          <m:e>
            <m:r>
              <m:t>J</m:t>
            </m:r>
          </m:e>
          <m:sub>
            <m:r>
              <m:t>0</m:t>
            </m:r>
          </m:sub>
        </m:sSub>
      </m:oMath>
      <w:r>
        <w:t xml:space="preserve"> </w:t>
      </w:r>
      <w:r>
        <w:t xml:space="preserve">model alone, suggesting that the kinetic parameter captures most of the relevant information for predicting yield.</w:t>
      </w:r>
    </w:p>
    <w:bookmarkEnd w:id="82"/>
    <w:bookmarkStart w:id="84" w:name="predicting-p-uptake-p_up"/>
    <w:p>
      <w:pPr>
        <w:pStyle w:val="Heading3"/>
      </w:pPr>
      <w:r>
        <w:t xml:space="preserve">Predicting P Uptake (</w:t>
      </w:r>
      <m:oMath>
        <m:sSub>
          <m:e>
            <m:r>
              <m:t>P</m:t>
            </m:r>
          </m:e>
          <m:sub>
            <m:r>
              <m:t>u</m:t>
            </m:r>
            <m:r>
              <m:t>p</m:t>
            </m:r>
          </m:sub>
        </m:sSub>
      </m:oMath>
      <w:r>
        <w:t xml:space="preserve">)</w:t>
      </w:r>
    </w:p>
    <w:p>
      <w:pPr>
        <w:pStyle w:val="FirstParagraph"/>
      </w:pPr>
      <w:r>
        <w:t xml:space="preserve">For predicting P uptake by the crop, the capacity-based measures, particularly</w:t>
      </w:r>
      <w:r>
        <w:t xml:space="preserve"> </w:t>
      </w:r>
      <m:oMath>
        <m:sSub>
          <m:e>
            <m:r>
              <m:t>P</m:t>
            </m:r>
          </m:e>
          <m:sub>
            <m:r>
              <m:t>A</m:t>
            </m:r>
            <m:r>
              <m:t>A</m:t>
            </m:r>
            <m:r>
              <m:t>E</m:t>
            </m:r>
            <m:r>
              <m:t>10</m:t>
            </m:r>
          </m:sub>
        </m:sSub>
      </m:oMath>
      <w:r>
        <w:t xml:space="preserve">, were the most effective predictors (Table 3.7).</w:t>
      </w:r>
    </w:p>
    <w:tbl>
      <w:tblPr>
        <w:tblStyle w:val="Table"/>
        <w:tblW w:type="pct" w:w="5000"/>
        <w:tblLayout w:type="fixed"/>
        <w:tblLook w:firstRow="0" w:lastRow="0" w:firstColumn="0" w:lastColumn="0" w:noHBand="0" w:noVBand="0" w:val="0000"/>
      </w:tblPr>
      <w:tblGrid>
        <w:gridCol w:w="7920"/>
      </w:tblGrid>
      <w:tr>
        <w:tc>
          <w:tcPr/>
          <w:bookmarkStart w:id="83" w:name="tbl-puptake-models"/>
          <w:p>
            <w:pPr>
              <w:jc w:val="center"/>
            </w:pPr>
            <w:pPr>
              <w:jc w:val="start"/>
              <w:spacing w:before="200"/>
              <w:pStyle w:val="ImageCaption"/>
            </w:pPr>
            <w:r>
              <w:t xml:space="preserve">Table 5: Results of linear mixed-effects models predicting P Uptake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982"/>
              <w:gridCol w:w="1618"/>
              <w:gridCol w:w="1676"/>
              <w:gridCol w:w="1329"/>
              <w:gridCol w:w="2312"/>
            </w:tblGrid>
            <w:tr>
              <w:trPr>
                <w:tblHeader w:val="on"/>
              </w:trPr>
              <w:tc>
                <w:tcPr/>
                <w:p>
                  <w:pPr>
                    <w:pStyle w:val="Compact"/>
                    <w:jc w:val="left"/>
                    <w:jc w:val="center"/>
                  </w:pPr>
                  <w:r>
                    <w:t xml:space="preserve">Covariate</w:t>
                  </w:r>
                </w:p>
              </w:tc>
              <w:tc>
                <w:tcPr/>
                <w:p>
                  <w:pPr>
                    <w:pStyle w:val="Compact"/>
                    <w:jc w:val="left"/>
                    <w:jc w:val="center"/>
                  </w:pPr>
                  <m:oMath>
                    <m:sSub>
                      <m:e>
                        <m:r>
                          <m:t>P</m:t>
                        </m:r>
                      </m:e>
                      <m:sub>
                        <m:r>
                          <m:t>u</m:t>
                        </m:r>
                        <m:r>
                          <m:t>p</m:t>
                        </m:r>
                      </m:sub>
                    </m:sSub>
                    <m:r>
                      <m:rPr>
                        <m:sty m:val="p"/>
                      </m:rPr>
                      <m:t>∼</m:t>
                    </m:r>
                    <m:r>
                      <m:t>l</m:t>
                    </m:r>
                    <m:r>
                      <m:t>o</m:t>
                    </m:r>
                    <m:r>
                      <m:t>g</m:t>
                    </m:r>
                    <m:d>
                      <m:dPr>
                        <m:begChr m:val="("/>
                        <m:endChr m:val=")"/>
                        <m:sepChr m:val=""/>
                        <m:grow/>
                      </m:dPr>
                      <m:e>
                        <m:sSub>
                          <m:e>
                            <m:r>
                              <m:t>P</m:t>
                            </m:r>
                          </m:e>
                          <m:sub>
                            <m:r>
                              <m:t>C</m:t>
                            </m:r>
                            <m:sSub>
                              <m:e>
                                <m:r>
                                  <m:t>O</m:t>
                                </m:r>
                              </m:e>
                              <m:sub>
                                <m:r>
                                  <m:t>2</m:t>
                                </m:r>
                              </m:sub>
                            </m:sSub>
                          </m:sub>
                        </m:sSub>
                      </m:e>
                    </m:d>
                  </m:oMath>
                </w:p>
              </w:tc>
              <w:tc>
                <w:tcPr/>
                <w:p>
                  <w:pPr>
                    <w:pStyle w:val="Compact"/>
                    <w:jc w:val="left"/>
                    <w:jc w:val="center"/>
                  </w:pPr>
                  <m:oMath>
                    <m:sSub>
                      <m:e>
                        <m:r>
                          <m:t>P</m:t>
                        </m:r>
                      </m:e>
                      <m:sub>
                        <m:r>
                          <m:t>u</m:t>
                        </m:r>
                        <m:r>
                          <m:t>p</m:t>
                        </m:r>
                      </m:sub>
                    </m:sSub>
                    <m:r>
                      <m:rPr>
                        <m:sty m:val="p"/>
                      </m:rPr>
                      <m:t>∼</m:t>
                    </m:r>
                    <m:r>
                      <m:t>l</m:t>
                    </m:r>
                    <m:r>
                      <m:t>o</m:t>
                    </m:r>
                    <m:r>
                      <m:t>g</m:t>
                    </m:r>
                    <m:d>
                      <m:dPr>
                        <m:begChr m:val="("/>
                        <m:endChr m:val=")"/>
                        <m:sepChr m:val=""/>
                        <m:grow/>
                      </m:dPr>
                      <m:e>
                        <m:sSub>
                          <m:e>
                            <m:r>
                              <m:t>P</m:t>
                            </m:r>
                          </m:e>
                          <m:sub>
                            <m:r>
                              <m:t>A</m:t>
                            </m:r>
                            <m:r>
                              <m:t>A</m:t>
                            </m:r>
                            <m:r>
                              <m:t>E</m:t>
                            </m:r>
                            <m:r>
                              <m:t>10</m:t>
                            </m:r>
                          </m:sub>
                        </m:sSub>
                      </m:e>
                    </m:d>
                  </m:oMath>
                </w:p>
              </w:tc>
              <w:tc>
                <w:tcPr/>
                <w:p>
                  <w:pPr>
                    <w:pStyle w:val="Compact"/>
                    <w:jc w:val="left"/>
                    <w:jc w:val="center"/>
                  </w:pPr>
                  <m:oMath>
                    <m:sSub>
                      <m:e>
                        <m:r>
                          <m:t>P</m:t>
                        </m:r>
                      </m:e>
                      <m:sub>
                        <m:r>
                          <m:t>u</m:t>
                        </m:r>
                        <m:r>
                          <m:t>p</m:t>
                        </m:r>
                      </m:sub>
                    </m:sSub>
                    <m:r>
                      <m:rPr>
                        <m:sty m:val="p"/>
                      </m:rPr>
                      <m:t>∼</m:t>
                    </m:r>
                    <m:r>
                      <m:t>l</m:t>
                    </m:r>
                    <m:r>
                      <m:t>o</m:t>
                    </m:r>
                    <m:r>
                      <m:t>g</m:t>
                    </m:r>
                    <m:d>
                      <m:dPr>
                        <m:begChr m:val="("/>
                        <m:endChr m:val=")"/>
                        <m:sepChr m:val=""/>
                        <m:grow/>
                      </m:dPr>
                      <m:e>
                        <m:sSub>
                          <m:e>
                            <m:r>
                              <m:t>J</m:t>
                            </m:r>
                          </m:e>
                          <m:sub>
                            <m:r>
                              <m:t>0</m:t>
                            </m:r>
                          </m:sub>
                        </m:sSub>
                      </m:e>
                    </m:d>
                  </m:oMath>
                </w:p>
              </w:tc>
              <w:tc>
                <w:tcPr/>
                <w:p>
                  <w:pPr>
                    <w:pStyle w:val="Compact"/>
                    <w:jc w:val="left"/>
                    <w:jc w:val="center"/>
                  </w:pPr>
                  <m:oMath>
                    <m:sSub>
                      <m:e>
                        <m:r>
                          <m:t>P</m:t>
                        </m:r>
                      </m:e>
                      <m:sub>
                        <m:r>
                          <m:t>u</m:t>
                        </m:r>
                        <m:r>
                          <m:t>p</m:t>
                        </m:r>
                      </m:sub>
                    </m:sSub>
                    <m:r>
                      <m:rPr>
                        <m:sty m:val="p"/>
                      </m:rPr>
                      <m:t>∼</m:t>
                    </m:r>
                    <m:r>
                      <m:t>l</m:t>
                    </m:r>
                    <m:r>
                      <m:t>o</m:t>
                    </m:r>
                    <m:r>
                      <m:t>g</m:t>
                    </m:r>
                    <m:d>
                      <m:dPr>
                        <m:begChr m:val="("/>
                        <m:endChr m:val=")"/>
                        <m:sepChr m:val=""/>
                        <m:grow/>
                      </m:dPr>
                      <m:e>
                        <m:sSub>
                          <m:e>
                            <m:r>
                              <m:t>P</m:t>
                            </m:r>
                          </m:e>
                          <m:sub>
                            <m:r>
                              <m:t>A</m:t>
                            </m:r>
                            <m:r>
                              <m:t>A</m:t>
                            </m:r>
                            <m:r>
                              <m:t>E</m:t>
                            </m:r>
                            <m:r>
                              <m:t>10</m:t>
                            </m:r>
                          </m:sub>
                        </m:sSub>
                      </m:e>
                    </m:d>
                    <m:r>
                      <m:rPr>
                        <m:sty m:val="p"/>
                      </m:rPr>
                      <m:t>+</m:t>
                    </m:r>
                    <m:r>
                      <m:t>l</m:t>
                    </m:r>
                    <m:r>
                      <m:t>o</m:t>
                    </m:r>
                    <m:r>
                      <m:t>g</m:t>
                    </m:r>
                    <m:d>
                      <m:dPr>
                        <m:begChr m:val="("/>
                        <m:endChr m:val=")"/>
                        <m:sepChr m:val=""/>
                        <m:grow/>
                      </m:dPr>
                      <m:e>
                        <m:sSub>
                          <m:e>
                            <m:r>
                              <m:t>J</m:t>
                            </m:r>
                          </m:e>
                          <m:sub>
                            <m:r>
                              <m:t>0</m:t>
                            </m:r>
                          </m:sub>
                        </m:sSub>
                      </m:e>
                    </m:d>
                  </m:oMath>
                </w:p>
              </w:tc>
            </w:tr>
            <w:tr>
              <w:tc>
                <w:tcPr/>
                <w:p>
                  <w:pPr>
                    <w:pStyle w:val="Compact"/>
                    <w:jc w:val="left"/>
                    <w:jc w:val="center"/>
                  </w:pPr>
                  <w:r>
                    <w:t xml:space="preserve">Intercept</w:t>
                  </w:r>
                </w:p>
              </w:tc>
              <w:tc>
                <w:tcPr/>
                <w:p>
                  <w:pPr>
                    <w:pStyle w:val="Compact"/>
                    <w:jc w:val="left"/>
                    <w:jc w:val="center"/>
                  </w:pPr>
                  <w:r>
                    <w:t xml:space="preserve">27.911</w:t>
                  </w:r>
                </w:p>
              </w:tc>
              <w:tc>
                <w:tcPr/>
                <w:p>
                  <w:pPr>
                    <w:pStyle w:val="Compact"/>
                    <w:jc w:val="left"/>
                    <w:jc w:val="center"/>
                  </w:pPr>
                  <w:r>
                    <w:t xml:space="preserve">7.568</w:t>
                  </w:r>
                </w:p>
              </w:tc>
              <w:tc>
                <w:tcPr/>
                <w:p>
                  <w:pPr>
                    <w:pStyle w:val="Compact"/>
                    <w:jc w:val="left"/>
                    <w:jc w:val="center"/>
                  </w:pPr>
                  <w:r>
                    <w:t xml:space="preserve">29.995</w:t>
                  </w:r>
                </w:p>
              </w:tc>
              <w:tc>
                <w:tcPr/>
                <w:p>
                  <w:pPr>
                    <w:pStyle w:val="Compact"/>
                    <w:jc w:val="left"/>
                    <w:jc w:val="center"/>
                  </w:pPr>
                  <w:r>
                    <w:t xml:space="preserve">22.934</w:t>
                  </w:r>
                </w:p>
              </w:tc>
            </w:tr>
            <w:tr>
              <w:tc>
                <w:tcPr/>
                <w:p>
                  <w:pPr>
                    <w:pStyle w:val="Compact"/>
                    <w:jc w:val="left"/>
                    <w:jc w:val="center"/>
                  </w:pPr>
                  <w:r>
                    <w:t xml:space="preserve">k</w:t>
                  </w:r>
                </w:p>
              </w:tc>
              <w:tc>
                <w:tcPr/>
                <w:p>
                  <w:pPr>
                    <w:pStyle w:val="Compact"/>
                  </w:pPr>
                </w:p>
              </w:tc>
              <w:tc>
                <w:tcPr/>
                <w:p>
                  <w:pPr>
                    <w:pStyle w:val="Compact"/>
                  </w:pPr>
                </w:p>
              </w:tc>
              <w:tc>
                <w:tcPr/>
                <w:p>
                  <w:pPr>
                    <w:pStyle w:val="Compact"/>
                    <w:jc w:val="left"/>
                    <w:jc w:val="center"/>
                  </w:pPr>
                  <w:r>
                    <w:t xml:space="preserve">22.547</w:t>
                  </w:r>
                </w:p>
              </w:tc>
              <w:tc>
                <w:tcPr/>
                <w:p>
                  <w:pPr>
                    <w:pStyle w:val="Compact"/>
                    <w:jc w:val="left"/>
                    <w:jc w:val="center"/>
                  </w:pPr>
                  <w:r>
                    <w:t xml:space="preserve">13.465</w:t>
                  </w:r>
                </w:p>
              </w:tc>
            </w:tr>
            <w:tr>
              <w:tc>
                <w:tcPr/>
                <w:p>
                  <w:pPr>
                    <w:pStyle w:val="Compact"/>
                    <w:jc w:val="left"/>
                    <w:jc w:val="center"/>
                  </w:pPr>
                  <w:r>
                    <w:t xml:space="preserve">k:PS_log</w:t>
                  </w:r>
                </w:p>
              </w:tc>
              <w:tc>
                <w:tcPr/>
                <w:p>
                  <w:pPr>
                    <w:pStyle w:val="Compact"/>
                  </w:pPr>
                </w:p>
              </w:tc>
              <w:tc>
                <w:tcPr/>
                <w:p>
                  <w:pPr>
                    <w:pStyle w:val="Compact"/>
                  </w:pPr>
                </w:p>
              </w:tc>
              <w:tc>
                <w:tcPr/>
                <w:p>
                  <w:pPr>
                    <w:pStyle w:val="Compact"/>
                    <w:jc w:val="left"/>
                    <w:jc w:val="center"/>
                  </w:pPr>
                  <w:r>
                    <w:t xml:space="preserve">11.860</w:t>
                  </w:r>
                </w:p>
              </w:tc>
              <w:tc>
                <w:tcPr/>
                <w:p>
                  <w:pPr>
                    <w:pStyle w:val="Compact"/>
                    <w:jc w:val="left"/>
                    <w:jc w:val="center"/>
                  </w:pPr>
                  <w:r>
                    <w:t xml:space="preserve">8.578</w:t>
                  </w:r>
                </w:p>
              </w:tc>
            </w:tr>
            <w:tr>
              <w:tc>
                <w:tcPr/>
                <w:p>
                  <w:pPr>
                    <w:pStyle w:val="Compact"/>
                    <w:jc w:val="left"/>
                    <w:jc w:val="center"/>
                  </w:pPr>
                  <m:oMath>
                    <m:r>
                      <m:t>l</m:t>
                    </m:r>
                    <m:r>
                      <m:t>o</m:t>
                    </m:r>
                    <m:r>
                      <m:t>g</m:t>
                    </m:r>
                    <m:d>
                      <m:dPr>
                        <m:begChr m:val="("/>
                        <m:endChr m:val=")"/>
                        <m:sepChr m:val=""/>
                        <m:grow/>
                      </m:dPr>
                      <m:e>
                        <m:sSub>
                          <m:e>
                            <m:r>
                              <m:t>P</m:t>
                            </m:r>
                          </m:e>
                          <m:sub>
                            <m:r>
                              <m:t>A</m:t>
                            </m:r>
                            <m:r>
                              <m:t>A</m:t>
                            </m:r>
                            <m:r>
                              <m:t>E</m:t>
                            </m:r>
                            <m:r>
                              <m:t>10</m:t>
                            </m:r>
                          </m:sub>
                        </m:sSub>
                      </m:e>
                    </m:d>
                  </m:oMath>
                </w:p>
              </w:tc>
              <w:tc>
                <w:tcPr/>
                <w:p>
                  <w:pPr>
                    <w:pStyle w:val="Compact"/>
                  </w:pPr>
                </w:p>
              </w:tc>
              <w:tc>
                <w:tcPr/>
                <w:p>
                  <w:pPr>
                    <w:pStyle w:val="Compact"/>
                    <w:jc w:val="left"/>
                    <w:jc w:val="center"/>
                  </w:pPr>
                  <w:r>
                    <w:t xml:space="preserve">5.094</w:t>
                  </w:r>
                </w:p>
              </w:tc>
              <w:tc>
                <w:tcPr/>
                <w:p>
                  <w:pPr>
                    <w:pStyle w:val="Compact"/>
                  </w:pPr>
                </w:p>
              </w:tc>
              <w:tc>
                <w:tcPr/>
                <w:p>
                  <w:pPr>
                    <w:pStyle w:val="Compact"/>
                    <w:jc w:val="left"/>
                    <w:jc w:val="center"/>
                  </w:pPr>
                  <w:r>
                    <w:t xml:space="preserve">1.782</w:t>
                  </w:r>
                </w:p>
              </w:tc>
            </w:tr>
            <w:tr>
              <w:tc>
                <w:tcPr/>
                <w:p>
                  <w:pPr>
                    <w:pStyle w:val="Compact"/>
                    <w:jc w:val="left"/>
                    <w:jc w:val="center"/>
                  </w:pPr>
                  <m:oMath>
                    <m:r>
                      <m:t>l</m:t>
                    </m:r>
                    <m:r>
                      <m:t>o</m:t>
                    </m:r>
                    <m:r>
                      <m:t>g</m:t>
                    </m:r>
                    <m:d>
                      <m:dPr>
                        <m:begChr m:val="("/>
                        <m:endChr m:val=")"/>
                        <m:sepChr m:val=""/>
                        <m:grow/>
                      </m:dPr>
                      <m:e>
                        <m:sSub>
                          <m:e>
                            <m:r>
                              <m:t>P</m:t>
                            </m:r>
                          </m:e>
                          <m:sub>
                            <m:r>
                              <m:t>C</m:t>
                            </m:r>
                            <m:sSub>
                              <m:e>
                                <m:r>
                                  <m:t>O</m:t>
                                </m:r>
                              </m:e>
                              <m:sub>
                                <m:r>
                                  <m:t>2</m:t>
                                </m:r>
                              </m:sub>
                            </m:sSub>
                          </m:sub>
                        </m:sSub>
                      </m:e>
                    </m:d>
                  </m:oMath>
                </w:p>
              </w:tc>
              <w:tc>
                <w:tcPr/>
                <w:p>
                  <w:pPr>
                    <w:pStyle w:val="Compact"/>
                    <w:jc w:val="left"/>
                    <w:jc w:val="center"/>
                  </w:pPr>
                  <w:r>
                    <w:t xml:space="preserve">5.177</w:t>
                  </w:r>
                </w:p>
              </w:tc>
              <w:tc>
                <w:tcPr/>
                <w:p>
                  <w:pPr>
                    <w:pStyle w:val="Compact"/>
                  </w:pPr>
                </w:p>
              </w:tc>
              <w:tc>
                <w:tcPr/>
                <w:p>
                  <w:pPr>
                    <w:pStyle w:val="Compact"/>
                  </w:pPr>
                </w:p>
              </w:tc>
              <w:tc>
                <w:tcPr/>
                <w:p>
                  <w:pPr>
                    <w:pStyle w:val="Compact"/>
                  </w:pPr>
                </w:p>
              </w:tc>
            </w:tr>
            <w:tr>
              <w:tc>
                <w:tcPr/>
                <w:p>
                  <w:pPr>
                    <w:pStyle w:val="Compact"/>
                    <w:jc w:val="left"/>
                    <w:jc w:val="center"/>
                  </w:pPr>
                  <w:r>
                    <w:t xml:space="preserve">PS_log</w:t>
                  </w:r>
                </w:p>
              </w:tc>
              <w:tc>
                <w:tcPr/>
                <w:p>
                  <w:pPr>
                    <w:pStyle w:val="Compact"/>
                  </w:pPr>
                </w:p>
              </w:tc>
              <w:tc>
                <w:tcPr/>
                <w:p>
                  <w:pPr>
                    <w:pStyle w:val="Compact"/>
                  </w:pPr>
                </w:p>
              </w:tc>
              <w:tc>
                <w:tcPr/>
                <w:p>
                  <w:pPr>
                    <w:pStyle w:val="Compact"/>
                    <w:jc w:val="left"/>
                    <w:jc w:val="center"/>
                  </w:pPr>
                  <w:r>
                    <w:t xml:space="preserve">1.965</w:t>
                  </w:r>
                </w:p>
              </w:tc>
              <w:tc>
                <w:tcPr/>
                <w:p>
                  <w:pPr>
                    <w:pStyle w:val="Compact"/>
                    <w:jc w:val="left"/>
                    <w:jc w:val="center"/>
                  </w:pPr>
                  <w:r>
                    <w:t xml:space="preserve">1.336</w:t>
                  </w:r>
                </w:p>
              </w:tc>
            </w:tr>
            <w:tr>
              <w:tc>
                <w:tcPr/>
                <w:p>
                  <w:pPr>
                    <w:pStyle w:val="Compact"/>
                    <w:jc w:val="left"/>
                    <w:jc w:val="center"/>
                  </w:pPr>
                  <w:r>
                    <w:t xml:space="preserve">R^2_m</w:t>
                  </w:r>
                </w:p>
              </w:tc>
              <w:tc>
                <w:tcPr/>
                <w:p>
                  <w:pPr>
                    <w:pStyle w:val="Compact"/>
                    <w:jc w:val="left"/>
                    <w:jc w:val="center"/>
                  </w:pPr>
                  <w:r>
                    <w:t xml:space="preserve">0.069</w:t>
                  </w:r>
                </w:p>
              </w:tc>
              <w:tc>
                <w:tcPr/>
                <w:p>
                  <w:pPr>
                    <w:pStyle w:val="Compact"/>
                    <w:jc w:val="left"/>
                    <w:jc w:val="center"/>
                  </w:pPr>
                  <w:r>
                    <w:t xml:space="preserve">0.087</w:t>
                  </w:r>
                </w:p>
              </w:tc>
              <w:tc>
                <w:tcPr/>
                <w:p>
                  <w:pPr>
                    <w:pStyle w:val="Compact"/>
                    <w:jc w:val="left"/>
                    <w:jc w:val="center"/>
                  </w:pPr>
                  <w:r>
                    <w:t xml:space="preserve">0.069</w:t>
                  </w:r>
                </w:p>
              </w:tc>
              <w:tc>
                <w:tcPr/>
                <w:p>
                  <w:pPr>
                    <w:pStyle w:val="Compact"/>
                    <w:jc w:val="left"/>
                    <w:jc w:val="center"/>
                  </w:pPr>
                  <w:r>
                    <w:t xml:space="preserve">0.069</w:t>
                  </w:r>
                </w:p>
              </w:tc>
            </w:tr>
            <w:tr>
              <w:tc>
                <w:tcPr/>
                <w:p>
                  <w:pPr>
                    <w:pStyle w:val="Compact"/>
                    <w:jc w:val="left"/>
                    <w:jc w:val="center"/>
                  </w:pPr>
                  <w:r>
                    <w:t xml:space="preserve">R^2_c</w:t>
                  </w:r>
                </w:p>
              </w:tc>
              <w:tc>
                <w:tcPr/>
                <w:p>
                  <w:pPr>
                    <w:pStyle w:val="Compact"/>
                    <w:jc w:val="left"/>
                    <w:jc w:val="center"/>
                  </w:pPr>
                  <w:r>
                    <w:t xml:space="preserve">0.621</w:t>
                  </w:r>
                </w:p>
              </w:tc>
              <w:tc>
                <w:tcPr/>
                <w:p>
                  <w:pPr>
                    <w:pStyle w:val="Compact"/>
                    <w:jc w:val="left"/>
                    <w:jc w:val="center"/>
                  </w:pPr>
                  <w:r>
                    <w:t xml:space="preserve">0.598</w:t>
                  </w:r>
                </w:p>
              </w:tc>
              <w:tc>
                <w:tcPr/>
                <w:p>
                  <w:pPr>
                    <w:pStyle w:val="Compact"/>
                    <w:jc w:val="left"/>
                    <w:jc w:val="center"/>
                  </w:pPr>
                  <w:r>
                    <w:t xml:space="preserve">0.645</w:t>
                  </w:r>
                </w:p>
              </w:tc>
              <w:tc>
                <w:tcPr/>
                <w:p>
                  <w:pPr>
                    <w:pStyle w:val="Compact"/>
                    <w:jc w:val="left"/>
                    <w:jc w:val="center"/>
                  </w:pPr>
                  <w:r>
                    <w:t xml:space="preserve">0.626</w:t>
                  </w:r>
                </w:p>
              </w:tc>
            </w:tr>
          </w:tbl>
          <w:bookmarkEnd w:id="83"/>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w:t>
      </w:r>
      <w:r>
        <w:t xml:space="preserve"> </w:t>
      </w:r>
      <w:r>
        <w:rPr>
          <w:b/>
          <w:bCs/>
        </w:rPr>
        <w:t xml:space="preserve">Chelate-Extractable P (</w:t>
      </w:r>
      <m:oMath>
        <m:sSub>
          <m:e>
            <m:r>
              <m:t>P</m:t>
            </m:r>
          </m:e>
          <m:sub>
            <m:r>
              <m:t>A</m:t>
            </m:r>
            <m:r>
              <m:t>A</m:t>
            </m:r>
            <m:r>
              <m:t>E</m:t>
            </m:r>
            <m:r>
              <m:t>10</m:t>
            </m:r>
          </m:sub>
        </m:sSub>
      </m:oMath>
      <w:r>
        <w:t xml:space="preserve">) was the strongest individual predictor of P uptake. This is logical, as it measures a larger portion of the soil P reserve that can be accessed by the plant over the growing season. However, the full model combining</w:t>
      </w:r>
      <w:r>
        <w:t xml:space="preserve"> </w:t>
      </w:r>
      <m:oMath>
        <m:sSub>
          <m:e>
            <m:r>
              <m:t>P</m:t>
            </m:r>
          </m:e>
          <m:sub>
            <m:r>
              <m:t>A</m:t>
            </m:r>
            <m:r>
              <m:t>A</m:t>
            </m:r>
            <m:r>
              <m:t>E</m:t>
            </m:r>
            <m:r>
              <m:t>10</m:t>
            </m:r>
          </m:sub>
        </m:sSub>
      </m:oMath>
      <w:r>
        <w:t xml:space="preserve"> </w:t>
      </w:r>
      <w:r>
        <w:t xml:space="preserve">and the kinetic flux</w:t>
      </w:r>
      <w:r>
        <w:t xml:space="preserve"> </w:t>
      </w:r>
      <m:oMath>
        <m:sSub>
          <m:e>
            <m:r>
              <m:t>J</m:t>
            </m:r>
          </m:e>
          <m:sub>
            <m:r>
              <m:t>0</m:t>
            </m:r>
          </m:sub>
        </m:sSub>
      </m:oMath>
      <w:r>
        <w:t xml:space="preserve"> </w:t>
      </w:r>
      <w:r>
        <w:t xml:space="preserve">provided the best overall fit, indicating that both parameters contribute unique information to the prediction of P uptake.</w:t>
      </w:r>
    </w:p>
    <w:bookmarkEnd w:id="84"/>
    <w:bookmarkStart w:id="86" w:name="predicting-p-balance-p_bal"/>
    <w:p>
      <w:pPr>
        <w:pStyle w:val="Heading3"/>
      </w:pPr>
      <w:r>
        <w:t xml:space="preserve">Predicting P Balance (</w:t>
      </w:r>
      <m:oMath>
        <m:sSub>
          <m:e>
            <m:r>
              <m:t>P</m:t>
            </m:r>
          </m:e>
          <m:sub>
            <m:r>
              <m:t>b</m:t>
            </m:r>
            <m:r>
              <m:t>a</m:t>
            </m:r>
            <m:r>
              <m:t>l</m:t>
            </m:r>
          </m:sub>
        </m:sSub>
      </m:oMath>
      <w:r>
        <w:t xml:space="preserve">)</w:t>
      </w:r>
    </w:p>
    <w:p>
      <w:pPr>
        <w:pStyle w:val="FirstParagraph"/>
      </w:pPr>
      <w:r>
        <w:t xml:space="preserve">The P balance was strongly predicted by all P metrics (Table 3.8), with the capacity-based measures showing the highest explanatory power.</w:t>
      </w:r>
    </w:p>
    <w:tbl>
      <w:tblPr>
        <w:tblStyle w:val="Table"/>
        <w:tblW w:type="pct" w:w="5000"/>
        <w:tblLayout w:type="fixed"/>
        <w:tblLook w:firstRow="0" w:lastRow="0" w:firstColumn="0" w:lastColumn="0" w:noHBand="0" w:noVBand="0" w:val="0000"/>
      </w:tblPr>
      <w:tblGrid>
        <w:gridCol w:w="7920"/>
      </w:tblGrid>
      <w:tr>
        <w:tc>
          <w:tcPr/>
          <w:bookmarkStart w:id="85" w:name="tbl-pbalance-models"/>
          <w:p>
            <w:pPr>
              <w:jc w:val="center"/>
            </w:pPr>
            <w:pPr>
              <w:jc w:val="start"/>
              <w:spacing w:before="200"/>
              <w:pStyle w:val="ImageCaption"/>
            </w:pPr>
            <w:r>
              <w:t xml:space="preserve">Table 6: Results of linear mixed-effects models predicting P 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1088"/>
              <w:gridCol w:w="1450"/>
              <w:gridCol w:w="1511"/>
              <w:gridCol w:w="1571"/>
              <w:gridCol w:w="2297"/>
            </w:tblGrid>
            <w:tr>
              <w:trPr>
                <w:tblHeader w:val="on"/>
              </w:trPr>
              <w:tc>
                <w:tcPr/>
                <w:p>
                  <w:pPr>
                    <w:pStyle w:val="Compact"/>
                    <w:jc w:val="left"/>
                    <w:jc w:val="center"/>
                  </w:pPr>
                  <w:r>
                    <w:t xml:space="preserve">Covariate</w:t>
                  </w:r>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oMath>
                </w:p>
              </w:tc>
              <w:tc>
                <w:tcPr/>
                <w:p>
                  <w:pPr>
                    <w:pStyle w:val="Compact"/>
                    <w:jc w:val="left"/>
                    <w:jc w:val="center"/>
                  </w:pPr>
                  <m:oMath>
                    <m:sSub>
                      <m:e>
                        <m:r>
                          <m:t>P</m:t>
                        </m:r>
                      </m:e>
                      <m:sub>
                        <m:r>
                          <m:t>b</m:t>
                        </m:r>
                        <m:r>
                          <m:t>a</m:t>
                        </m:r>
                        <m:r>
                          <m:t>l</m:t>
                        </m:r>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sSub>
                      <m:e>
                        <m:r>
                          <m:t>P</m:t>
                        </m:r>
                      </m:e>
                      <m:sub>
                        <m:r>
                          <m:t>d</m:t>
                        </m:r>
                        <m:r>
                          <m:t>e</m:t>
                        </m:r>
                        <m:r>
                          <m:t>s</m:t>
                        </m:r>
                        <m:r>
                          <m:t>o</m:t>
                        </m:r>
                        <m:r>
                          <m:t>r</m:t>
                        </m:r>
                        <m:r>
                          <m:t>b</m:t>
                        </m:r>
                      </m:sub>
                    </m:sSub>
                  </m:oMath>
                </w:p>
              </w:tc>
              <w:tc>
                <w:tcPr/>
                <w:p>
                  <w:pPr>
                    <w:pStyle w:val="Compact"/>
                    <w:jc w:val="left"/>
                    <w:jc w:val="center"/>
                  </w:pPr>
                  <m:oMath>
                    <m:sSub>
                      <m:e>
                        <m:r>
                          <m:t>P</m:t>
                        </m:r>
                      </m:e>
                      <m:sub>
                        <m:r>
                          <m:t>b</m:t>
                        </m:r>
                        <m:r>
                          <m:t>a</m:t>
                        </m:r>
                        <m:r>
                          <m:t>l</m:t>
                        </m:r>
                      </m:sub>
                    </m:sSub>
                    <m:r>
                      <m:rPr>
                        <m:sty m:val="p"/>
                      </m:rPr>
                      <m:t>∼</m:t>
                    </m:r>
                    <m:sSub>
                      <m:e>
                        <m:r>
                          <m:t>P</m:t>
                        </m:r>
                      </m:e>
                      <m:sub>
                        <m:r>
                          <m:t>A</m:t>
                        </m:r>
                        <m:r>
                          <m:t>A</m:t>
                        </m:r>
                        <m:r>
                          <m:t>E</m:t>
                        </m:r>
                        <m:r>
                          <m:t>10</m:t>
                        </m:r>
                      </m:sub>
                    </m:sSub>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22.190</w:t>
                  </w:r>
                </w:p>
              </w:tc>
              <w:tc>
                <w:tcPr/>
                <w:p>
                  <w:pPr>
                    <w:pStyle w:val="Compact"/>
                    <w:jc w:val="left"/>
                    <w:jc w:val="center"/>
                  </w:pPr>
                  <w:r>
                    <w:t xml:space="preserve">-78.314***</w:t>
                  </w:r>
                </w:p>
              </w:tc>
              <w:tc>
                <w:tcPr/>
                <w:p>
                  <w:pPr>
                    <w:pStyle w:val="Compact"/>
                    <w:jc w:val="left"/>
                    <w:jc w:val="center"/>
                  </w:pPr>
                  <w:r>
                    <w:t xml:space="preserve">43.892</w:t>
                  </w:r>
                </w:p>
              </w:tc>
              <w:tc>
                <w:tcPr/>
                <w:p>
                  <w:pPr>
                    <w:pStyle w:val="Compact"/>
                    <w:jc w:val="left"/>
                    <w:jc w:val="center"/>
                  </w:pPr>
                  <w:r>
                    <w:t xml:space="preserve">31.749</w:t>
                  </w:r>
                </w:p>
              </w:tc>
            </w:tr>
            <w:tr>
              <w:tc>
                <w:tcPr/>
                <w:p>
                  <w:pPr>
                    <w:pStyle w:val="Compact"/>
                    <w:jc w:val="left"/>
                    <w:jc w:val="center"/>
                  </w:pPr>
                  <w:r>
                    <w:t xml:space="preserve">k</w:t>
                  </w:r>
                </w:p>
              </w:tc>
              <w:tc>
                <w:tcPr/>
                <w:p>
                  <w:pPr>
                    <w:pStyle w:val="Compact"/>
                  </w:pPr>
                </w:p>
              </w:tc>
              <w:tc>
                <w:tcPr/>
                <w:p>
                  <w:pPr>
                    <w:pStyle w:val="Compact"/>
                  </w:pPr>
                </w:p>
              </w:tc>
              <w:tc>
                <w:tcPr/>
                <w:p>
                  <w:pPr>
                    <w:pStyle w:val="Compact"/>
                    <w:jc w:val="left"/>
                    <w:jc w:val="center"/>
                  </w:pPr>
                  <w:r>
                    <w:t xml:space="preserve">68.429</w:t>
                  </w:r>
                </w:p>
              </w:tc>
              <w:tc>
                <w:tcPr/>
                <w:p>
                  <w:pPr>
                    <w:pStyle w:val="Compact"/>
                    <w:jc w:val="left"/>
                    <w:jc w:val="center"/>
                  </w:pPr>
                  <w:r>
                    <w:t xml:space="preserve">55.653</w:t>
                  </w:r>
                </w:p>
              </w:tc>
            </w:tr>
            <w:tr>
              <w:tc>
                <w:tcPr/>
                <w:p>
                  <w:pPr>
                    <w:pStyle w:val="Compact"/>
                    <w:jc w:val="left"/>
                    <w:jc w:val="center"/>
                  </w:pPr>
                  <w:r>
                    <w:t xml:space="preserve">k:PS_log</w:t>
                  </w:r>
                </w:p>
              </w:tc>
              <w:tc>
                <w:tcPr/>
                <w:p>
                  <w:pPr>
                    <w:pStyle w:val="Compact"/>
                  </w:pPr>
                </w:p>
              </w:tc>
              <w:tc>
                <w:tcPr/>
                <w:p>
                  <w:pPr>
                    <w:pStyle w:val="Compact"/>
                  </w:pPr>
                </w:p>
              </w:tc>
              <w:tc>
                <w:tcPr/>
                <w:p>
                  <w:pPr>
                    <w:pStyle w:val="Compact"/>
                    <w:jc w:val="left"/>
                    <w:jc w:val="center"/>
                  </w:pPr>
                  <w:r>
                    <w:t xml:space="preserve">27.107</w:t>
                  </w:r>
                </w:p>
              </w:tc>
              <w:tc>
                <w:tcPr/>
                <w:p>
                  <w:pPr>
                    <w:pStyle w:val="Compact"/>
                    <w:jc w:val="left"/>
                    <w:jc w:val="center"/>
                  </w:pPr>
                  <w:r>
                    <w:t xml:space="preserve">23.015</w:t>
                  </w:r>
                </w:p>
              </w:tc>
            </w:tr>
            <w:tr>
              <w:tc>
                <w:tcPr/>
                <w:p>
                  <w:pPr>
                    <w:pStyle w:val="Compact"/>
                    <w:jc w:val="left"/>
                    <w:jc w:val="center"/>
                  </w:pPr>
                  <m:oMath>
                    <m:r>
                      <m:t>l</m:t>
                    </m:r>
                    <m:r>
                      <m:t>o</m:t>
                    </m:r>
                    <m:r>
                      <m:t>g</m:t>
                    </m:r>
                    <m:d>
                      <m:dPr>
                        <m:begChr m:val="("/>
                        <m:endChr m:val=")"/>
                        <m:sepChr m:val=""/>
                        <m:grow/>
                      </m:dPr>
                      <m:e>
                        <m:sSub>
                          <m:e>
                            <m:r>
                              <m:t>P</m:t>
                            </m:r>
                          </m:e>
                          <m:sub>
                            <m:r>
                              <m:t>A</m:t>
                            </m:r>
                            <m:r>
                              <m:t>A</m:t>
                            </m:r>
                            <m:r>
                              <m:t>E</m:t>
                            </m:r>
                            <m:r>
                              <m:t>10</m:t>
                            </m:r>
                          </m:sub>
                        </m:sSub>
                      </m:e>
                    </m:d>
                  </m:oMath>
                </w:p>
              </w:tc>
              <w:tc>
                <w:tcPr/>
                <w:p>
                  <w:pPr>
                    <w:pStyle w:val="Compact"/>
                  </w:pPr>
                </w:p>
              </w:tc>
              <w:tc>
                <w:tcPr/>
                <w:p>
                  <w:pPr>
                    <w:pStyle w:val="Compact"/>
                    <w:jc w:val="left"/>
                    <w:jc w:val="center"/>
                  </w:pPr>
                  <w:r>
                    <w:t xml:space="preserve">25.265</w:t>
                  </w:r>
                </w:p>
              </w:tc>
              <w:tc>
                <w:tcPr/>
                <w:p>
                  <w:pPr>
                    <w:pStyle w:val="Compact"/>
                  </w:pPr>
                </w:p>
              </w:tc>
              <w:tc>
                <w:tcPr/>
                <w:p>
                  <w:pPr>
                    <w:pStyle w:val="Compact"/>
                    <w:jc w:val="left"/>
                    <w:jc w:val="center"/>
                  </w:pPr>
                  <w:r>
                    <w:t xml:space="preserve">2.954</w:t>
                  </w:r>
                </w:p>
              </w:tc>
            </w:tr>
            <w:tr>
              <w:tc>
                <w:tcPr/>
                <w:p>
                  <w:pPr>
                    <w:pStyle w:val="Compact"/>
                    <w:jc w:val="left"/>
                    <w:jc w:val="center"/>
                  </w:pPr>
                  <m:oMath>
                    <m:r>
                      <m:t>l</m:t>
                    </m:r>
                    <m:r>
                      <m:t>o</m:t>
                    </m:r>
                    <m:r>
                      <m:t>g</m:t>
                    </m:r>
                    <m:d>
                      <m:dPr>
                        <m:begChr m:val="("/>
                        <m:endChr m:val=")"/>
                        <m:sepChr m:val=""/>
                        <m:grow/>
                      </m:dPr>
                      <m:e>
                        <m:sSub>
                          <m:e>
                            <m:r>
                              <m:t>P</m:t>
                            </m:r>
                          </m:e>
                          <m:sub>
                            <m:r>
                              <m:t>C</m:t>
                            </m:r>
                            <m:sSub>
                              <m:e>
                                <m:r>
                                  <m:t>O</m:t>
                                </m:r>
                              </m:e>
                              <m:sub>
                                <m:r>
                                  <m:t>2</m:t>
                                </m:r>
                              </m:sub>
                            </m:sSub>
                          </m:sub>
                        </m:sSub>
                      </m:e>
                    </m:d>
                  </m:oMath>
                </w:p>
              </w:tc>
              <w:tc>
                <w:tcPr/>
                <w:p>
                  <w:pPr>
                    <w:pStyle w:val="Compact"/>
                    <w:jc w:val="left"/>
                    <w:jc w:val="center"/>
                  </w:pPr>
                  <w:r>
                    <w:t xml:space="preserve">25.011</w:t>
                  </w:r>
                </w:p>
              </w:tc>
              <w:tc>
                <w:tcPr/>
                <w:p>
                  <w:pPr>
                    <w:pStyle w:val="Compact"/>
                  </w:pPr>
                </w:p>
              </w:tc>
              <w:tc>
                <w:tcPr/>
                <w:p>
                  <w:pPr>
                    <w:pStyle w:val="Compact"/>
                  </w:pPr>
                </w:p>
              </w:tc>
              <w:tc>
                <w:tcPr/>
                <w:p>
                  <w:pPr>
                    <w:pStyle w:val="Compact"/>
                  </w:pPr>
                </w:p>
              </w:tc>
            </w:tr>
            <w:tr>
              <w:tc>
                <w:tcPr/>
                <w:p>
                  <w:pPr>
                    <w:pStyle w:val="Compact"/>
                    <w:jc w:val="left"/>
                    <w:jc w:val="center"/>
                  </w:pPr>
                  <m:oMath>
                    <m:r>
                      <m:t>l</m:t>
                    </m:r>
                    <m:r>
                      <m:t>o</m:t>
                    </m:r>
                    <m:r>
                      <m:t>g</m:t>
                    </m:r>
                    <m:d>
                      <m:dPr>
                        <m:begChr m:val="("/>
                        <m:endChr m:val=")"/>
                        <m:sep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jc w:val="left"/>
                    <w:jc w:val="center"/>
                  </w:pPr>
                  <w:r>
                    <w:t xml:space="preserve">17.187</w:t>
                  </w:r>
                </w:p>
              </w:tc>
              <w:tc>
                <w:tcPr/>
                <w:p>
                  <w:pPr>
                    <w:pStyle w:val="Compact"/>
                    <w:jc w:val="left"/>
                    <w:jc w:val="center"/>
                  </w:pPr>
                  <w:r>
                    <w:t xml:space="preserve">15.885</w:t>
                  </w:r>
                </w:p>
              </w:tc>
            </w:tr>
            <w:tr>
              <w:tc>
                <w:tcPr/>
                <w:p>
                  <w:pPr>
                    <w:pStyle w:val="Compact"/>
                    <w:jc w:val="left"/>
                    <w:jc w:val="center"/>
                  </w:pPr>
                  <w:r>
                    <w:t xml:space="preserve">R^2_m</w:t>
                  </w:r>
                </w:p>
              </w:tc>
              <w:tc>
                <w:tcPr/>
                <w:p>
                  <w:pPr>
                    <w:pStyle w:val="Compact"/>
                    <w:jc w:val="left"/>
                    <w:jc w:val="center"/>
                  </w:pPr>
                  <w:r>
                    <w:t xml:space="preserve">0.480</w:t>
                  </w:r>
                </w:p>
              </w:tc>
              <w:tc>
                <w:tcPr/>
                <w:p>
                  <w:pPr>
                    <w:pStyle w:val="Compact"/>
                    <w:jc w:val="left"/>
                    <w:jc w:val="center"/>
                  </w:pPr>
                  <w:r>
                    <w:t xml:space="preserve">0.428</w:t>
                  </w:r>
                </w:p>
              </w:tc>
              <w:tc>
                <w:tcPr/>
                <w:p>
                  <w:pPr>
                    <w:pStyle w:val="Compact"/>
                    <w:jc w:val="left"/>
                    <w:jc w:val="center"/>
                  </w:pPr>
                  <w:r>
                    <w:t xml:space="preserve">0.558</w:t>
                  </w:r>
                </w:p>
              </w:tc>
              <w:tc>
                <w:tcPr/>
                <w:p>
                  <w:pPr>
                    <w:pStyle w:val="Compact"/>
                    <w:jc w:val="left"/>
                    <w:jc w:val="center"/>
                  </w:pPr>
                  <w:r>
                    <w:t xml:space="preserve">0.559</w:t>
                  </w:r>
                </w:p>
              </w:tc>
            </w:tr>
            <w:tr>
              <w:tc>
                <w:tcPr/>
                <w:p>
                  <w:pPr>
                    <w:pStyle w:val="Compact"/>
                    <w:jc w:val="left"/>
                    <w:jc w:val="center"/>
                  </w:pPr>
                  <w:r>
                    <w:t xml:space="preserve">R^2_c</w:t>
                  </w:r>
                </w:p>
              </w:tc>
              <w:tc>
                <w:tcPr/>
                <w:p>
                  <w:pPr>
                    <w:pStyle w:val="Compact"/>
                    <w:jc w:val="left"/>
                    <w:jc w:val="center"/>
                  </w:pPr>
                  <w:r>
                    <w:t xml:space="preserve">0.670</w:t>
                  </w:r>
                </w:p>
              </w:tc>
              <w:tc>
                <w:tcPr/>
                <w:p>
                  <w:pPr>
                    <w:pStyle w:val="Compact"/>
                    <w:jc w:val="left"/>
                    <w:jc w:val="center"/>
                  </w:pPr>
                  <w:r>
                    <w:t xml:space="preserve">0.743</w:t>
                  </w:r>
                </w:p>
              </w:tc>
              <w:tc>
                <w:tcPr/>
                <w:p>
                  <w:pPr>
                    <w:pStyle w:val="Compact"/>
                    <w:jc w:val="left"/>
                    <w:jc w:val="center"/>
                  </w:pPr>
                  <w:r>
                    <w:t xml:space="preserve">0.752</w:t>
                  </w:r>
                </w:p>
              </w:tc>
              <w:tc>
                <w:tcPr/>
                <w:p>
                  <w:pPr>
                    <w:pStyle w:val="Compact"/>
                    <w:jc w:val="left"/>
                    <w:jc w:val="center"/>
                  </w:pPr>
                  <w:r>
                    <w:t xml:space="preserve">0.744</w:t>
                  </w:r>
                </w:p>
              </w:tc>
            </w:tr>
          </w:tbl>
          <w:bookmarkEnd w:id="85"/>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 Table 3.8, the P balance was most strongly predicted by the capacity-based measures. The</w:t>
      </w:r>
      <w:r>
        <w:t xml:space="preserve"> </w:t>
      </w:r>
      <w:r>
        <w:rPr>
          <w:b/>
          <w:bCs/>
        </w:rPr>
        <w:t xml:space="preserve">Desorbable P (</w:t>
      </w:r>
      <m:oMath>
        <m:sSub>
          <m:e>
            <m:r>
              <m:t>P</m:t>
            </m:r>
          </m:e>
          <m:sub>
            <m:r>
              <m:t>d</m:t>
            </m:r>
            <m:r>
              <m:t>e</m:t>
            </m:r>
            <m:r>
              <m:t>s</m:t>
            </m:r>
            <m:r>
              <m:t>o</m:t>
            </m:r>
            <m:r>
              <m:t>r</m:t>
            </m:r>
            <m:r>
              <m:t>b</m:t>
            </m:r>
          </m:sub>
        </m:sSub>
      </m:oMath>
      <w:r>
        <w:t xml:space="preserve">) model yielded the highest marginal R², indicating it was the single best predictor for the net P budget. This is consistent with the understanding that the overall P balance is closely tied to the size of the soil’s readily available P pool.</w:t>
      </w:r>
    </w:p>
    <w:p>
      <w:pPr>
        <w:pStyle w:val="BodyText"/>
      </w:pPr>
      <w:r>
        <w:t xml:space="preserve">…(previous descriptive section ends here)…</w:t>
      </w:r>
    </w:p>
    <w:bookmarkEnd w:id="86"/>
    <w:bookmarkEnd w:id="87"/>
    <w:bookmarkStart w:id="89" w:name="Xcd7379c961a18cc7562fda7fd62d5fc61683f7f"/>
    <w:p>
      <w:pPr>
        <w:pStyle w:val="Heading2"/>
      </w:pPr>
      <w:r>
        <w:t xml:space="preserve">Relationship between P Parameters and Soil Properties</w:t>
      </w:r>
    </w:p>
    <w:p>
      <w:pPr>
        <w:pStyle w:val="FirstParagraph"/>
      </w:pPr>
      <w:r>
        <w:t xml:space="preserve">To understand the underlying drivers of the standard and kinetic P parameters,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the amorphous Fe and Al oxides (</w:t>
      </w:r>
      <m:oMath>
        <m:r>
          <m:t>F</m:t>
        </m:r>
        <m:sSub>
          <m:e>
            <m:r>
              <m:t>e</m:t>
            </m:r>
          </m:e>
          <m:sub>
            <m:r>
              <m:t>o</m:t>
            </m:r>
            <m:r>
              <m:t>x</m:t>
            </m:r>
          </m:sub>
        </m:sSub>
      </m:oMath>
      <w:r>
        <w:t xml:space="preserve">,</w:t>
      </w:r>
      <w:r>
        <w:t xml:space="preserve"> </w:t>
      </w:r>
      <m:oMath>
        <m:r>
          <m:t>A</m:t>
        </m:r>
        <m:sSub>
          <m:e>
            <m:r>
              <m:t>l</m:t>
            </m:r>
          </m:e>
          <m:sub>
            <m:r>
              <m:t>o</m:t>
            </m:r>
            <m:r>
              <m:t>x</m:t>
            </m:r>
          </m:sub>
        </m:sSub>
      </m:oMath>
      <w:r>
        <w:t xml:space="preserve">). The long-term P fertilization</w:t>
      </w:r>
      <w:r>
        <w:t xml:space="preserve"> </w:t>
      </w:r>
      <w:r>
        <w:rPr>
          <w:rStyle w:val="VerbatimChar"/>
        </w:rPr>
        <w:t xml:space="preserve">Treatment</w:t>
      </w:r>
      <w:r>
        <w:t xml:space="preserve"> </w:t>
      </w:r>
      <w:r>
        <w:t xml:space="preserve">was included as a covariate to account for its strong influence. All models included</w:t>
      </w:r>
      <w:r>
        <w:t xml:space="preserve"> </w:t>
      </w:r>
      <w:r>
        <w:rPr>
          <w:rStyle w:val="VerbatimChar"/>
        </w:rPr>
        <w:t xml:space="preserve">(1|Site)</w:t>
      </w:r>
      <w:r>
        <w:t xml:space="preserve"> </w:t>
      </w:r>
      <w:r>
        <w:t xml:space="preserve">and</w:t>
      </w:r>
      <w:r>
        <w:t xml:space="preserve"> </w:t>
      </w:r>
      <w:r>
        <w:rPr>
          <w:rStyle w:val="VerbatimChar"/>
        </w:rPr>
        <w:t xml:space="preserve">(1|Site:block)</w:t>
      </w:r>
      <w:r>
        <w:t xml:space="preserve"> </w:t>
      </w:r>
      <w:r>
        <w:t xml:space="preserve">as random effects.</w:t>
      </w:r>
    </w:p>
    <w:p>
      <w:pPr>
        <w:pStyle w:val="BodyText"/>
      </w:pPr>
      <w:r>
        <w:t xml:space="preserve">The results, summarized in Table 3.5, reveal distinct relationships between the soil properties and the different P metrics.</w:t>
      </w:r>
    </w:p>
    <w:tbl>
      <w:tblPr>
        <w:tblStyle w:val="Table"/>
        <w:tblW w:type="pct" w:w="5000"/>
        <w:tblLayout w:type="fixed"/>
        <w:tblLook w:firstRow="0" w:lastRow="0" w:firstColumn="0" w:lastColumn="0" w:noHBand="0" w:noVBand="0" w:val="0000"/>
      </w:tblPr>
      <w:tblGrid>
        <w:gridCol w:w="7920"/>
      </w:tblGrid>
      <w:tr>
        <w:tc>
          <w:tcPr/>
          <w:bookmarkStart w:id="88" w:name="tbl-soil-prop-models"/>
          <w:p>
            <w:pPr>
              <w:jc w:val="center"/>
            </w:pPr>
            <w:pPr>
              <w:jc w:val="start"/>
              <w:spacing w:before="200"/>
              <w:pStyle w:val="ImageCaption"/>
            </w:pPr>
            <w:r>
              <w:t xml:space="preserve">Table 7: Results of linear mixed-effects models predicting P parameters from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Covariate</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r>
            <w:tr>
              <w:tc>
                <w:tcPr/>
                <w:p>
                  <w:pPr>
                    <w:pStyle w:val="Compact"/>
                    <w:jc w:val="left"/>
                    <w:jc w:val="center"/>
                  </w:pPr>
                  <w:r>
                    <w:t xml:space="preserve">Intercept</w:t>
                  </w:r>
                </w:p>
              </w:tc>
              <w:tc>
                <w:tcPr/>
                <w:p>
                  <w:pPr>
                    <w:pStyle w:val="Compact"/>
                    <w:jc w:val="left"/>
                    <w:jc w:val="center"/>
                  </w:pPr>
                  <w:r>
                    <w:t xml:space="preserve">-6.941***</w:t>
                  </w:r>
                </w:p>
              </w:tc>
              <w:tc>
                <w:tcPr/>
                <w:p>
                  <w:pPr>
                    <w:pStyle w:val="Compact"/>
                    <w:jc w:val="left"/>
                    <w:jc w:val="center"/>
                  </w:pPr>
                  <w:r>
                    <w:t xml:space="preserve">-10.652***</w:t>
                  </w:r>
                </w:p>
              </w:tc>
              <w:tc>
                <w:tcPr/>
                <w:p>
                  <w:pPr>
                    <w:pStyle w:val="Compact"/>
                    <w:jc w:val="left"/>
                    <w:jc w:val="center"/>
                  </w:pPr>
                  <w:r>
                    <w:t xml:space="preserve">-11.779***</w:t>
                  </w:r>
                </w:p>
              </w:tc>
              <w:tc>
                <w:tcPr/>
                <w:p>
                  <w:pPr>
                    <w:pStyle w:val="Compact"/>
                    <w:jc w:val="left"/>
                    <w:jc w:val="center"/>
                  </w:pPr>
                  <w:r>
                    <w:t xml:space="preserve">0.608</w:t>
                  </w:r>
                </w:p>
              </w:tc>
            </w:tr>
            <w:tr>
              <w:tc>
                <w:tcPr/>
                <w:p>
                  <w:pPr>
                    <w:pStyle w:val="Compact"/>
                    <w:jc w:val="left"/>
                    <w:jc w:val="center"/>
                  </w:pPr>
                  <m:oMath>
                    <m:r>
                      <m:t>A</m:t>
                    </m:r>
                    <m:sSub>
                      <m:e>
                        <m:r>
                          <m:t>l</m:t>
                        </m:r>
                      </m:e>
                      <m:sub>
                        <m:r>
                          <m:t>o</m:t>
                        </m:r>
                        <m:r>
                          <m:t>x</m:t>
                        </m:r>
                      </m:sub>
                    </m:sSub>
                  </m:oMath>
                </w:p>
              </w:tc>
              <w:tc>
                <w:tcPr/>
                <w:p>
                  <w:pPr>
                    <w:pStyle w:val="Compact"/>
                    <w:jc w:val="left"/>
                    <w:jc w:val="center"/>
                  </w:pPr>
                  <w:r>
                    <w:t xml:space="preserve">10.184</w:t>
                  </w:r>
                </w:p>
              </w:tc>
              <w:tc>
                <w:tcPr/>
                <w:p>
                  <w:pPr>
                    <w:pStyle w:val="Compact"/>
                    <w:jc w:val="left"/>
                    <w:jc w:val="center"/>
                  </w:pPr>
                  <w:r>
                    <w:t xml:space="preserve">20.091</w:t>
                  </w:r>
                </w:p>
              </w:tc>
              <w:tc>
                <w:tcPr/>
                <w:p>
                  <w:pPr>
                    <w:pStyle w:val="Compact"/>
                    <w:jc w:val="left"/>
                    <w:jc w:val="center"/>
                  </w:pPr>
                  <w:r>
                    <w:t xml:space="preserve">19.794</w:t>
                  </w:r>
                </w:p>
              </w:tc>
              <w:tc>
                <w:tcPr/>
                <w:p>
                  <w:pPr>
                    <w:pStyle w:val="Compact"/>
                    <w:jc w:val="left"/>
                    <w:jc w:val="center"/>
                  </w:pPr>
                  <w:r>
                    <w:t xml:space="preserve">-0.129***</w:t>
                  </w:r>
                </w:p>
              </w:tc>
            </w:tr>
            <w:tr>
              <w:tc>
                <w:tcPr/>
                <w:p>
                  <w:pPr>
                    <w:pStyle w:val="Compact"/>
                    <w:jc w:val="left"/>
                    <w:jc w:val="center"/>
                  </w:pPr>
                  <m:oMath>
                    <m:r>
                      <m:t>F</m:t>
                    </m:r>
                    <m:sSub>
                      <m:e>
                        <m:r>
                          <m:t>e</m:t>
                        </m:r>
                      </m:e>
                      <m:sub>
                        <m:r>
                          <m:t>o</m:t>
                        </m:r>
                        <m:r>
                          <m:t>x</m:t>
                        </m:r>
                      </m:sub>
                    </m:sSub>
                  </m:oMath>
                </w:p>
              </w:tc>
              <w:tc>
                <w:tcPr/>
                <w:p>
                  <w:pPr>
                    <w:pStyle w:val="Compact"/>
                    <w:jc w:val="left"/>
                    <w:jc w:val="center"/>
                  </w:pPr>
                  <w:r>
                    <w:t xml:space="preserve">-2.469***</w:t>
                  </w:r>
                </w:p>
              </w:tc>
              <w:tc>
                <w:tcPr/>
                <w:p>
                  <w:pPr>
                    <w:pStyle w:val="Compact"/>
                    <w:jc w:val="left"/>
                    <w:jc w:val="center"/>
                  </w:pPr>
                  <w:r>
                    <w:t xml:space="preserve">-4.020***</w:t>
                  </w:r>
                </w:p>
              </w:tc>
              <w:tc>
                <w:tcPr/>
                <w:p>
                  <w:pPr>
                    <w:pStyle w:val="Compact"/>
                    <w:jc w:val="left"/>
                    <w:jc w:val="center"/>
                  </w:pPr>
                  <w:r>
                    <w:t xml:space="preserve">-4.797***</w:t>
                  </w:r>
                </w:p>
              </w:tc>
              <w:tc>
                <w:tcPr/>
                <w:p>
                  <w:pPr>
                    <w:pStyle w:val="Compact"/>
                    <w:jc w:val="left"/>
                    <w:jc w:val="center"/>
                  </w:pPr>
                  <w:r>
                    <w:t xml:space="preserve">0.001*</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-0.038***</w:t>
                  </w:r>
                </w:p>
              </w:tc>
              <w:tc>
                <w:tcPr/>
                <w:p>
                  <w:pPr>
                    <w:pStyle w:val="Compact"/>
                    <w:jc w:val="left"/>
                    <w:jc w:val="center"/>
                  </w:pPr>
                  <w:r>
                    <w:t xml:space="preserve">-0.037***</w:t>
                  </w:r>
                </w:p>
              </w:tc>
              <w:tc>
                <w:tcPr/>
                <w:p>
                  <w:pPr>
                    <w:pStyle w:val="Compact"/>
                    <w:jc w:val="left"/>
                    <w:jc w:val="center"/>
                  </w:pPr>
                  <w:r>
                    <w:t xml:space="preserve">-0.017***</w:t>
                  </w:r>
                </w:p>
              </w:tc>
            </w:tr>
            <w:tr>
              <w:tc>
                <w:tcPr/>
                <w:p>
                  <w:pPr>
                    <w:pStyle w:val="Compact"/>
                    <w:jc w:val="left"/>
                    <w:jc w:val="center"/>
                  </w:pPr>
                  <w:r>
                    <w:t xml:space="preserve">Corg</w:t>
                  </w:r>
                </w:p>
              </w:tc>
              <w:tc>
                <w:tcPr/>
                <w:p>
                  <w:pPr>
                    <w:pStyle w:val="Compact"/>
                    <w:jc w:val="left"/>
                    <w:jc w:val="center"/>
                  </w:pPr>
                  <w:r>
                    <w:t xml:space="preserve">0.496</w:t>
                  </w:r>
                </w:p>
              </w:tc>
              <w:tc>
                <w:tcPr/>
                <w:p>
                  <w:pPr>
                    <w:pStyle w:val="Compact"/>
                    <w:jc w:val="left"/>
                    <w:jc w:val="center"/>
                  </w:pPr>
                  <w:r>
                    <w:t xml:space="preserve">1.105</w:t>
                  </w:r>
                </w:p>
              </w:tc>
              <w:tc>
                <w:tcPr/>
                <w:p>
                  <w:pPr>
                    <w:pStyle w:val="Compact"/>
                    <w:jc w:val="left"/>
                    <w:jc w:val="center"/>
                  </w:pPr>
                  <w:r>
                    <w:t xml:space="preserve">0.988</w:t>
                  </w:r>
                </w:p>
              </w:tc>
              <w:tc>
                <w:tcPr/>
                <w:p>
                  <w:pPr>
                    <w:pStyle w:val="Compact"/>
                    <w:jc w:val="left"/>
                    <w:jc w:val="center"/>
                  </w:pPr>
                  <w:r>
                    <w:t xml:space="preserve">0.137</w:t>
                  </w:r>
                </w:p>
              </w:tc>
            </w:tr>
            <w:tr>
              <w:tc>
                <w:tcPr/>
                <w:p>
                  <w:pPr>
                    <w:pStyle w:val="Compact"/>
                    <w:jc w:val="left"/>
                    <w:jc w:val="center"/>
                  </w:pPr>
                  <w:r>
                    <w:t xml:space="preserve">pH</w:t>
                  </w:r>
                </w:p>
              </w:tc>
              <w:tc>
                <w:tcPr/>
                <w:p>
                  <w:pPr>
                    <w:pStyle w:val="Compact"/>
                    <w:jc w:val="left"/>
                    <w:jc w:val="center"/>
                  </w:pPr>
                  <w:r>
                    <w:t xml:space="preserve">0.070</w:t>
                  </w:r>
                </w:p>
              </w:tc>
              <w:tc>
                <w:tcPr/>
                <w:p>
                  <w:pPr>
                    <w:pStyle w:val="Compact"/>
                    <w:jc w:val="left"/>
                    <w:jc w:val="center"/>
                  </w:pPr>
                  <w:r>
                    <w:t xml:space="preserve">0.002**</w:t>
                  </w:r>
                </w:p>
              </w:tc>
              <w:tc>
                <w:tcPr/>
                <w:p>
                  <w:pPr>
                    <w:pStyle w:val="Compact"/>
                    <w:jc w:val="left"/>
                    <w:jc w:val="center"/>
                  </w:pPr>
                  <w:r>
                    <w:t xml:space="preserve">-0.213***</w:t>
                  </w:r>
                </w:p>
              </w:tc>
              <w:tc>
                <w:tcPr/>
                <w:p>
                  <w:pPr>
                    <w:pStyle w:val="Compact"/>
                    <w:jc w:val="left"/>
                    <w:jc w:val="center"/>
                  </w:pPr>
                  <w:r>
                    <w:t xml:space="preserve">-0.022***</w:t>
                  </w:r>
                </w:p>
              </w:tc>
            </w:tr>
            <w:tr>
              <w:tc>
                <w:tcPr/>
                <w:p>
                  <w:pPr>
                    <w:pStyle w:val="Compact"/>
                    <w:jc w:val="left"/>
                    <w:jc w:val="center"/>
                  </w:pPr>
                  <w:r>
                    <w:t xml:space="preserve">Silt</w:t>
                  </w:r>
                </w:p>
              </w:tc>
              <w:tc>
                <w:tcPr/>
                <w:p>
                  <w:pPr>
                    <w:pStyle w:val="Compact"/>
                    <w:jc w:val="left"/>
                    <w:jc w:val="center"/>
                  </w:pPr>
                  <w:r>
                    <w:t xml:space="preserve">-0.020***</w:t>
                  </w:r>
                </w:p>
              </w:tc>
              <w:tc>
                <w:tcPr/>
                <w:p>
                  <w:pPr>
                    <w:pStyle w:val="Compact"/>
                    <w:jc w:val="left"/>
                    <w:jc w:val="center"/>
                  </w:pPr>
                  <w:r>
                    <w:t xml:space="preserve">-0.026***</w:t>
                  </w:r>
                </w:p>
              </w:tc>
              <w:tc>
                <w:tcPr/>
                <w:p>
                  <w:pPr>
                    <w:pStyle w:val="Compact"/>
                    <w:jc w:val="left"/>
                    <w:jc w:val="center"/>
                  </w:pPr>
                  <w:r>
                    <w:t xml:space="preserve">-0.020***</w:t>
                  </w:r>
                </w:p>
              </w:tc>
              <w:tc>
                <w:tcPr/>
                <w:p>
                  <w:pPr>
                    <w:pStyle w:val="Compact"/>
                    <w:jc w:val="left"/>
                    <w:jc w:val="center"/>
                  </w:pPr>
                  <w:r>
                    <w:t xml:space="preserve">0.004</w:t>
                  </w:r>
                </w:p>
              </w:tc>
            </w:tr>
            <w:tr>
              <w:tc>
                <w:tcPr/>
                <w:p>
                  <w:pPr>
                    <w:pStyle w:val="Compact"/>
                    <w:jc w:val="left"/>
                    <w:jc w:val="center"/>
                  </w:pPr>
                  <w:r>
                    <w:t xml:space="preserve">R^2_m</w:t>
                  </w:r>
                </w:p>
              </w:tc>
              <w:tc>
                <w:tcPr/>
                <w:p>
                  <w:pPr>
                    <w:pStyle w:val="Compact"/>
                    <w:jc w:val="left"/>
                    <w:jc w:val="center"/>
                  </w:pPr>
                  <w:r>
                    <w:t xml:space="preserve">0.355</w:t>
                  </w:r>
                </w:p>
              </w:tc>
              <w:tc>
                <w:tcPr/>
                <w:p>
                  <w:pPr>
                    <w:pStyle w:val="Compact"/>
                    <w:jc w:val="left"/>
                    <w:jc w:val="center"/>
                  </w:pPr>
                  <w:r>
                    <w:t xml:space="preserve">0.364</w:t>
                  </w:r>
                </w:p>
              </w:tc>
              <w:tc>
                <w:tcPr/>
                <w:p>
                  <w:pPr>
                    <w:pStyle w:val="Compact"/>
                    <w:jc w:val="left"/>
                    <w:jc w:val="center"/>
                  </w:pPr>
                  <w:r>
                    <w:t xml:space="preserve">0.395</w:t>
                  </w:r>
                </w:p>
              </w:tc>
              <w:tc>
                <w:tcPr/>
                <w:p>
                  <w:pPr>
                    <w:pStyle w:val="Compact"/>
                    <w:jc w:val="left"/>
                    <w:jc w:val="center"/>
                  </w:pPr>
                  <w:r>
                    <w:t xml:space="preserve">0.204</w:t>
                  </w:r>
                </w:p>
              </w:tc>
            </w:tr>
            <w:tr>
              <w:tc>
                <w:tcPr/>
                <w:p>
                  <w:pPr>
                    <w:pStyle w:val="Compact"/>
                    <w:jc w:val="left"/>
                    <w:jc w:val="center"/>
                  </w:pPr>
                  <w:r>
                    <w:t xml:space="preserve">R^2_m</w:t>
                  </w:r>
                </w:p>
              </w:tc>
              <w:tc>
                <w:tcPr/>
                <w:p>
                  <w:pPr>
                    <w:pStyle w:val="Compact"/>
                    <w:jc w:val="left"/>
                    <w:jc w:val="center"/>
                  </w:pPr>
                  <w:r>
                    <w:t xml:space="preserve">0.996</w:t>
                  </w:r>
                </w:p>
              </w:tc>
              <w:tc>
                <w:tcPr/>
                <w:p>
                  <w:pPr>
                    <w:pStyle w:val="Compact"/>
                    <w:jc w:val="left"/>
                    <w:jc w:val="center"/>
                  </w:pPr>
                  <w:r>
                    <w:t xml:space="preserve">0.999</w:t>
                  </w:r>
                </w:p>
              </w:tc>
              <w:tc>
                <w:tcPr/>
                <w:p>
                  <w:pPr>
                    <w:pStyle w:val="Compact"/>
                    <w:jc w:val="left"/>
                    <w:jc w:val="center"/>
                  </w:pPr>
                  <w:r>
                    <w:t xml:space="preserve">0.998</w:t>
                  </w:r>
                </w:p>
              </w:tc>
              <w:tc>
                <w:tcPr/>
                <w:p>
                  <w:pPr>
                    <w:pStyle w:val="Compact"/>
                    <w:jc w:val="left"/>
                    <w:jc w:val="center"/>
                  </w:pPr>
                  <w:r>
                    <w:t xml:space="preserve">0.963</w:t>
                  </w:r>
                </w:p>
              </w:tc>
            </w:tr>
          </w:tbl>
          <w:bookmarkEnd w:id="88"/>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reveals several key findings about the influence of intrinsic soil properties:</w:t>
      </w:r>
    </w:p>
    <w:p>
      <w:pPr>
        <w:numPr>
          <w:ilvl w:val="0"/>
          <w:numId w:val="1008"/>
        </w:numPr>
      </w:pPr>
      <w:r>
        <w:rPr>
          <w:b/>
          <w:bCs/>
        </w:rPr>
        <w:t xml:space="preserve">Role of Organic Carbon</w:t>
      </w:r>
      <w:r>
        <w:t xml:space="preserve">: Soil organic carbon (</w:t>
      </w:r>
      <w:r>
        <w:rPr>
          <w:rStyle w:val="VerbatimChar"/>
        </w:rPr>
        <w:t xml:space="preserve">Corg</w:t>
      </w:r>
      <w:r>
        <w:t xml:space="preserve">) had a</w:t>
      </w:r>
      <w:r>
        <w:t xml:space="preserve"> </w:t>
      </w:r>
      <w:r>
        <w:rPr>
          <w:b/>
          <w:bCs/>
        </w:rPr>
        <w:t xml:space="preserve">highly significant positive effect</w:t>
      </w:r>
      <w:r>
        <w:t xml:space="preserve"> </w:t>
      </w:r>
      <w:r>
        <w:t xml:space="preserve">on all three capacity measures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w:t>
      </w:r>
      <w:r>
        <w:t xml:space="preserve"> </w:t>
      </w:r>
      <m:oMath>
        <m:sSub>
          <m:e>
            <m:r>
              <m:t>P</m:t>
            </m:r>
          </m:e>
          <m:sub>
            <m:r>
              <m:t>d</m:t>
            </m:r>
            <m:r>
              <m:t>e</m:t>
            </m:r>
            <m:r>
              <m:t>s</m:t>
            </m:r>
            <m:r>
              <m:t>o</m:t>
            </m:r>
            <m:r>
              <m:t>r</m:t>
            </m:r>
            <m:r>
              <m:t>b</m:t>
            </m:r>
          </m:sub>
        </m:sSub>
      </m:oMath>
      <w:r>
        <w:t xml:space="preserve">). This consistently strong relationship underscores the critical role of organic matter in maintaining the pool of available phosphorus in these soils.</w:t>
      </w:r>
    </w:p>
    <w:p>
      <w:pPr>
        <w:numPr>
          <w:ilvl w:val="0"/>
          <w:numId w:val="1008"/>
        </w:numPr>
      </w:pPr>
      <w:r>
        <w:rPr>
          <w:b/>
          <w:bCs/>
        </w:rPr>
        <w:t xml:space="preserve">Role of Soil Texture</w:t>
      </w:r>
      <w:r>
        <w:t xml:space="preserve">: With the effect of treatment removed, the influence of soil texture becomes much clearer.</w:t>
      </w:r>
      <w:r>
        <w:t xml:space="preserve"> </w:t>
      </w:r>
      <w:r>
        <w:rPr>
          <w:b/>
          <w:bCs/>
        </w:rPr>
        <w:t xml:space="preserve">Clay content now shows a significant negative effect</w:t>
      </w:r>
      <w:r>
        <w:t xml:space="preserve"> </w:t>
      </w:r>
      <w:r>
        <w:t xml:space="preserve">on all three capacity parameters, indicating that soils with higher clay content retain P more strongly, reducing the amount measured by these availability tests. The</w:t>
      </w:r>
      <w:r>
        <w:t xml:space="preserve"> </w:t>
      </w:r>
      <w:r>
        <w:rPr>
          <w:b/>
          <w:bCs/>
        </w:rPr>
        <w:t xml:space="preserve">Rate Constant (</w:t>
      </w:r>
      <m:oMath>
        <m:r>
          <m:t>k</m:t>
        </m:r>
      </m:oMath>
      <w:r>
        <w:rPr>
          <w:b/>
          <w:bCs/>
        </w:rPr>
        <w:t xml:space="preserve">)</w:t>
      </w:r>
      <w:r>
        <w:t xml:space="preserve"> </w:t>
      </w:r>
      <w:r>
        <w:t xml:space="preserve">was significantly and negatively correlated with</w:t>
      </w:r>
      <w:r>
        <w:t xml:space="preserve"> </w:t>
      </w:r>
      <w:r>
        <w:rPr>
          <w:rStyle w:val="VerbatimChar"/>
        </w:rPr>
        <w:t xml:space="preserve">silt</w:t>
      </w:r>
      <w:r>
        <w:t xml:space="preserve"> </w:t>
      </w:r>
      <w:r>
        <w:t xml:space="preserve">content.</w:t>
      </w:r>
    </w:p>
    <w:p>
      <w:pPr>
        <w:numPr>
          <w:ilvl w:val="0"/>
          <w:numId w:val="1008"/>
        </w:numPr>
      </w:pPr>
      <w:r>
        <w:rPr>
          <w:b/>
          <w:bCs/>
        </w:rPr>
        <w:t xml:space="preserve">Role of Amorphous Oxides</w:t>
      </w:r>
      <w:r>
        <w:t xml:space="preserve">: The amorphous iron and aluminum oxides showed distinct roles.</w:t>
      </w:r>
      <w:r>
        <w:t xml:space="preserve"> </w:t>
      </w:r>
      <w:r>
        <w:rPr>
          <w:b/>
          <w:bCs/>
        </w:rPr>
        <w:t xml:space="preserve">Amorphous Fe oxides (</w:t>
      </w:r>
      <m:oMath>
        <m:r>
          <m:t>F</m:t>
        </m:r>
        <m:sSub>
          <m:e>
            <m:r>
              <m:t>e</m:t>
            </m:r>
          </m:e>
          <m:sub>
            <m:r>
              <m:t>o</m:t>
            </m:r>
            <m:r>
              <m:t>x</m:t>
            </m:r>
          </m:sub>
        </m:sSub>
      </m:oMath>
      <w:r>
        <w:rPr>
          <w:b/>
          <w:bCs/>
        </w:rPr>
        <w:t xml:space="preserve">)</w:t>
      </w:r>
      <w:r>
        <w:t xml:space="preserve"> </w:t>
      </w:r>
      <w:r>
        <w:t xml:space="preserve">had a</w:t>
      </w:r>
      <w:r>
        <w:t xml:space="preserve"> </w:t>
      </w:r>
      <w:r>
        <w:rPr>
          <w:b/>
          <w:bCs/>
        </w:rPr>
        <w:t xml:space="preserve">significant positive effect</w:t>
      </w:r>
      <w:r>
        <w:t xml:space="preserve"> </w:t>
      </w:r>
      <w:r>
        <w:t xml:space="preserve">on both standard STP measures, particularly on</w:t>
      </w:r>
      <w:r>
        <w:t xml:space="preserve"> </w:t>
      </w:r>
      <w:r>
        <w:rPr>
          <w:rStyle w:val="VerbatimChar"/>
        </w:rPr>
        <w:t xml:space="preserve">$P_{CO_2}$</w:t>
      </w:r>
      <w:r>
        <w:t xml:space="preserve">. In contrast,</w:t>
      </w:r>
      <w:r>
        <w:t xml:space="preserve"> </w:t>
      </w:r>
      <w:r>
        <w:rPr>
          <w:b/>
          <w:bCs/>
        </w:rPr>
        <w:t xml:space="preserve">amorphous Al oxides (</w:t>
      </w:r>
      <m:oMath>
        <m:r>
          <m:t>A</m:t>
        </m:r>
        <m:sSub>
          <m:e>
            <m:r>
              <m:t>l</m:t>
            </m:r>
          </m:e>
          <m:sub>
            <m:r>
              <m:t>o</m:t>
            </m:r>
            <m:r>
              <m:t>x</m:t>
            </m:r>
          </m:sub>
        </m:sSub>
      </m:oMath>
      <w:r>
        <w:rPr>
          <w:b/>
          <w:bCs/>
        </w:rPr>
        <w:t xml:space="preserve">)</w:t>
      </w:r>
      <w:r>
        <w:t xml:space="preserve"> </w:t>
      </w:r>
      <w:r>
        <w:t xml:space="preserve">had a</w:t>
      </w:r>
      <w:r>
        <w:t xml:space="preserve"> </w:t>
      </w:r>
      <w:r>
        <w:rPr>
          <w:b/>
          <w:bCs/>
        </w:rPr>
        <w:t xml:space="preserve">significant negative effect</w:t>
      </w:r>
      <w:r>
        <w:t xml:space="preserve"> </w:t>
      </w:r>
      <w:r>
        <w:t xml:space="preserve">on both</w:t>
      </w:r>
      <w:r>
        <w:t xml:space="preserve"> </w:t>
      </w:r>
      <w:r>
        <w:rPr>
          <w:rStyle w:val="VerbatimChar"/>
        </w:rPr>
        <w:t xml:space="preserve">$P_{AAE10}$</w:t>
      </w:r>
      <w:r>
        <w:t xml:space="preserve"> </w:t>
      </w:r>
      <w:r>
        <w:t xml:space="preserve">and the</w:t>
      </w:r>
      <w:r>
        <w:t xml:space="preserve"> </w:t>
      </w:r>
      <w:r>
        <w:rPr>
          <w:rStyle w:val="VerbatimChar"/>
        </w:rPr>
        <w:t xml:space="preserve">$P_{desorb}$</w:t>
      </w:r>
      <w:r>
        <w:t xml:space="preserve"> </w:t>
      </w:r>
      <w:r>
        <w:t xml:space="preserve">pool. This suggests that while both are active in P sorption, they influence the different P pools in opposing ways in these soils.</w:t>
      </w:r>
    </w:p>
    <w:p>
      <w:pPr>
        <w:numPr>
          <w:ilvl w:val="0"/>
          <w:numId w:val="1008"/>
        </w:numPr>
      </w:pPr>
      <w:r>
        <w:rPr>
          <w:b/>
          <w:bCs/>
        </w:rPr>
        <w:t xml:space="preserve">Controls on the Kinetic Rate (</w:t>
      </w:r>
      <m:oMath>
        <m:r>
          <m:t>k</m:t>
        </m:r>
      </m:oMath>
      <w:r>
        <w:rPr>
          <w:b/>
          <w:bCs/>
        </w:rPr>
        <w:t xml:space="preserve">)</w:t>
      </w:r>
      <w:r>
        <w:t xml:space="preserve">: The Rate Constant (</w:t>
      </w:r>
      <m:oMath>
        <m:r>
          <m:t>k</m:t>
        </m:r>
      </m:oMath>
      <w:r>
        <w:t xml:space="preserve">) was not significantly influenced by</w:t>
      </w:r>
      <w:r>
        <w:t xml:space="preserve"> </w:t>
      </w:r>
      <w:r>
        <w:rPr>
          <w:rStyle w:val="VerbatimChar"/>
        </w:rPr>
        <w:t xml:space="preserve">Corg</w:t>
      </w:r>
      <w:r>
        <w:t xml:space="preserve"> </w:t>
      </w:r>
      <w:r>
        <w:t xml:space="preserve">or the amorphous oxides, but was</w:t>
      </w:r>
      <w:r>
        <w:t xml:space="preserve"> </w:t>
      </w:r>
      <w:r>
        <w:rPr>
          <w:b/>
          <w:bCs/>
        </w:rPr>
        <w:t xml:space="preserve">significantly and negatively related to</w:t>
      </w:r>
      <w:r>
        <w:rPr>
          <w:b/>
          <w:bCs/>
        </w:rPr>
        <w:t xml:space="preserve"> </w:t>
      </w:r>
      <w:r>
        <w:rPr>
          <w:rStyle w:val="VerbatimChar"/>
          <w:b/>
          <w:bCs/>
        </w:rPr>
        <w:t xml:space="preserve">pH</w:t>
      </w:r>
      <w:r>
        <w:rPr>
          <w:b/>
          <w:bCs/>
        </w:rPr>
        <w:t xml:space="preserve"> </w:t>
      </w:r>
      <w:r>
        <w:rPr>
          <w:b/>
          <w:bCs/>
        </w:rPr>
        <w:t xml:space="preserve">and</w:t>
      </w:r>
      <w:r>
        <w:rPr>
          <w:b/>
          <w:bCs/>
        </w:rPr>
        <w:t xml:space="preserve"> </w:t>
      </w:r>
      <w:r>
        <w:rPr>
          <w:rStyle w:val="VerbatimChar"/>
          <w:b/>
          <w:bCs/>
        </w:rPr>
        <w:t xml:space="preserve">silt</w:t>
      </w:r>
      <w:r>
        <w:rPr>
          <w:b/>
          <w:bCs/>
        </w:rPr>
        <w:t xml:space="preserve"> </w:t>
      </w:r>
      <w:r>
        <w:rPr>
          <w:b/>
          <w:bCs/>
        </w:rPr>
        <w:t xml:space="preserve">content</w:t>
      </w:r>
      <w:r>
        <w:t xml:space="preserve">. This reinforces the finding that the speed of P release is controlled by different mechanisms—likely related to surface charge and physical matrix properties—than the overall size of the available P pool.</w:t>
      </w:r>
    </w:p>
    <w:p>
      <w:pPr>
        <w:pStyle w:val="FirstParagraph"/>
      </w:pPr>
      <w:r>
        <w:t xml:space="preserve">In summary, by separating the effect of long-term management from intrinsic soil properties, it becomes clear that the capacity of the soil to hold available P is primarily driven by organic carbon and clay content, while the rate of P release is governed by soil pH and texture.</w:t>
      </w:r>
    </w:p>
    <w:bookmarkEnd w:id="89"/>
    <w:bookmarkStart w:id="99" w:name="X5f6b37694fcdee32a723d559cfc98478fc64bd9"/>
    <w:p>
      <w:pPr>
        <w:pStyle w:val="Heading2"/>
      </w:pPr>
      <w:r>
        <w:t xml:space="preserve">Relationship between Kinetic Flux and Standard STP Methods</w:t>
      </w:r>
    </w:p>
    <w:p>
      <w:pPr>
        <w:pStyle w:val="FirstParagraph"/>
      </w:pPr>
      <w:r>
        <w:t xml:space="preserve">To explore the relationship between the dynamic P supply, as measured by the Initial P Flux (</w:t>
      </w:r>
      <m:oMath>
        <m:sSub>
          <m:e>
            <m:r>
              <m:t>J</m:t>
            </m:r>
          </m:e>
          <m:sub>
            <m:r>
              <m:t>0</m:t>
            </m:r>
          </m:sub>
        </m:sSub>
      </m:oMath>
      <w:r>
        <w:t xml:space="preserve">), and the static P pools measured by standard methods, two correlation plots were generated. The first compares</w:t>
      </w:r>
      <w:r>
        <w:t xml:space="preserve"> </w:t>
      </w:r>
      <m:oMath>
        <m:sSub>
          <m:e>
            <m:r>
              <m:t>J</m:t>
            </m:r>
          </m:e>
          <m:sub>
            <m:r>
              <m:t>0</m:t>
            </m:r>
          </m:sub>
        </m:sSub>
      </m:oMath>
      <w:r>
        <w:t xml:space="preserve"> </w:t>
      </w:r>
      <w:r>
        <w:t xml:space="preserve">to the chelate-extractable P (</w:t>
      </w:r>
      <m:oMath>
        <m:sSub>
          <m:e>
            <m:r>
              <m:t>P</m:t>
            </m:r>
          </m:e>
          <m:sub>
            <m:r>
              <m:t>A</m:t>
            </m:r>
            <m:r>
              <m:t>A</m:t>
            </m:r>
            <m:r>
              <m:t>E</m:t>
            </m:r>
            <m:r>
              <m:t>10</m:t>
            </m:r>
          </m:sub>
        </m:sSub>
      </m:oMath>
      <w:r>
        <w:t xml:space="preserve">), and the second compares it to the water-soluble P (</w:t>
      </w:r>
      <m:oMath>
        <m:sSub>
          <m:e>
            <m:r>
              <m:t>P</m:t>
            </m:r>
          </m:e>
          <m:sub>
            <m:r>
              <m:t>C</m:t>
            </m:r>
            <m:sSub>
              <m:e>
                <m:r>
                  <m:t>O</m:t>
                </m:r>
              </m:e>
              <m:sub>
                <m:r>
                  <m:t>2</m:t>
                </m:r>
              </m:sub>
            </m:sSub>
          </m:sub>
        </m:sSub>
      </m:oMath>
      <w:r>
        <w:t xml:space="preserve">).</w:t>
      </w:r>
    </w:p>
    <w:bookmarkStart w:id="98" w:name="fig-j0-vs-st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3" w:name="fig-j0-vs-stp-1"/>
                <w:p>
                  <w:pPr>
                    <w:pStyle w:val="Compact"/>
                    <w:jc w:val="center"/>
                    <w:jc w:val="left"/>
                  </w:pPr>
                  <w:r>
                    <w:drawing>
                      <wp:inline>
                        <wp:extent cx="2971800" cy="2377440"/>
                        <wp:effectExtent b="0" l="0" r="0" t="0"/>
                        <wp:docPr descr="" title="" id="91" name="Picture"/>
                        <a:graphic>
                          <a:graphicData uri="http://schemas.openxmlformats.org/drawingml/2006/picture">
                            <pic:pic>
                              <pic:nvPicPr>
                                <pic:cNvPr descr="index_files/figure-docx/fig-j0-vs-stp-1.png" id="92" name="Picture"/>
                                <pic:cNvPicPr>
                                  <a:picLocks noChangeArrowheads="1" noChangeAspect="1"/>
                                </pic:cNvPicPr>
                              </pic:nvPicPr>
                              <pic:blipFill>
                                <a:blip r:embed="rId9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w:t>
                  </w:r>
                  <w:r>
                    <w:t xml:space="preserve"> </w:t>
                  </w:r>
                  <m:oMath>
                    <m:sSub>
                      <m:e>
                        <m:r>
                          <m:t>J</m:t>
                        </m:r>
                      </m:e>
                      <m:sub>
                        <m:r>
                          <m:t>0</m:t>
                        </m:r>
                      </m:sub>
                    </m:sSub>
                  </m:oMath>
                  <w:r>
                    <w:t xml:space="preserve"> </w:t>
                  </w:r>
                  <w:r>
                    <w:t xml:space="preserve">vs. </w:t>
                  </w:r>
                  <m:oMath>
                    <m:sSub>
                      <m:e>
                        <m:r>
                          <m:t>P</m:t>
                        </m:r>
                      </m:e>
                      <m:sub>
                        <m:r>
                          <m:t>A</m:t>
                        </m:r>
                        <m:r>
                          <m:t>A</m:t>
                        </m:r>
                        <m:r>
                          <m:t>E</m:t>
                        </m:r>
                        <m:r>
                          <m:t>10</m:t>
                        </m:r>
                      </m:sub>
                    </m:sSub>
                  </m:oMath>
                </w:p>
                <w:bookmarkEnd w:id="93"/>
              </w:tc>
            </w:tr>
          </w:tbl>
          <w:p/>
        </w:tc>
        <w:tc>
          <w:tcPr/>
          <w:tbl>
            <w:tblPr>
              <w:tblStyle w:val="Table"/>
              <w:tblW w:type="pct" w:w="4900"/>
              <w:tblLayout w:type="fixed"/>
              <w:tblLook w:firstRow="0" w:lastRow="0" w:firstColumn="0" w:lastColumn="0" w:noHBand="0" w:noVBand="0" w:val="0000"/>
            </w:tblPr>
            <w:tblGrid>
              <w:gridCol w:w="7761"/>
            </w:tblGrid>
            <w:tr>
              <w:tc>
                <w:tcPr/>
                <w:bookmarkStart w:id="97" w:name="fig-j0-vs-stp-2"/>
                <w:p>
                  <w:pPr>
                    <w:pStyle w:val="Compact"/>
                    <w:jc w:val="center"/>
                    <w:jc w:val="left"/>
                  </w:pPr>
                  <w:r>
                    <w:drawing>
                      <wp:inline>
                        <wp:extent cx="2971800" cy="2377440"/>
                        <wp:effectExtent b="0" l="0" r="0" t="0"/>
                        <wp:docPr descr="" title="" id="95" name="Picture"/>
                        <a:graphic>
                          <a:graphicData uri="http://schemas.openxmlformats.org/drawingml/2006/picture">
                            <pic:pic>
                              <pic:nvPicPr>
                                <pic:cNvPr descr="index_files/figure-docx/fig-j0-vs-stp-2.png" id="96" name="Picture"/>
                                <pic:cNvPicPr>
                                  <a:picLocks noChangeArrowheads="1" noChangeAspect="1"/>
                                </pic:cNvPicPr>
                              </pic:nvPicPr>
                              <pic:blipFill>
                                <a:blip r:embed="rId9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w:t>
                  </w:r>
                  <w:r>
                    <w:t xml:space="preserve"> </w:t>
                  </w:r>
                  <m:oMath>
                    <m:sSub>
                      <m:e>
                        <m:r>
                          <m:t>J</m:t>
                        </m:r>
                      </m:e>
                      <m:sub>
                        <m:r>
                          <m:t>0</m:t>
                        </m:r>
                      </m:sub>
                    </m:sSub>
                  </m:oMath>
                  <w:r>
                    <w:t xml:space="preserve"> </w:t>
                  </w:r>
                  <w:r>
                    <w:t xml:space="preserve">vs. </w:t>
                  </w:r>
                  <m:oMath>
                    <m:sSub>
                      <m:e>
                        <m:r>
                          <m:t>P</m:t>
                        </m:r>
                      </m:e>
                      <m:sub>
                        <m:r>
                          <m:t>C</m:t>
                        </m:r>
                        <m:sSub>
                          <m:e>
                            <m:r>
                              <m:t>O</m:t>
                            </m:r>
                          </m:e>
                          <m:sub>
                            <m:r>
                              <m:t>2</m:t>
                            </m:r>
                          </m:sub>
                        </m:sSub>
                      </m:sub>
                    </m:sSub>
                  </m:oMath>
                </w:p>
                <w:bookmarkEnd w:id="97"/>
              </w:tc>
            </w:tr>
          </w:tbl>
          <w:p/>
        </w:tc>
      </w:tr>
    </w:tbl>
    <w:p>
      <w:pPr>
        <w:pStyle w:val="BodyText"/>
      </w:pPr>
      <w:pPr>
        <w:spacing w:before="200"/>
        <w:pStyle w:val="ImageCaption"/>
      </w:pPr>
      <w:r>
        <w:t xml:space="preserve">Figure 6: Correlation between the Initial P Flux (</w:t>
      </w:r>
      <m:oMath>
        <m:sSub>
          <m:e>
            <m:r>
              <m:t>J</m:t>
            </m:r>
          </m:e>
          <m:sub>
            <m:r>
              <m:t>0</m:t>
            </m:r>
          </m:sub>
        </m:sSub>
      </m:oMath>
      <w:r>
        <w:t xml:space="preserve">) and standard soil test phosphorus (STP) methods. (A)</w:t>
      </w:r>
      <w:r>
        <w:t xml:space="preserve"> </w:t>
      </w:r>
      <m:oMath>
        <m:sSub>
          <m:e>
            <m:r>
              <m:t>J</m:t>
            </m:r>
          </m:e>
          <m:sub>
            <m:r>
              <m:t>0</m:t>
            </m:r>
          </m:sub>
        </m:sSub>
      </m:oMath>
      <w:r>
        <w:t xml:space="preserve"> </w:t>
      </w:r>
      <w:r>
        <w:t xml:space="preserve">vs. </w:t>
      </w:r>
      <m:oMath>
        <m:sSub>
          <m:e>
            <m:r>
              <m:t>P</m:t>
            </m:r>
          </m:e>
          <m:sub>
            <m:r>
              <m:t>A</m:t>
            </m:r>
            <m:r>
              <m:t>A</m:t>
            </m:r>
            <m:r>
              <m:t>E</m:t>
            </m:r>
            <m:r>
              <m:t>10</m:t>
            </m:r>
          </m:sub>
        </m:sSub>
      </m:oMath>
      <w:r>
        <w:t xml:space="preserve">. (B)</w:t>
      </w:r>
      <w:r>
        <w:t xml:space="preserve"> </w:t>
      </w:r>
      <m:oMath>
        <m:sSub>
          <m:e>
            <m:r>
              <m:t>J</m:t>
            </m:r>
          </m:e>
          <m:sub>
            <m:r>
              <m:t>0</m:t>
            </m:r>
          </m:sub>
        </m:sSub>
      </m:oMath>
      <w:r>
        <w:t xml:space="preserve"> </w:t>
      </w:r>
      <w:r>
        <w:t xml:space="preserve">vs. </w:t>
      </w:r>
      <m:oMath>
        <m:sSub>
          <m:e>
            <m:r>
              <m:t>P</m:t>
            </m:r>
          </m:e>
          <m:sub>
            <m:r>
              <m:t>C</m:t>
            </m:r>
            <m:sSub>
              <m:e>
                <m:r>
                  <m:t>O</m:t>
                </m:r>
              </m:e>
              <m:sub>
                <m:r>
                  <m:t>2</m:t>
                </m:r>
              </m:sub>
            </m:sSub>
          </m:sub>
        </m:sSub>
      </m:oMath>
      <w:r>
        <w:t xml:space="preserve">. Points are colored by site, and the solid line represents a linear regression fit to all data.</w:t>
      </w:r>
    </w:p>
    <w:bookmarkEnd w:id="98"/>
    <w:p>
      <w:pPr>
        <w:pStyle w:val="BodyText"/>
      </w:pPr>
      <w:r>
        <w:t xml:space="preserve">The results show a</w:t>
      </w:r>
      <w:r>
        <w:t xml:space="preserve"> </w:t>
      </w:r>
      <w:r>
        <w:rPr>
          <w:b/>
          <w:bCs/>
        </w:rPr>
        <w:t xml:space="preserve">clear positive relationship</w:t>
      </w:r>
      <w:r>
        <w:t xml:space="preserve"> </w:t>
      </w:r>
      <w:r>
        <w:t xml:space="preserve">between the Initial P Flux (</w:t>
      </w:r>
      <m:oMath>
        <m:sSub>
          <m:e>
            <m:r>
              <m:t>J</m:t>
            </m:r>
          </m:e>
          <m:sub>
            <m:r>
              <m:t>0</m:t>
            </m:r>
          </m:sub>
        </m:sSub>
      </m:oMath>
      <w:r>
        <w:t xml:space="preserve">) and both standard STP methods. This indicates that as the size of the soil’s available P pool increases, the potential flux of P from the soil to the solution also increases, which is consistent with chemical principles.</w:t>
      </w:r>
    </w:p>
    <w:p>
      <w:pPr>
        <w:pStyle w:val="BodyText"/>
      </w:pPr>
      <w:r>
        <w:t xml:space="preserve">However, the two relationships show notable differences. The correlation between</w:t>
      </w:r>
      <w:r>
        <w:t xml:space="preserve"> </w:t>
      </w:r>
      <m:oMath>
        <m:sSub>
          <m:e>
            <m:r>
              <m:t>J</m:t>
            </m:r>
          </m:e>
          <m:sub>
            <m:r>
              <m:t>0</m:t>
            </m:r>
          </m:sub>
        </m:sSub>
      </m:oMath>
      <w:r>
        <w:rPr>
          <w:b/>
          <w:bCs/>
        </w:rPr>
        <w:t xml:space="preserve"> </w:t>
      </w:r>
      <w:r>
        <w:rPr>
          <w:b/>
          <w:bCs/>
        </w:rPr>
        <w:t xml:space="preserve">and</w:t>
      </w:r>
      <w:r>
        <w:rPr>
          <w:b/>
          <w:bCs/>
        </w:rPr>
        <w:t xml:space="preserve"> </w:t>
      </w:r>
      <m:oMath>
        <m:sSub>
          <m:e>
            <m:r>
              <m:t>P</m:t>
            </m:r>
          </m:e>
          <m:sub>
            <m:r>
              <m:t>C</m:t>
            </m:r>
            <m:sSub>
              <m:e>
                <m:r>
                  <m:t>O</m:t>
                </m:r>
              </m:e>
              <m:sub>
                <m:r>
                  <m:t>2</m:t>
                </m:r>
              </m:sub>
            </m:sSub>
          </m:sub>
        </m:sSub>
      </m:oMath>
      <w:r>
        <w:rPr>
          <w:b/>
          <w:bCs/>
        </w:rPr>
        <w:t xml:space="preserve"> </w:t>
      </w:r>
      <w:r>
        <w:rPr>
          <w:b/>
          <w:bCs/>
        </w:rPr>
        <w:t xml:space="preserve">appears stronger and tighter</w:t>
      </w:r>
      <w:r>
        <w:t xml:space="preserve"> </w:t>
      </w:r>
      <w:r>
        <w:t xml:space="preserve">(Figure 3.5B) than the correlation between</w:t>
      </w:r>
      <w:r>
        <w:t xml:space="preserve"> </w:t>
      </w:r>
      <m:oMath>
        <m:sSub>
          <m:e>
            <m:r>
              <m:t>J</m:t>
            </m:r>
          </m:e>
          <m:sub>
            <m:r>
              <m:t>0</m:t>
            </m:r>
          </m:sub>
        </m:sSub>
      </m:oMath>
      <w:r>
        <w:t xml:space="preserve"> </w:t>
      </w:r>
      <w:r>
        <w:t xml:space="preserve">and</w:t>
      </w:r>
      <w:r>
        <w:t xml:space="preserve"> </w:t>
      </w:r>
      <m:oMath>
        <m:sSub>
          <m:e>
            <m:r>
              <m:t>P</m:t>
            </m:r>
          </m:e>
          <m:sub>
            <m:r>
              <m:t>A</m:t>
            </m:r>
            <m:r>
              <m:t>A</m:t>
            </m:r>
            <m:r>
              <m:t>E</m:t>
            </m:r>
            <m:r>
              <m:t>10</m:t>
            </m:r>
          </m:sub>
        </m:sSub>
      </m:oMath>
      <w:r>
        <w:t xml:space="preserve"> </w:t>
      </w:r>
      <w:r>
        <w:t xml:space="preserve">(Figure 3.5A). The data points in the</w:t>
      </w:r>
      <w:r>
        <w:t xml:space="preserve"> </w:t>
      </w:r>
      <m:oMath>
        <m:sSub>
          <m:e>
            <m:r>
              <m:t>J</m:t>
            </m:r>
          </m:e>
          <m:sub>
            <m:r>
              <m:t>0</m:t>
            </m:r>
          </m:sub>
        </m:sSub>
      </m:oMath>
      <w:r>
        <w:t xml:space="preserve"> </w:t>
      </w:r>
      <w:r>
        <w:t xml:space="preserve">vs. </w:t>
      </w:r>
      <m:oMath>
        <m:sSub>
          <m:e>
            <m:r>
              <m:t>P</m:t>
            </m:r>
          </m:e>
          <m:sub>
            <m:r>
              <m:t>C</m:t>
            </m:r>
            <m:sSub>
              <m:e>
                <m:r>
                  <m:t>O</m:t>
                </m:r>
              </m:e>
              <m:sub>
                <m:r>
                  <m:t>2</m:t>
                </m:r>
              </m:sub>
            </m:sSub>
          </m:sub>
        </m:sSub>
      </m:oMath>
      <w:r>
        <w:t xml:space="preserve"> </w:t>
      </w:r>
      <w:r>
        <w:t xml:space="preserve">plot cluster more closely around the regression line, suggesting a more direct and proportional relationship.</w:t>
      </w:r>
    </w:p>
    <w:p>
      <w:pPr>
        <w:pStyle w:val="BodyText"/>
      </w:pPr>
      <w:r>
        <w:t xml:space="preserve">This finding is logical, as both</w:t>
      </w:r>
      <w:r>
        <w:t xml:space="preserve"> </w:t>
      </w:r>
      <m:oMath>
        <m:sSub>
          <m:e>
            <m:r>
              <m:t>J</m:t>
            </m:r>
          </m:e>
          <m:sub>
            <m:r>
              <m:t>0</m:t>
            </m:r>
          </m:sub>
        </m:sSub>
      </m:oMath>
      <w:r>
        <w:t xml:space="preserve"> </w:t>
      </w:r>
      <w:r>
        <w:t xml:space="preserve">and</w:t>
      </w:r>
      <w:r>
        <w:t xml:space="preserve"> </w:t>
      </w:r>
      <m:oMath>
        <m:sSub>
          <m:e>
            <m:r>
              <m:t>P</m:t>
            </m:r>
          </m:e>
          <m:sub>
            <m:r>
              <m:t>C</m:t>
            </m:r>
            <m:sSub>
              <m:e>
                <m:r>
                  <m:t>O</m:t>
                </m:r>
              </m:e>
              <m:sub>
                <m:r>
                  <m:t>2</m:t>
                </m:r>
              </m:sub>
            </m:sSub>
          </m:sub>
        </m:sSub>
      </m:oMath>
      <w:r>
        <w:t xml:space="preserve"> </w:t>
      </w:r>
      <w:r>
        <w:t xml:space="preserve">are measures of the most labile and readily available P fractions. In contrast,</w:t>
      </w:r>
      <w:r>
        <w:t xml:space="preserve"> </w:t>
      </w:r>
      <m:oMath>
        <m:sSub>
          <m:e>
            <m:r>
              <m:t>P</m:t>
            </m:r>
          </m:e>
          <m:sub>
            <m:r>
              <m:t>A</m:t>
            </m:r>
            <m:r>
              <m:t>A</m:t>
            </m:r>
            <m:r>
              <m:t>E</m:t>
            </m:r>
            <m:r>
              <m:t>10</m:t>
            </m:r>
          </m:sub>
        </m:sSub>
      </m:oMath>
      <w:r>
        <w:t xml:space="preserve"> </w:t>
      </w:r>
      <w:r>
        <w:t xml:space="preserve">measures a larger, less defined pool that includes more slowly available P, which may not contribute as directly to the initial kinetic flux.</w:t>
      </w:r>
    </w:p>
    <w:p>
      <w:pPr>
        <w:pStyle w:val="BodyText"/>
      </w:pPr>
      <w:r>
        <w:t xml:space="preserve">Furthermore, a clear</w:t>
      </w:r>
      <w:r>
        <w:t xml:space="preserve"> </w:t>
      </w:r>
      <w:r>
        <w:rPr>
          <w:b/>
          <w:bCs/>
        </w:rPr>
        <w:t xml:space="preserve">site-specific effect</w:t>
      </w:r>
      <w:r>
        <w:t xml:space="preserve"> </w:t>
      </w:r>
      <w:r>
        <w:t xml:space="preserve">is visible in both plots. The data points for each site tend to form distinct clusters, suggesting that while the general positive trend holds, the exact relationship between the static P pool and the kinetic flux is mediated by the unique properties of each soil.</w:t>
      </w:r>
    </w:p>
    <w:bookmarkEnd w:id="99"/>
    <w:bookmarkEnd w:id="100"/>
    <w:bookmarkStart w:id="101" w:name="discussion"/>
    <w:p>
      <w:pPr>
        <w:pStyle w:val="Heading1"/>
      </w:pPr>
      <w:r>
        <w:t xml:space="preserve">Discussion</w:t>
      </w:r>
    </w:p>
    <w:bookmarkEnd w:id="101"/>
    <w:bookmarkStart w:id="102" w:name="conclusion"/>
    <w:p>
      <w:pPr>
        <w:pStyle w:val="Heading1"/>
      </w:pPr>
      <w:r>
        <w:t xml:space="preserve">Conclusion</w:t>
      </w:r>
    </w:p>
    <w:bookmarkEnd w:id="102"/>
    <w:bookmarkStart w:id="103" w:name="acknowledgments"/>
    <w:p>
      <w:pPr>
        <w:pStyle w:val="Heading1"/>
      </w:pPr>
      <w:r>
        <w:t xml:space="preserve">Acknowledgments</w:t>
      </w:r>
    </w:p>
    <w:bookmarkEnd w:id="103"/>
    <w:bookmarkStart w:id="104" w:name="legal-disclosure"/>
    <w:p>
      <w:pPr>
        <w:pStyle w:val="Heading1"/>
      </w:pPr>
      <w:r>
        <w:t xml:space="preserve">Legal Disclosure</w:t>
      </w:r>
    </w:p>
    <w:bookmarkEnd w:id="104"/>
    <w:bookmarkStart w:id="108" w:name="references"/>
    <w:p>
      <w:pPr>
        <w:pStyle w:val="Heading1"/>
      </w:pPr>
      <w:r>
        <w:t xml:space="preserve">References</w:t>
      </w:r>
    </w:p>
    <w:bookmarkStart w:id="107" w:name="refs"/>
    <w:bookmarkStart w:id="10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105">
        <w:r>
          <w:rPr>
            <w:rStyle w:val="Hyperlink"/>
          </w:rPr>
          <w:t xml:space="preserve">https://doi.org/10.1093/comjnl/27.2.97</w:t>
        </w:r>
      </w:hyperlink>
      <w:r>
        <w:t xml:space="preserve">.</w:t>
      </w:r>
    </w:p>
    <w:bookmarkEnd w:id="106"/>
    <w:bookmarkEnd w:id="107"/>
    <w:bookmarkEnd w:id="108"/>
    <w:bookmarkStart w:id="109" w:name="appendix"/>
    <w:p>
      <w:pPr>
        <w:pStyle w:val="Heading1"/>
      </w:pPr>
      <w:r>
        <w:t xml:space="preserve">Appendix</w:t>
      </w:r>
    </w:p>
    <w:bookmarkEnd w:id="109"/>
    <w:bookmarkStart w:id="110" w:name="supplements"/>
    <w:p>
      <w:pPr>
        <w:pStyle w:val="Heading1"/>
      </w:pPr>
      <w:r>
        <w:t xml:space="preserve">Supplements</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27" Target="https://Andrapodon.github.io/Master-Thesis-P-kinetics/index.qmd.html" TargetMode="External" /><Relationship Type="http://schemas.openxmlformats.org/officeDocument/2006/relationships/hyperlink" Id="rId105"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105"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2025-09-02T13:05:23Z</dcterms:created>
  <dcterms:modified xsi:type="dcterms:W3CDTF">2025-09-02T13:05:23Z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