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5"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invite a differentiation between labile-P, semi-labile-P and so on.</w:t>
      </w:r>
    </w:p>
    <w:bookmarkEnd w:id="22"/>
    <w:bookmarkStart w:id="23" w:name="Xd37e0e7c13e28825a0775d52f98a3e1f3c03b43"/>
    <w:p>
      <w:pPr>
        <w:pStyle w:val="Heading2"/>
      </w:pPr>
      <w:r>
        <w:t xml:space="preserve">Principle Mechanism of P-transport to the Plant</w:t>
      </w:r>
    </w:p>
    <w:p>
      <w:pPr>
        <w:pStyle w:val="FirstParagraph"/>
      </w:pPr>
      <w:r>
        <w:t xml:space="preserve">Plants that live in ground, interface with their roots the soil-matrix, soil-solution and air-pockets. It is the interface between root and soil-solution, where the exchange, particularly the uptake of water and nutrients happens. High-affinity phosphate transporters are mainly responsible for the transport of phosphate from the soil-solution into the cytosol. The momentary concentration of orthophosphate [</w:t>
      </w:r>
      <m:oMath>
        <m:sSub>
          <m:e>
            <m:r>
              <m:t>H</m:t>
            </m:r>
          </m:e>
          <m:sub>
            <m:r>
              <m:t>n</m:t>
            </m:r>
          </m:sub>
        </m:sSub>
        <m:r>
          <m:t>P</m:t>
        </m:r>
        <m:sSubSup>
          <m:e>
            <m:r>
              <m:t>O</m:t>
            </m:r>
          </m:e>
          <m:sub>
            <m:r>
              <m:t>4</m:t>
            </m:r>
          </m:sub>
          <m:sup>
            <m:r>
              <m:t>n</m:t>
            </m:r>
            <m:r>
              <m:rPr>
                <m:sty m:val="p"/>
              </m:rPr>
              <m:t>−</m:t>
            </m:r>
            <m:r>
              <m:t>3</m:t>
            </m:r>
          </m:sup>
        </m:sSubSup>
      </m:oMath>
      <w:r>
        <w:t xml:space="preserve">] in the soil-solution is called the intensity. It is influenced by sinks such as biological uptake, precipitation, adsorption and leaching, sources are dissolution of phosphate-minerals, mineralization resp. enzymatic hydrolization of organic Phosphate-esters and -anhydrides. Since it is difficult and sometimes up to now impossible to accurately assess all these factors, it has been shown beneficial to use a more agnostic approach and regard the net-diffusion rates, as a black-box model. For the sake of simplicity and feasibility, all biological-uptake can be removed, such that only the interaction between soil-matrix and soil-solution can be observed. Such a model would consist of the soil-matrix, containing the adsorption-surfaces and the interfacing soil-solution that exchanges phosphates until an equilibrium is reached. There have been different approaches to capture the diffusion of Phosphate. The IEK method employs</w:t>
      </w:r>
      <w:r>
        <w:t xml:space="preserve"> </w:t>
      </w:r>
      <m:oMath>
        <m:sSup>
          <m:e>
            <m:r>
              <m:t>​</m:t>
            </m:r>
          </m:e>
          <m:sup>
            <m:r>
              <m:t>31</m:t>
            </m:r>
          </m:sup>
        </m:sSup>
        <m:r>
          <m:t>P</m:t>
        </m:r>
      </m:oMath>
      <w:r>
        <w:t xml:space="preserve"> </w:t>
      </w:r>
      <w:r>
        <w:t xml:space="preserve">and assesses the amount of P, that is exchangeable between both phases and the temporal development of that amount. Flossmann &amp; Richter assessed the net-diffusion rate and equilibrium-concentration, modelling the diffusion-process as a first-order-kinetic. Whilst IEK observes the diffusion in a steady-state, the approach of Flossmann &amp; Richter did start with a system of dried fine soil and deionized water, and subsequently sampling at different time-points, observing the desorption-reaction-speed from start to equilibrium.</w:t>
      </w:r>
    </w:p>
    <w:bookmarkEnd w:id="23"/>
    <w:bookmarkStart w:id="24" w:name="prediction-of-biological-sinks"/>
    <w:p>
      <w:pPr>
        <w:pStyle w:val="Heading2"/>
      </w:pPr>
      <w:r>
        <w:t xml:space="preserve">Prediction of biological sinks</w:t>
      </w:r>
    </w:p>
    <w:p>
      <w:pPr>
        <w:pStyle w:val="FirstParagraph"/>
      </w:pPr>
      <w:r>
        <w:t xml:space="preserve">The prediction of biological sinks, particularly plant uptake is of great practical and academic interest. To adequately estimate the ability of a soil to provide sufficient</w:t>
      </w:r>
      <w:r>
        <w:t xml:space="preserve"> </w:t>
      </w:r>
      <m:oMath>
        <m:r>
          <m:t>P</m:t>
        </m:r>
        <m:r>
          <m:t>i</m:t>
        </m:r>
      </m:oMath>
      <w:r>
        <w:t xml:space="preserve"> </w:t>
      </w:r>
      <w:r>
        <w:t xml:space="preserve">by assessing the status of both soil and soil-solution is the basis for economically and ecologically sustainable fertilization practice. Several approaches and models exist and aim to connect estimations of the</w:t>
      </w:r>
      <w:r>
        <w:t xml:space="preserve"> </w:t>
      </w:r>
      <m:oMath>
        <m:r>
          <m:t>P</m:t>
        </m:r>
        <m:r>
          <m:t>i</m:t>
        </m:r>
      </m:oMath>
      <w:r>
        <w:t xml:space="preserve">-availability and the expected requirements of crops. The predominant of models in use try to measure the extractable</w:t>
      </w:r>
      <w:r>
        <w:t xml:space="preserve"> </w:t>
      </w:r>
      <m:oMath>
        <m:r>
          <m:t>P</m:t>
        </m:r>
        <m:r>
          <m:t>i</m:t>
        </m:r>
      </m:oMath>
      <w:r>
        <w:t xml:space="preserve"> </w:t>
      </w:r>
      <w:r>
        <w:t xml:space="preserve">via different solvents, and depending on agressivity of the solvent to identify different pools of</w:t>
      </w:r>
      <w:r>
        <w:t xml:space="preserve"> </w:t>
      </w:r>
      <m:oMath>
        <m:r>
          <m:t>P</m:t>
        </m:r>
        <m:r>
          <m:t>i</m:t>
        </m:r>
      </m:oMath>
      <w:r>
        <w:t xml:space="preserve">. The extraction of</w:t>
      </w:r>
      <w:r>
        <w:t xml:space="preserve"> </w:t>
      </w:r>
      <m:oMath>
        <m:r>
          <m:t>P</m:t>
        </m:r>
        <m:r>
          <m:t>i</m:t>
        </m:r>
      </m:oMath>
      <w:r>
        <w:t xml:space="preserve"> </w:t>
      </w:r>
      <w:r>
        <w:t xml:space="preserve">with</w:t>
      </w:r>
      <w:r>
        <w:t xml:space="preserve"> </w:t>
      </w:r>
      <m:oMath>
        <m:sSub>
          <m:e>
            <m:r>
              <m:t>H</m:t>
            </m:r>
          </m:e>
          <m:sub>
            <m:r>
              <m:t>2</m:t>
            </m:r>
          </m:sub>
        </m:sSub>
        <m:r>
          <m:t>O</m:t>
        </m:r>
      </m:oMath>
      <w:r>
        <w:t xml:space="preserve"> </w:t>
      </w:r>
      <w:r>
        <w:t xml:space="preserve">or weakly acidic aqueous solutions are generally identified as the immediately available</w:t>
      </w:r>
      <w:r>
        <w:t xml:space="preserve"> </w:t>
      </w:r>
      <m:oMath>
        <m:r>
          <m:t>P</m:t>
        </m:r>
        <m:r>
          <m:t>i</m:t>
        </m:r>
      </m:oMath>
      <w:r>
        <w:t xml:space="preserve"> </w:t>
      </w:r>
      <w:r>
        <w:t xml:space="preserve">or the Intensity. Extractants with strong acids or chelators, able to dissolve and desorb strongly bound</w:t>
      </w:r>
      <w:r>
        <w:t xml:space="preserve"> </w:t>
      </w:r>
      <m:oMath>
        <m:r>
          <m:t>P</m:t>
        </m:r>
        <m:r>
          <m:t>i</m:t>
        </m:r>
      </m:oMath>
      <w:r>
        <w:t xml:space="preserve"> </w:t>
      </w:r>
      <w:r>
        <w:t xml:space="preserve">are identified as the</w:t>
      </w:r>
      <w:r>
        <w:t xml:space="preserve"> </w:t>
      </w:r>
      <m:oMath>
        <m:r>
          <m:t>P</m:t>
        </m:r>
        <m:r>
          <m:t>i</m:t>
        </m:r>
      </m:oMath>
      <w:r>
        <w:t xml:space="preserve">-Pool that will eventually become available to plants and is often called the Capacity. Such models continue to calculate the required amount of</w:t>
      </w:r>
      <w:r>
        <w:t xml:space="preserve"> </w:t>
      </w:r>
      <m:oMath>
        <m:r>
          <m:t>P</m:t>
        </m:r>
        <m:r>
          <m:t>i</m:t>
        </m:r>
      </m:oMath>
      <w:r>
        <w:t xml:space="preserve"> </w:t>
      </w:r>
      <w:r>
        <w:t xml:space="preserve">by starting with the expexted uptake of the planned crop, this uptake is often</w:t>
      </w:r>
    </w:p>
    <w:bookmarkEnd w:id="24"/>
    <w:bookmarkEnd w:id="25"/>
    <w:bookmarkStart w:id="36" w:name="materials-and-methods"/>
    <w:p>
      <w:pPr>
        <w:pStyle w:val="Heading1"/>
      </w:pPr>
      <w:r>
        <w:t xml:space="preserve">Materials and Methods</w:t>
      </w:r>
    </w:p>
    <w:bookmarkStart w:id="26"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6"/>
    <w:bookmarkStart w:id="29"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7"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9"/>
    <w:bookmarkStart w:id="32"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30"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1"/>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2"/>
        </w:numPr>
      </w:pPr>
      <w:r>
        <w:rPr>
          <w:b/>
          <w:bCs/>
        </w:rPr>
        <w:t xml:space="preserve">Solution A</w:t>
      </w:r>
      <w:r>
        <w:t xml:space="preserve">: Contains easily soluble P, which is discarded.</w:t>
      </w:r>
    </w:p>
    <w:p>
      <w:pPr>
        <w:pStyle w:val="Compact"/>
        <w:numPr>
          <w:ilvl w:val="0"/>
          <w:numId w:val="1001"/>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3"/>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3"/>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3"/>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1"/>
        </w:numPr>
      </w:pPr>
      <w:r>
        <w:rPr>
          <w:b/>
          <w:bCs/>
        </w:rPr>
        <w:t xml:space="preserve">Analysis</w:t>
      </w:r>
      <w:r>
        <w:t xml:space="preserve">: The P concentration in Solutions B, C, and D is determined colorimetrically using the molybdenum blue method according to Murphy and Riley (1962).</w:t>
      </w:r>
    </w:p>
    <w:bookmarkEnd w:id="30"/>
    <w:bookmarkStart w:id="31"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4"/>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4"/>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5"/>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5"/>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5"/>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5"/>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5"/>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5"/>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5"/>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5"/>
        </w:numPr>
      </w:pPr>
      <w:r>
        <w:rPr>
          <w:b/>
          <w:bCs/>
        </w:rPr>
        <w:t xml:space="preserve">Extract 8</w:t>
      </w:r>
      <w:r>
        <w:t xml:space="preserve">: Subsample taken after</w:t>
      </w:r>
      <w:r>
        <w:t xml:space="preserve"> </w:t>
      </w:r>
      <w:r>
        <w:rPr>
          <w:b/>
          <w:bCs/>
        </w:rPr>
        <w:t xml:space="preserve">60 minutes</w:t>
      </w:r>
      <w:r>
        <w:t xml:space="preserve">.</w:t>
      </w:r>
    </w:p>
    <w:p>
      <w:pPr>
        <w:numPr>
          <w:ilvl w:val="0"/>
          <w:numId w:val="1004"/>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bookmarkEnd w:id="31"/>
    <w:bookmarkEnd w:id="32"/>
    <w:bookmarkStart w:id="35" w:name="statistical-analysis"/>
    <w:p>
      <w:pPr>
        <w:pStyle w:val="Heading2"/>
      </w:pPr>
      <w:r>
        <w:t xml:space="preserve">Statistical Analysis</w:t>
      </w:r>
    </w:p>
    <w:p>
      <w:pPr>
        <w:pStyle w:val="FirstParagraph"/>
      </w:pPr>
      <w:r>
        <w:t xml:space="preserve">The statistical analysis aimed to derive the kinetic parameters of phosphorus (P) desorption for each soil sample. A two-stage approach was employed, starting with a linearized model and progressing to a more robust non-linear mixed-effects model.</w:t>
      </w:r>
    </w:p>
    <w:bookmarkStart w:id="33" w:name="initial-approach-linearized-model"/>
    <w:p>
      <w:pPr>
        <w:pStyle w:val="Heading3"/>
      </w:pPr>
      <w:r>
        <w:t xml:space="preserve">Initial Approach: Linearized Model</w:t>
      </w:r>
    </w:p>
    <w:p>
      <w:pPr>
        <w:pStyle w:val="FirstParagraph"/>
      </w:pPr>
      <w:r>
        <w:t xml:space="preserve">[cite_start]Following the conceptual framework of Flossmann and Richter (1982), a first attempt was made to linearize the first-order kinetic model[cite: 2, 3]. The differential equation describing P release was solved and rearranged to yield a linear relationship:</w:t>
      </w:r>
    </w:p>
    <w:p>
      <w:pPr>
        <w:pStyle w:val="BodyText"/>
      </w:pPr>
      <m:oMathPara>
        <m:oMathParaPr>
          <m:jc m:val="center"/>
        </m:oMathParaPr>
        <m:oMath>
          <m:r>
            <m:rPr>
              <m:sty m:val="p"/>
            </m:rPr>
            <m:t>log</m:t>
          </m:r>
          <m:d>
            <m:dPr>
              <m:begChr m:val="("/>
              <m:endChr m:val=")"/>
              <m:sepChr m:val=""/>
              <m:grow/>
            </m:dPr>
            <m:e>
              <m:r>
                <m:t>1</m:t>
              </m:r>
              <m:r>
                <m:rPr>
                  <m:sty m:val="p"/>
                </m:rPr>
                <m:t>−</m:t>
              </m:r>
              <m:f>
                <m:fPr>
                  <m:type m:val="bar"/>
                </m:fPr>
                <m:num>
                  <m:r>
                    <m:t>P</m:t>
                  </m:r>
                  <m:d>
                    <m:dPr>
                      <m:begChr m:val="("/>
                      <m:endChr m:val=")"/>
                      <m:sepChr m:val=""/>
                      <m:grow/>
                    </m:dPr>
                    <m:e>
                      <m:r>
                        <m:t>t</m:t>
                      </m:r>
                    </m:e>
                  </m:d>
                </m:num>
                <m:den>
                  <m:sSup>
                    <m:e>
                      <m:r>
                        <m:t>P</m:t>
                      </m:r>
                    </m:e>
                    <m:sup>
                      <m:r>
                        <m:t>S</m:t>
                      </m:r>
                    </m:sup>
                  </m:sSup>
                </m:den>
              </m:f>
            </m:e>
          </m:d>
          <m:r>
            <m:rPr>
              <m:sty m:val="p"/>
            </m:rPr>
            <m:t>=</m:t>
          </m:r>
          <m:r>
            <m:rPr>
              <m:sty m:val="p"/>
            </m:rPr>
            <m:t>−</m:t>
          </m:r>
          <m:r>
            <m:t>k</m:t>
          </m:r>
          <m:r>
            <m:t>t</m:t>
          </m:r>
        </m:oMath>
      </m:oMathPara>
    </w:p>
    <w:p>
      <w:pPr>
        <w:pStyle w:val="FirstParagraph"/>
      </w:pPr>
      <w:r>
        <w:t xml:space="preserve">In this formulation,</w:t>
      </w:r>
      <w:r>
        <w:t xml:space="preserve"> </w:t>
      </w:r>
      <m:oMath>
        <m:r>
          <m:t>P</m:t>
        </m:r>
        <m:d>
          <m:dPr>
            <m:begChr m:val="("/>
            <m:endChr m:val=")"/>
            <m:sepChr m:val=""/>
            <m:grow/>
          </m:dPr>
          <m:e>
            <m:r>
              <m:t>t</m:t>
            </m:r>
          </m:e>
        </m:d>
      </m:oMath>
      <w:r>
        <w:t xml:space="preserve"> </w:t>
      </w:r>
      <w:r>
        <w:t xml:space="preserve">is the concentration of desorbed P at time</w:t>
      </w:r>
      <w:r>
        <w:t xml:space="preserve"> </w:t>
      </w:r>
      <m:oMath>
        <m:r>
          <m:t>t</m:t>
        </m:r>
      </m:oMath>
      <w:r>
        <w:t xml:space="preserve">,</w:t>
      </w:r>
      <w:r>
        <w:t xml:space="preserve"> </w:t>
      </w:r>
      <m:oMath>
        <m:r>
          <m:t>k</m:t>
        </m:r>
      </m:oMath>
      <w:r>
        <w:t xml:space="preserve"> </w:t>
      </w:r>
      <w:r>
        <w:t xml:space="preserve">is the rate constant, and</w:t>
      </w:r>
      <w:r>
        <w:t xml:space="preserve"> </w:t>
      </w:r>
      <m:oMath>
        <m:sSup>
          <m:e>
            <m:r>
              <m:t>P</m:t>
            </m:r>
          </m:e>
          <m:sup>
            <m:r>
              <m:t>S</m:t>
            </m:r>
          </m:sup>
        </m:sSup>
      </m:oMath>
      <w:r>
        <w:t xml:space="preserve"> </w:t>
      </w:r>
      <w:r>
        <w:t xml:space="preserve">is the maximum desorbable P, acting as the asymptote. [cite_start]For this initial model, the</w:t>
      </w:r>
      <w:r>
        <w:t xml:space="preserve"> </w:t>
      </w:r>
      <m:oMath>
        <m:sSup>
          <m:e>
            <m:r>
              <m:t>P</m:t>
            </m:r>
          </m:e>
          <m:sup>
            <m:r>
              <m:t>S</m:t>
            </m:r>
          </m:sup>
        </m:sSup>
      </m:oMath>
      <w:r>
        <w:t xml:space="preserve"> </w:t>
      </w:r>
      <w:r>
        <w:t xml:space="preserve">parameter was not estimated from the kinetic data itself but was calculated</w:t>
      </w:r>
      <w:r>
        <w:t xml:space="preserve"> </w:t>
      </w:r>
      <w:r>
        <w:rPr>
          <w:i/>
          <w:iCs/>
        </w:rPr>
        <w:t xml:space="preserve">a priori</w:t>
      </w:r>
      <w:r>
        <w:t xml:space="preserve"> </w:t>
      </w:r>
      <w:r>
        <w:t xml:space="preserve">for each sample as the difference between the phosphorus concentration measured by the Olsen method (</w:t>
      </w:r>
      <m:oMath>
        <m:sSub>
          <m:e>
            <m:r>
              <m:t>P</m:t>
            </m:r>
          </m:e>
          <m:sub>
            <m:r>
              <m:rPr>
                <m:nor/>
                <m:sty m:val="p"/>
              </m:rPr>
              <m:t>Olsen</m:t>
            </m:r>
          </m:sub>
        </m:sSub>
      </m:oMath>
      <w:r>
        <w:t xml:space="preserve">) and the initially water-soluble P concentration (</w:t>
      </w:r>
      <m:oMath>
        <m:sSub>
          <m:e>
            <m:r>
              <m:t>P</m:t>
            </m:r>
          </m:e>
          <m:sub>
            <m:sSub>
              <m:e>
                <m:r>
                  <m:t>H</m:t>
                </m:r>
              </m:e>
              <m:sub>
                <m:r>
                  <m:t>2</m:t>
                </m:r>
              </m:sub>
            </m:sSub>
            <m:r>
              <m:t>O</m:t>
            </m:r>
          </m:sub>
        </m:sSub>
      </m:oMath>
      <w:r>
        <w:t xml:space="preserve">)[cite: 3, 7].</w:t>
      </w:r>
    </w:p>
    <w:p>
      <w:pPr>
        <w:pStyle w:val="BodyText"/>
      </w:pPr>
      <w:r>
        <w:t xml:space="preserve">While this approach allowed for the use of simple linear regression to estimate</w:t>
      </w:r>
      <w:r>
        <w:t xml:space="preserve"> </w:t>
      </w:r>
      <m:oMath>
        <m:r>
          <m:t>k</m:t>
        </m:r>
      </m:oMath>
      <w:r>
        <w:t xml:space="preserve">, the reliance on an externally calculated asymptote led to poor model fits and physically unrealistic results for several samples. Consequently, this method was discarded in favor of a more direct modeling approach.</w:t>
      </w:r>
    </w:p>
    <w:bookmarkEnd w:id="33"/>
    <w:bookmarkStart w:id="34" w:name="X24d4a869f6947468579451f1c990166af74b3a4"/>
    <w:p>
      <w:pPr>
        <w:pStyle w:val="Heading3"/>
      </w:pPr>
      <w:r>
        <w:t xml:space="preserve">Final Approach: Non-Linear Mixed-Effects Model</w:t>
      </w:r>
    </w:p>
    <w:p>
      <w:pPr>
        <w:pStyle w:val="FirstParagraph"/>
      </w:pPr>
      <w:r>
        <w:t xml:space="preserve">[cite_start]To overcome the limitations of the linearized model, a non-linear mixed-effects model (</w:t>
      </w:r>
      <w:r>
        <w:rPr>
          <w:rStyle w:val="VerbatimChar"/>
        </w:rPr>
        <w:t xml:space="preserve">nlme</w:t>
      </w:r>
      <w:r>
        <w:t xml:space="preserve">) was implemented to estimate both the rate constant</w:t>
      </w:r>
      <w:r>
        <w:t xml:space="preserve"> </w:t>
      </w:r>
      <m:oMath>
        <m:r>
          <m:t>k</m:t>
        </m:r>
      </m:oMath>
      <w:r>
        <w:t xml:space="preserve"> </w:t>
      </w:r>
      <w:r>
        <w:t xml:space="preserve">and the asymptote</w:t>
      </w:r>
      <w:r>
        <w:t xml:space="preserve"> </w:t>
      </w:r>
      <m:oMath>
        <m:sSup>
          <m:e>
            <m:r>
              <m:t>P</m:t>
            </m:r>
          </m:e>
          <m:sup>
            <m:r>
              <m:t>S</m:t>
            </m:r>
          </m:sup>
        </m:sSup>
      </m:oMath>
      <w:r>
        <w:t xml:space="preserve"> </w:t>
      </w:r>
      <w:r>
        <w:t xml:space="preserve">simultaneously and directly from the time-series data[cite: 29].</w:t>
      </w:r>
    </w:p>
    <w:p>
      <w:pPr>
        <w:pStyle w:val="BodyText"/>
      </w:pPr>
      <w:r>
        <w:t xml:space="preserve">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p>
            <m:e>
              <m:r>
                <m:t>P</m:t>
              </m:r>
            </m:e>
            <m:sup>
              <m:r>
                <m:t>S</m:t>
              </m:r>
            </m:sup>
          </m:sSup>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Here,</w:t>
      </w:r>
      <w:r>
        <w:t xml:space="preserve"> </w:t>
      </w:r>
      <m:oMath>
        <m:r>
          <m:t>t</m:t>
        </m:r>
        <m:r>
          <m:rPr>
            <m:sty m:val="p"/>
          </m:rPr>
          <m:t>′</m:t>
        </m:r>
      </m:oMath>
      <w:r>
        <w:t xml:space="preserve"> </w:t>
      </w:r>
      <w:r>
        <w:t xml:space="preserve">represents the adjusted time. [cite_start]Based on preliminary analysis, it was observed that some P dissolves rapidly before the first measurement point[cite: 25]. [cite_start]To account for this, the measured time was adjusted by adding a 3-minute offset (</w:t>
      </w:r>
      <m:oMath>
        <m:r>
          <m:t>t</m:t>
        </m:r>
        <m:r>
          <m:rPr>
            <m:sty m:val="p"/>
          </m:rPr>
          <m:t>′</m:t>
        </m:r>
        <m:r>
          <m:rPr>
            <m:sty m:val="p"/>
          </m:rPr>
          <m:t>=</m:t>
        </m:r>
        <m:sSub>
          <m:e>
            <m:r>
              <m:t>t</m:t>
            </m:r>
          </m:e>
          <m:sub>
            <m:r>
              <m:rPr>
                <m:nor/>
                <m:sty m:val="p"/>
              </m:rPr>
              <m:t>min</m:t>
            </m:r>
          </m:sub>
        </m:sSub>
        <m:r>
          <m:rPr>
            <m:sty m:val="p"/>
          </m:rPr>
          <m:t>+</m:t>
        </m:r>
        <m:r>
          <m:t>3</m:t>
        </m:r>
      </m:oMath>
      <w:r>
        <w:t xml:space="preserve">)[cite: 7, 25].</w:t>
      </w:r>
    </w:p>
    <w:p>
      <w:pPr>
        <w:pStyle w:val="BodyText"/>
      </w:pPr>
      <w:r>
        <w:t xml:space="preserve">[cite_start]The model was implemented in R using the</w:t>
      </w:r>
      <w:r>
        <w:t xml:space="preserve"> </w:t>
      </w:r>
      <w:r>
        <w:rPr>
          <w:rStyle w:val="VerbatimChar"/>
        </w:rPr>
        <w:t xml:space="preserve">nlme</w:t>
      </w:r>
      <w:r>
        <w:t xml:space="preserve"> </w:t>
      </w:r>
      <w:r>
        <w:t xml:space="preserve">package[cite: 29]. To account for the hierarchical structure of the data, where multiple time points are nested within each unique soil sample, the model was specified with both fixed and random effects. The overall population means for</w:t>
      </w:r>
      <w:r>
        <w:t xml:space="preserve"> </w:t>
      </w:r>
      <m:oMath>
        <m:sSup>
          <m:e>
            <m:r>
              <m:t>P</m:t>
            </m:r>
          </m:e>
          <m:sup>
            <m:r>
              <m:t>S</m:t>
            </m:r>
          </m:sup>
        </m:sSup>
      </m:oMath>
      <w:r>
        <w:t xml:space="preserve"> </w:t>
      </w:r>
      <w:r>
        <w:t xml:space="preserve">and</w:t>
      </w:r>
      <w:r>
        <w:t xml:space="preserve"> </w:t>
      </w:r>
      <m:oMath>
        <m:r>
          <m:t>k</m:t>
        </m:r>
      </m:oMath>
      <w:r>
        <w:t xml:space="preserve"> </w:t>
      </w:r>
      <w:r>
        <w:t xml:space="preserve">were estimated as</w:t>
      </w:r>
      <w:r>
        <w:t xml:space="preserve"> </w:t>
      </w:r>
      <w:r>
        <w:rPr>
          <w:b/>
          <w:bCs/>
        </w:rPr>
        <w:t xml:space="preserve">fixed effects</w:t>
      </w:r>
      <w:r>
        <w:t xml:space="preserve">. [cite_start]To capture the unique desorption characteristics of each individual soil sample (defined by its unique ID,</w:t>
      </w:r>
      <w:r>
        <w:t xml:space="preserve"> </w:t>
      </w:r>
      <w:r>
        <w:rPr>
          <w:rStyle w:val="VerbatimChar"/>
        </w:rPr>
        <w:t xml:space="preserve">uid</w:t>
      </w:r>
      <w:r>
        <w:t xml:space="preserve">), subject-specific deviations from the fixed effects for both</w:t>
      </w:r>
      <w:r>
        <w:t xml:space="preserve"> </w:t>
      </w:r>
      <m:oMath>
        <m:sSup>
          <m:e>
            <m:r>
              <m:t>P</m:t>
            </m:r>
          </m:e>
          <m:sup>
            <m:r>
              <m:t>S</m:t>
            </m:r>
          </m:sup>
        </m:sSup>
      </m:oMath>
      <w:r>
        <w:t xml:space="preserve"> </w:t>
      </w:r>
      <w:r>
        <w:t xml:space="preserve">and</w:t>
      </w:r>
      <w:r>
        <w:t xml:space="preserve"> </w:t>
      </w:r>
      <m:oMath>
        <m:r>
          <m:t>k</m:t>
        </m:r>
      </m:oMath>
      <w:r>
        <w:t xml:space="preserve"> </w:t>
      </w:r>
      <w:r>
        <w:t xml:space="preserve">were modeled as</w:t>
      </w:r>
      <w:r>
        <w:t xml:space="preserve"> </w:t>
      </w:r>
      <w:r>
        <w:rPr>
          <w:b/>
          <w:bCs/>
        </w:rPr>
        <w:t xml:space="preserve">random effects</w:t>
      </w:r>
      <w:r>
        <w:t xml:space="preserve">[cite: 29].</w:t>
      </w:r>
    </w:p>
    <w:p>
      <w:pPr>
        <w:pStyle w:val="BodyText"/>
      </w:pPr>
      <w:r>
        <w:t xml:space="preserve">This approach allowed for the robust estimation of individual kinetic parameters for each soil sample, providing the</w:t>
      </w:r>
      <w:r>
        <w:t xml:space="preserve"> </w:t>
      </w:r>
      <w:r>
        <w:rPr>
          <w:rStyle w:val="VerbatimChar"/>
        </w:rPr>
        <w:t xml:space="preserve">k</w:t>
      </w:r>
      <w:r>
        <w:t xml:space="preserve"> </w:t>
      </w:r>
      <w:r>
        <w:t xml:space="preserve">and</w:t>
      </w:r>
      <w:r>
        <w:t xml:space="preserve"> </w:t>
      </w:r>
      <w:r>
        <w:rPr>
          <w:rStyle w:val="VerbatimChar"/>
        </w:rPr>
        <w:t xml:space="preserve">P^S</w:t>
      </w:r>
      <w:r>
        <w:t xml:space="preserve"> </w:t>
      </w:r>
      <w:r>
        <w:t xml:space="preserve">coefficients used for all subsequent analyses in this thesis.</w:t>
      </w:r>
    </w:p>
    <w:p>
      <w:pPr>
        <w:pStyle w:val="BodyText"/>
      </w:pPr>
      <w:r>
        <w:rPr>
          <w:i/>
          <w:iCs/>
        </w:rPr>
        <w:t xml:space="preserve">[The subsequent part of your analysis, where these coefficients are merged with the long-term trial data, would be described next.]</w:t>
      </w:r>
    </w:p>
    <w:bookmarkEnd w:id="34"/>
    <w:bookmarkEnd w:id="35"/>
    <w:bookmarkEnd w:id="36"/>
    <w:bookmarkStart w:id="37" w:name="results"/>
    <w:p>
      <w:pPr>
        <w:pStyle w:val="Heading1"/>
      </w:pPr>
      <w:r>
        <w:t xml:space="preserve">Results</w:t>
      </w:r>
    </w:p>
    <w:bookmarkEnd w:id="37"/>
    <w:bookmarkStart w:id="38" w:name="discussion"/>
    <w:p>
      <w:pPr>
        <w:pStyle w:val="Heading1"/>
      </w:pPr>
      <w:r>
        <w:t xml:space="preserve">Discussion</w:t>
      </w:r>
    </w:p>
    <w:bookmarkEnd w:id="38"/>
    <w:bookmarkStart w:id="39" w:name="conclusion"/>
    <w:p>
      <w:pPr>
        <w:pStyle w:val="Heading1"/>
      </w:pPr>
      <w:r>
        <w:t xml:space="preserve">Conclusion</w:t>
      </w:r>
    </w:p>
    <w:bookmarkEnd w:id="39"/>
    <w:bookmarkStart w:id="40" w:name="acknowledgments"/>
    <w:p>
      <w:pPr>
        <w:pStyle w:val="Heading1"/>
      </w:pPr>
      <w:r>
        <w:t xml:space="preserve">Acknowledgments</w:t>
      </w:r>
    </w:p>
    <w:bookmarkEnd w:id="40"/>
    <w:bookmarkStart w:id="41" w:name="legal-disclosure"/>
    <w:p>
      <w:pPr>
        <w:pStyle w:val="Heading1"/>
      </w:pPr>
      <w:r>
        <w:t xml:space="preserve">Legal Disclosure</w:t>
      </w:r>
    </w:p>
    <w:bookmarkEnd w:id="41"/>
    <w:bookmarkStart w:id="45" w:name="references"/>
    <w:p>
      <w:pPr>
        <w:pStyle w:val="Heading1"/>
      </w:pPr>
      <w:r>
        <w:t xml:space="preserve">References</w:t>
      </w:r>
    </w:p>
    <w:bookmarkStart w:id="44" w:name="refs"/>
    <w:bookmarkStart w:id="43"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2">
        <w:r>
          <w:rPr>
            <w:rStyle w:val="Hyperlink"/>
          </w:rPr>
          <w:t xml:space="preserve">https://doi.org/10.1093/comjnl/27.2.97</w:t>
        </w:r>
      </w:hyperlink>
      <w:r>
        <w:t xml:space="preserve">.</w:t>
      </w:r>
    </w:p>
    <w:bookmarkEnd w:id="43"/>
    <w:bookmarkEnd w:id="44"/>
    <w:bookmarkEnd w:id="45"/>
    <w:bookmarkStart w:id="46" w:name="appendix"/>
    <w:p>
      <w:pPr>
        <w:pStyle w:val="Heading1"/>
      </w:pPr>
      <w:r>
        <w:t xml:space="preserve">Appendix</w:t>
      </w:r>
    </w:p>
    <w:bookmarkEnd w:id="46"/>
    <w:bookmarkStart w:id="47" w:name="supplements"/>
    <w:p>
      <w:pPr>
        <w:pStyle w:val="Heading1"/>
      </w:pPr>
      <w:r>
        <w:t xml:space="preserve">Supplements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ndrapodon.github.io/Master-Thesis-P-kinetics/index.qmd.html" TargetMode="External" /><Relationship Type="http://schemas.openxmlformats.org/officeDocument/2006/relationships/hyperlink" Id="rId42"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8" Target="https://Andrapodon.github.io/Master-Thesis-P-kinetics/index.qmd.html" TargetMode="External" /><Relationship Type="http://schemas.openxmlformats.org/officeDocument/2006/relationships/hyperlink" Id="rId42"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2025-08-27T13:02:02Z</dcterms:created>
  <dcterms:modified xsi:type="dcterms:W3CDTF">2025-08-27T13:02:02Z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