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114.png" ContentType="image/png"/>
  <Override PartName="/word/media/rId58.png" ContentType="image/png"/>
  <Override PartName="/word/media/rId62.png" ContentType="image/png"/>
  <Override PartName="/word/media/rId45.png" ContentType="image/png"/>
  <Override PartName="/word/media/rId51.png" ContentType="image/png"/>
  <Override PartName="/word/media/rId74.png" ContentType="image/png"/>
  <Override PartName="/word/media/rId88.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AbstractTitle"/>
      </w:pPr>
      <w:r>
        <w:t xml:space="preserve">Abstract</w:t>
      </w:r>
    </w:p>
    <w:p>
      <w:pPr>
        <w:pStyle w:val="Abstract"/>
      </w:pPr>
      <w:r>
        <w:t xml:space="preserve">Hier kommt das Abstract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8"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 Traditional methods used in Switzerland and the surrounding DACH region, which are standardized by organizations like the</w:t>
      </w:r>
      <w:r>
        <w:t xml:space="preserve"> </w:t>
      </w:r>
      <w:r>
        <w:rPr>
          <w:b/>
          <w:bCs/>
        </w:rPr>
        <w:t xml:space="preserve">VDLUFA</w:t>
      </w:r>
      <w:r>
        <w:t xml:space="preserve"> </w:t>
      </w:r>
      <w:r>
        <w:t xml:space="preserve">(Verband Deutscher Landwirtschaftlicher Untersuchungs- und Forschungsanstalten) and form the basis of Swiss fertilization guidelines (</w:t>
      </w:r>
      <w:r>
        <w:rPr>
          <w:b/>
          <w:bCs/>
        </w:rPr>
        <w:t xml:space="preserve">GRUD</w:t>
      </w:r>
      <w:r>
        <w:t xml:space="preserve">; Grundlagen für die Düngung), include extractions with CO₂-saturated water or ammonium acetate EDTA (AAE10). These methods are designed to estimate the size of this readily available P pool</w:t>
      </w:r>
      <w:r>
        <w:t xml:space="preserve"> </w:t>
      </w:r>
      <w:r>
        <w:t xml:space="preserve">(Forschungsanstalt für Agrarökologie und Landbau (FAL), 1996; Schofield, 1955; Verband Deutscher Landwirtschaftlicher Untersuchungs- und Forschungsanstalten (VDLUFA), 2000)</w:t>
      </w:r>
      <w:r>
        <w:t xml:space="preserve">.While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2"/>
    <w:bookmarkStart w:id="27" w:name="objectives-and-research-questions"/>
    <w:p>
      <w:pPr>
        <w:pStyle w:val="Heading2"/>
      </w:pPr>
      <w:r>
        <w:t xml:space="preserve">2.3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which provides an ideal platform for this research. The experiment’s multi-decade history has established stable P equilibria across a wide and deliberately created gradient of P availability (from 0% to 167% of recommended fertilization). This allows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6" w:name="research-questions-and-hypotheses"/>
    <w:p>
      <w:pPr>
        <w:pStyle w:val="Heading3"/>
      </w:pPr>
      <w:r>
        <w:t xml:space="preserve">2.3.1 Research Questions and Hypotheses</w:t>
      </w:r>
    </w:p>
    <w:bookmarkStart w:id="23" w:name="X73970caabd21fb1ad690df13dec08de54644888"/>
    <w:p>
      <w:pPr>
        <w:pStyle w:val="Heading4"/>
      </w:pPr>
      <w:r>
        <w:t xml:space="preserve">2.3.1.1 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bookmarkEnd w:id="23"/>
    <w:bookmarkStart w:id="24" w:name="Xfb3bfe2f9fc27a2b53132161816541c53a0aed9"/>
    <w:p>
      <w:pPr>
        <w:pStyle w:val="Heading4"/>
      </w:pPr>
      <w:r>
        <w:t xml:space="preserve">2.3.1.2 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bookmarkEnd w:id="24"/>
    <w:bookmarkStart w:id="25" w:name="Xefd4c984380f659b4841a71312d42905633af81"/>
    <w:p>
      <w:pPr>
        <w:pStyle w:val="Heading4"/>
      </w:pPr>
      <w:r>
        <w:t xml:space="preserve">2.3.1.3 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bookmarkEnd w:id="25"/>
    <w:bookmarkEnd w:id="26"/>
    <w:bookmarkEnd w:id="27"/>
    <w:bookmarkEnd w:id="28"/>
    <w:bookmarkStart w:id="44" w:name="sec-materials-and-methods"/>
    <w:p>
      <w:pPr>
        <w:pStyle w:val="Heading1"/>
      </w:pPr>
      <w:r>
        <w:t xml:space="preserve">3. Materials and Methods</w:t>
      </w:r>
    </w:p>
    <w:bookmarkStart w:id="29"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9"/>
    <w:bookmarkStart w:id="32"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30"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32"/>
    <w:bookmarkStart w:id="35"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33" w:name="X47993b16c69d064be6e51d33e3bf77d3a20131c"/>
    <w:p>
      <w:pPr>
        <w:pStyle w:val="Heading3"/>
      </w:pPr>
      <w:r>
        <w:t xml:space="preserve">3.3.1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33"/>
    <w:bookmarkStart w:id="34"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p>
      <w:r>
        <w:pict>
          <v:rect style="width:0;height:1.5pt" o:hralign="center" o:hrstd="t" o:hr="t"/>
        </w:pict>
      </w:r>
    </w:p>
    <w:bookmarkEnd w:id="34"/>
    <w:bookmarkEnd w:id="35"/>
    <w:bookmarkStart w:id="43" w:name="sec-statistical-analysis"/>
    <w:p>
      <w:pPr>
        <w:pStyle w:val="Heading2"/>
      </w:pPr>
      <w:r>
        <w:t xml:space="preserve">3.4 Statistical Analysis</w:t>
      </w:r>
    </w:p>
    <w:bookmarkStart w:id="36" w:name="software-and-statistical-environment"/>
    <w:p>
      <w:pPr>
        <w:pStyle w:val="Heading3"/>
      </w:pPr>
      <w:r>
        <w:t xml:space="preserve">3.4.1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6"/>
    <w:bookmarkStart w:id="37" w:name="sec-modeling-of-desorption-kinetics"/>
    <w:p>
      <w:pPr>
        <w:pStyle w:val="Heading3"/>
      </w:pPr>
      <w:r>
        <w:t xml:space="preserve">3.4.2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7"/>
    <w:bookmarkStart w:id="39" w:name="X7948ef6b44c07ffe5eee7eadbac8c6481287b2f"/>
    <w:p>
      <w:pPr>
        <w:pStyle w:val="Heading3"/>
      </w:pPr>
      <w:r>
        <w:t xml:space="preserve">3.4.3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8"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8"/>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9"/>
    <w:bookmarkStart w:id="42" w:name="model-assumptions-and-diagnostics"/>
    <w:p>
      <w:pPr>
        <w:pStyle w:val="Heading3"/>
      </w:pPr>
      <w:r>
        <w:t xml:space="preserve">3.4.4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m:oMath>
        <m:sSub>
          <m:e>
            <m:r>
              <m:t>P</m:t>
            </m:r>
          </m:e>
          <m:sub>
            <m:r>
              <m:t>d</m:t>
            </m:r>
            <m:r>
              <m:t>e</m:t>
            </m:r>
            <m:r>
              <m:t>s</m:t>
            </m:r>
            <m:r>
              <m:t>o</m:t>
            </m:r>
            <m:r>
              <m:t>r</m:t>
            </m:r>
            <m:r>
              <m:t>b</m:t>
            </m:r>
          </m:sub>
        </m:sSub>
      </m:oMath>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40" w:name="Xa8a482f2a6a3ad912fccf7e6dc90aeedf0c36d0"/>
    <w:p>
      <w:pPr>
        <w:pStyle w:val="Heading4"/>
      </w:pPr>
      <w:r>
        <w:t xml:space="preserve">3.4.4.1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40"/>
    <w:bookmarkStart w:id="41" w:name="comparative-models-of-agronomic-outcomes"/>
    <w:p>
      <w:pPr>
        <w:pStyle w:val="Heading4"/>
      </w:pPr>
      <w:r>
        <w:t xml:space="preserve">3.4.4.2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bookmarkEnd w:id="41"/>
    <w:bookmarkEnd w:id="42"/>
    <w:bookmarkEnd w:id="43"/>
    <w:bookmarkEnd w:id="44"/>
    <w:bookmarkStart w:id="112" w:name="results"/>
    <w:p>
      <w:pPr>
        <w:pStyle w:val="Heading1"/>
      </w:pPr>
      <w:r>
        <w:t xml:space="preserve">4. Results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7"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50"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9" w:name="cell-fig-linearized-model"/>
    <w:tbl>
      <w:tblPr>
        <w:tblStyle w:val="Table"/>
        <w:tblW w:type="pct" w:w="5000"/>
        <w:tblLayout w:type="fixed"/>
        <w:tblLook w:firstRow="0" w:lastRow="0" w:firstColumn="0" w:lastColumn="0" w:noHBand="0" w:noVBand="0" w:val="0000"/>
      </w:tblPr>
      <w:tblGrid>
        <w:gridCol w:w="7920"/>
      </w:tblGrid>
      <w:tr>
        <w:tc>
          <w:tcPr/>
          <w:bookmarkStart w:id="48" w:name="fig-linearized-model"/>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linearized-model-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8"/>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49"/>
    <w:bookmarkEnd w:id="50"/>
    <w:bookmarkStart w:id="56"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5" w:name="cell-fig-nonlinear-model"/>
    <w:tbl>
      <w:tblPr>
        <w:tblStyle w:val="Table"/>
        <w:tblW w:type="pct" w:w="5000"/>
        <w:tblLayout w:type="fixed"/>
        <w:tblLook w:firstRow="0" w:lastRow="0" w:firstColumn="0" w:lastColumn="0" w:noHBand="0" w:noVBand="0" w:val="0000"/>
      </w:tblPr>
      <w:tblGrid>
        <w:gridCol w:w="7920"/>
      </w:tblGrid>
      <w:tr>
        <w:tc>
          <w:tcPr/>
          <w:bookmarkStart w:id="54" w:name="fig-nonlinear-model"/>
          <w:p>
            <w:pPr>
              <w:pStyle w:val="Compact"/>
              <w:jc w:val="center"/>
            </w:pPr>
            <w:r>
              <w:drawing>
                <wp:inline>
                  <wp:extent cx="4620126" cy="5544151"/>
                  <wp:effectExtent b="0" l="0" r="0" t="0"/>
                  <wp:docPr descr="" title="" id="52" name="Picture"/>
                  <a:graphic>
                    <a:graphicData uri="http://schemas.openxmlformats.org/drawingml/2006/picture">
                      <pic:pic>
                        <pic:nvPicPr>
                          <pic:cNvPr descr="index_files/figure-docx/fig-nonlinear-model-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4"/>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55"/>
    <w:bookmarkEnd w:id="56"/>
    <w:bookmarkEnd w:id="57"/>
    <w:bookmarkStart w:id="67" w:name="X57c0e16474e0112c1b66bc31d7fcfca02c450f3"/>
    <w:p>
      <w:pPr>
        <w:pStyle w:val="Heading2"/>
      </w:pPr>
      <w:r>
        <w:t xml:space="preserve">4.2 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6"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1" w:name="fig-iek-comparison-1"/>
                <w:p>
                  <w:pPr>
                    <w:pStyle w:val="Compact"/>
                    <w:jc w:val="center"/>
                    <w:jc w:val="left"/>
                  </w:pPr>
                  <w:r>
                    <w:drawing>
                      <wp:inline>
                        <wp:extent cx="2971800" cy="2377440"/>
                        <wp:effectExtent b="0" l="0" r="0" t="0"/>
                        <wp:docPr descr="" title="" id="59" name="Picture"/>
                        <a:graphic>
                          <a:graphicData uri="http://schemas.openxmlformats.org/drawingml/2006/picture">
                            <pic:pic>
                              <pic:nvPicPr>
                                <pic:cNvPr descr="index_files/figure-docx/fig-iek-comparison-1.png" id="60" name="Picture"/>
                                <pic:cNvPicPr>
                                  <a:picLocks noChangeArrowheads="1" noChangeAspect="1"/>
                                </pic:cNvPicPr>
                              </pic:nvPicPr>
                              <pic:blipFill>
                                <a:blip r:embed="rId5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61"/>
              </w:tc>
            </w:tr>
          </w:tbl>
          <w:p/>
        </w:tc>
        <w:tc>
          <w:tcPr/>
          <w:tbl>
            <w:tblPr>
              <w:tblStyle w:val="Table"/>
              <w:tblW w:type="pct" w:w="4900"/>
              <w:tblLayout w:type="fixed"/>
              <w:tblLook w:firstRow="0" w:lastRow="0" w:firstColumn="0" w:lastColumn="0" w:noHBand="0" w:noVBand="0" w:val="0000"/>
            </w:tblPr>
            <w:tblGrid>
              <w:gridCol w:w="7761"/>
            </w:tblGrid>
            <w:tr>
              <w:tc>
                <w:tcPr/>
                <w:bookmarkStart w:id="65" w:name="fig-iek-comparison-2"/>
                <w:p>
                  <w:pPr>
                    <w:pStyle w:val="Compact"/>
                    <w:jc w:val="center"/>
                    <w:jc w:val="left"/>
                  </w:pPr>
                  <w:r>
                    <w:drawing>
                      <wp:inline>
                        <wp:extent cx="2971800" cy="2377440"/>
                        <wp:effectExtent b="0" l="0" r="0" t="0"/>
                        <wp:docPr descr="" title="" id="63" name="Picture"/>
                        <a:graphic>
                          <a:graphicData uri="http://schemas.openxmlformats.org/drawingml/2006/picture">
                            <pic:pic>
                              <pic:nvPicPr>
                                <pic:cNvPr descr="index_files/figure-docx/fig-iek-comparison-2.png" id="64" name="Picture"/>
                                <pic:cNvPicPr>
                                  <a:picLocks noChangeArrowheads="1" noChangeAspect="1"/>
                                </pic:cNvPicPr>
                              </pic:nvPicPr>
                              <pic:blipFill>
                                <a:blip r:embed="rId6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5"/>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6"/>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7"/>
    <w:bookmarkStart w:id="80"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3"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72" w:name="cell-fig-agronomic-responses"/>
    <w:tbl>
      <w:tblPr>
        <w:tblStyle w:val="Table"/>
        <w:tblW w:type="pct" w:w="5000"/>
        <w:tblLayout w:type="fixed"/>
        <w:tblLook w:firstRow="0" w:lastRow="0" w:firstColumn="0" w:lastColumn="0" w:noHBand="0" w:noVBand="0" w:val="0000"/>
      </w:tblPr>
      <w:tblGrid>
        <w:gridCol w:w="7920"/>
      </w:tblGrid>
      <w:tr>
        <w:tc>
          <w:tcPr/>
          <w:bookmarkStart w:id="71" w:name="fig-agronomic-responses"/>
          <w:p>
            <w:pPr>
              <w:pStyle w:val="Compact"/>
              <w:jc w:val="center"/>
            </w:pPr>
            <w:r>
              <w:drawing>
                <wp:inline>
                  <wp:extent cx="4620126" cy="6468176"/>
                  <wp:effectExtent b="0" l="0" r="0" t="0"/>
                  <wp:docPr descr="" title="" id="69" name="Picture"/>
                  <a:graphic>
                    <a:graphicData uri="http://schemas.openxmlformats.org/drawingml/2006/picture">
                      <pic:pic>
                        <pic:nvPicPr>
                          <pic:cNvPr descr="index_files/figure-docx/fig-agronomic-responses-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71"/>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2"/>
    <w:p>
      <w:pPr>
        <w:pStyle w:val="BodyText"/>
      </w:pPr>
      <w:r>
        <w:rPr>
          <w:b/>
          <w:bCs/>
        </w:rPr>
        <w:t xml:space="preserve">Yield Metrics (</w:t>
      </w:r>
      <m:oMath>
        <m:sSub>
          <m:e>
            <m:r>
              <m:t>Y</m:t>
            </m:r>
          </m:e>
          <m:sub>
            <m:r>
              <m:t>n</m:t>
            </m:r>
            <m:r>
              <m:t>o</m:t>
            </m:r>
            <m:r>
              <m:t>r</m:t>
            </m:r>
            <m:r>
              <m:t>m</m:t>
            </m:r>
          </m:sub>
        </m:sSub>
      </m:oMath>
      <w:r>
        <w:rPr>
          <w:b/>
          <w:bCs/>
        </w:rPr>
        <w:t xml:space="preserve"> </w:t>
      </w:r>
      <w:r>
        <w:rPr>
          <w:b/>
          <w:bCs/>
        </w:rPr>
        <w:t xml:space="preserve">and</w:t>
      </w:r>
      <w:r>
        <w:rPr>
          <w:b/>
          <w:bCs/>
        </w:rPr>
        <w:t xml:space="preserve"> </w:t>
      </w:r>
      <m:oMath>
        <m:sSub>
          <m:e>
            <m:r>
              <m:t>Y</m:t>
            </m:r>
          </m:e>
          <m:sub>
            <m:r>
              <m:t>r</m:t>
            </m:r>
            <m:r>
              <m:t>e</m:t>
            </m:r>
            <m:r>
              <m:t>l</m:t>
            </m:r>
          </m:sub>
        </m:sSub>
      </m:oMath>
      <w:r>
        <w:rPr>
          <w:b/>
          <w:bCs/>
        </w:rPr>
        <w:t xml:space="preserve">)</w:t>
      </w:r>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rPr>
          <w:b/>
          <w:bCs/>
        </w:rPr>
        <w:t xml:space="preserve">)</w:t>
      </w:r>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rPr>
          <w:b/>
          <w:bCs/>
        </w:rPr>
        <w:t xml:space="preserve">)</w:t>
      </w:r>
      <w:r>
        <w:t xml:space="preserve">: The P balance showed a strong, linear relationship with fertilization. The Zero and Deficit treatments resulted in a negative balance (mining soil P), while the Elevated and Surplus treatments led to a significant P surplus.</w:t>
      </w:r>
    </w:p>
    <w:bookmarkEnd w:id="73"/>
    <w:bookmarkStart w:id="79"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8" w:name="cell-fig-soil-parameters"/>
    <w:tbl>
      <w:tblPr>
        <w:tblStyle w:val="Table"/>
        <w:tblW w:type="pct" w:w="5000"/>
        <w:tblLayout w:type="fixed"/>
        <w:tblLook w:firstRow="0" w:lastRow="0" w:firstColumn="0" w:lastColumn="0" w:noHBand="0" w:noVBand="0" w:val="0000"/>
      </w:tblPr>
      <w:tblGrid>
        <w:gridCol w:w="7920"/>
      </w:tblGrid>
      <w:tr>
        <w:tc>
          <w:tcPr/>
          <w:bookmarkStart w:id="77" w:name="fig-soil-parameters"/>
          <w:p>
            <w:pPr>
              <w:pStyle w:val="Compact"/>
              <w:jc w:val="center"/>
            </w:pPr>
            <w:r>
              <w:drawing>
                <wp:inline>
                  <wp:extent cx="4620126" cy="6468176"/>
                  <wp:effectExtent b="0" l="0" r="0" t="0"/>
                  <wp:docPr descr="" title="" id="75" name="Picture"/>
                  <a:graphic>
                    <a:graphicData uri="http://schemas.openxmlformats.org/drawingml/2006/picture">
                      <pic:pic>
                        <pic:nvPicPr>
                          <pic:cNvPr descr="index_files/figure-docx/fig-soil-parameters-1.png" id="76" name="Picture"/>
                          <pic:cNvPicPr>
                            <a:picLocks noChangeArrowheads="1" noChangeAspect="1"/>
                          </pic:cNvPicPr>
                        </pic:nvPicPr>
                        <pic:blipFill>
                          <a:blip r:embed="rId7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7"/>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8"/>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w:t>
      </w:r>
      <w:r>
        <w:br/>
      </w:r>
      <w:r>
        <w:rPr>
          <w:b/>
          <w:bCs/>
        </w:rPr>
        <w:t xml:space="preserve">Rate Constant (</w:t>
      </w:r>
      <m:oMath>
        <m:r>
          <m:t>k</m:t>
        </m:r>
      </m:oMath>
      <w:r>
        <w:rPr>
          <w:b/>
          <w:bCs/>
        </w:rPr>
        <w:t xml:space="preserve">)</w:t>
      </w:r>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w:t>
      </w:r>
      <w:r>
        <w:t xml:space="preserve"> </w:t>
      </w:r>
      <w:r>
        <w:rPr>
          <w:b/>
          <w:bCs/>
        </w:rPr>
        <w:t xml:space="preserve">Initial P Flux (</w:t>
      </w:r>
      <m:oMath>
        <m:sSub>
          <m:e>
            <m:r>
              <m:t>J</m:t>
            </m:r>
          </m:e>
          <m:sub>
            <m:r>
              <m:t>0</m:t>
            </m:r>
          </m:sub>
        </m:sSub>
      </m:oMath>
      <w:r>
        <w:rPr>
          <w:b/>
          <w:bCs/>
        </w:rPr>
        <w:t xml:space="preserve">)</w:t>
      </w:r>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9"/>
    <w:bookmarkEnd w:id="80"/>
    <w:bookmarkStart w:id="82" w:name="sec-p-params-soil-props"/>
    <w:p>
      <w:pPr>
        <w:pStyle w:val="Heading2"/>
      </w:pPr>
      <w:r>
        <w:t xml:space="preserve">4.4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1"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760"/>
              <w:gridCol w:w="1430"/>
              <w:gridCol w:w="1100"/>
              <w:gridCol w:w="1100"/>
              <w:gridCol w:w="1210"/>
              <w:gridCol w:w="1320"/>
            </w:tblGrid>
            <w:tr>
              <w:trPr>
                <w:tblHeader w:val="on"/>
              </w:trPr>
              <w:tc>
                <w:tcPr/>
                <w:p>
                  <w:pPr>
                    <w:pStyle w:val="Compact"/>
                    <w:jc w:val="left"/>
                    <w:jc w:val="center"/>
                  </w:pPr>
                  <w:r>
                    <w:t xml:space="preserve">Predictor/Model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81"/>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rPr>
          <w:b/>
          <w:bCs/>
        </w:rPr>
        <w:t xml:space="preserve">)</w:t>
      </w:r>
      <w:r>
        <w:t xml:space="preserve"> </w:t>
      </w:r>
      <w:r>
        <w:t xml:space="preserve">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82"/>
    <w:bookmarkStart w:id="111" w:name="sec-agronomic-modeling"/>
    <w:p>
      <w:pPr>
        <w:pStyle w:val="Heading2"/>
      </w:pPr>
      <w:r>
        <w:t xml:space="preserve">4.5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m:oMath>
        <m:sSub>
          <m:e>
            <m:r>
              <m:t>P</m:t>
            </m:r>
          </m:e>
          <m:sub>
            <m:r>
              <m:t>C</m:t>
            </m:r>
            <m:sSub>
              <m:e>
                <m:r>
                  <m:t>O</m:t>
                </m:r>
              </m:e>
              <m:sub>
                <m:r>
                  <m:t>2</m:t>
                </m:r>
              </m:sub>
            </m:sSub>
          </m:sub>
        </m:sSub>
      </m:oMath>
      <w:r>
        <w:rPr>
          <w:b/>
          <w:bCs/>
        </w:rPr>
        <w:t xml:space="preserve"> </w:t>
      </w:r>
      <w:r>
        <w:rPr>
          <w:b/>
          <w:bCs/>
        </w:rPr>
        <w:t xml:space="preserve">Model:</w:t>
      </w:r>
      <w:r>
        <w:t xml:space="preserve"> </w:t>
      </w:r>
      <w:r>
        <w:t xml:space="preserve">Used the standard water-soluble P test as the sole predictor.</w:t>
      </w:r>
      <w:r>
        <w:t xml:space="preserve"> </w:t>
      </w:r>
      <m:oMath>
        <m:sSub>
          <m:e>
            <m:r>
              <m:t>P</m:t>
            </m:r>
          </m:e>
          <m:sub>
            <m:r>
              <m:t>A</m:t>
            </m:r>
            <m:r>
              <m:t>A</m:t>
            </m:r>
            <m:r>
              <m:t>E</m:t>
            </m:r>
            <m:r>
              <m:t>10</m:t>
            </m:r>
          </m:sub>
        </m:sSub>
      </m:oMath>
      <w:r>
        <w:rPr>
          <w:b/>
          <w:bCs/>
        </w:rPr>
        <w:t xml:space="preserve"> </w:t>
      </w:r>
      <w:r>
        <w:rPr>
          <w:b/>
          <w:bCs/>
        </w:rPr>
        <w:t xml:space="preserve">Model:</w:t>
      </w:r>
      <w:r>
        <w:t xml:space="preserve"> </w:t>
      </w:r>
      <w:r>
        <w:t xml:space="preserve">Used the standard chelate-extractable P test as the sole predictor.</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93" w:name="anomaly-in-the-cadenazzo-yield-data"/>
    <w:p>
      <w:pPr>
        <w:pStyle w:val="Heading3"/>
      </w:pPr>
      <w:r>
        <w:t xml:space="preserve">4.5.1 Anomaly in the Cadenazzo Yield Data</w:t>
      </w:r>
    </w:p>
    <w:p>
      <w:pPr>
        <w:pStyle w:val="FirstParagraph"/>
      </w:pPr>
      <w:r>
        <w:t xml:space="preserve">A preliminary visual analysis of the agronomic data revealed a significant anomaly at the Cadenazzo (CAD) site. As shown in</w:t>
      </w:r>
      <w:r>
        <w:t xml:space="preserve"> </w:t>
      </w:r>
      <w:hyperlink w:anchor="fig-yield-comparison">
        <w:r>
          <w:rPr>
            <w:rStyle w:val="Hyperlink"/>
          </w:rPr>
          <w:t xml:space="preserve">Figure 6</w:t>
        </w:r>
      </w:hyperlink>
      <w:r>
        <w:t xml:space="preserve">, the Cadenazzo site exhibited substantially higher overall yields than all other locations. More critically, the yield response to P fertilization did not follow the expected agronomic trend. The zero-fertilizer treatment (</w:t>
      </w:r>
      <w:r>
        <w:rPr>
          <w:rStyle w:val="VerbatimChar"/>
        </w:rPr>
        <w:t xml:space="preserve">P0</w:t>
      </w:r>
      <w:r>
        <w:t xml:space="preserve">) showed the highest median yield, while the surplus treatment (</w:t>
      </w:r>
      <w:r>
        <w:rPr>
          <w:rStyle w:val="VerbatimChar"/>
        </w:rPr>
        <w:t xml:space="preserve">P166</w:t>
      </w:r>
      <w:r>
        <w:t xml:space="preserve">) was among the lowest.</w:t>
      </w:r>
    </w:p>
    <w:p>
      <w:pPr>
        <w:pStyle w:val="BodyText"/>
      </w:pPr>
      <w:r>
        <w:t xml:space="preserve">A simple label swap between</w:t>
      </w:r>
      <w:r>
        <w:t xml:space="preserve"> </w:t>
      </w:r>
      <w:r>
        <w:rPr>
          <w:rStyle w:val="VerbatimChar"/>
        </w:rPr>
        <w:t xml:space="preserve">P0</w:t>
      </w:r>
      <w:r>
        <w:t xml:space="preserve"> </w:t>
      </w:r>
      <w:r>
        <w:t xml:space="preserve">and</w:t>
      </w:r>
      <w:r>
        <w:t xml:space="preserve"> </w:t>
      </w:r>
      <w:r>
        <w:rPr>
          <w:rStyle w:val="VerbatimChar"/>
        </w:rPr>
        <w:t xml:space="preserve">P166</w:t>
      </w:r>
      <w:r>
        <w:t xml:space="preserve"> </w:t>
      </w:r>
      <w:r>
        <w:t xml:space="preserve">was hypothesized and tested (</w:t>
      </w:r>
      <w:hyperlink w:anchor="fig-yield-cadenazzo-fix">
        <w:r>
          <w:rPr>
            <w:rStyle w:val="Hyperlink"/>
          </w:rPr>
          <w:t xml:space="preserve">Figure 7</w:t>
        </w:r>
      </w:hyperlink>
      <w:r>
        <w:t xml:space="preserve">). While this correction established a more monotonic trend, the resulting pattern remained questionable, with the corrected</w:t>
      </w:r>
      <w:r>
        <w:t xml:space="preserve"> </w:t>
      </w:r>
      <w:r>
        <w:rPr>
          <w:rStyle w:val="VerbatimChar"/>
        </w:rPr>
        <w:t xml:space="preserve">P166</w:t>
      </w:r>
      <w:r>
        <w:t xml:space="preserve"> </w:t>
      </w:r>
      <w:r>
        <w:t xml:space="preserve">yield being inexplicably higher than the</w:t>
      </w:r>
      <w:r>
        <w:t xml:space="preserve"> </w:t>
      </w:r>
      <w:r>
        <w:rPr>
          <w:rStyle w:val="VerbatimChar"/>
        </w:rPr>
        <w:t xml:space="preserve">P100</w:t>
      </w:r>
      <w:r>
        <w:t xml:space="preserve"> </w:t>
      </w:r>
      <w:r>
        <w:t xml:space="preserve">and</w:t>
      </w:r>
      <w:r>
        <w:t xml:space="preserve"> </w:t>
      </w:r>
      <w:r>
        <w:rPr>
          <w:rStyle w:val="VerbatimChar"/>
        </w:rPr>
        <w:t xml:space="preserve">P133</w:t>
      </w:r>
      <w:r>
        <w:t xml:space="preserve"> </w:t>
      </w:r>
      <w:r>
        <w:t xml:space="preserve">treatments, which is not a typical biological response.</w:t>
      </w:r>
    </w:p>
    <w:p>
      <w:pPr>
        <w:pStyle w:val="BodyText"/>
      </w:pPr>
      <w:r>
        <w:t xml:space="preserve">Unfortunately, a deeper investigation into the cause of this anomaly was impossible, as the corresponding soil analysis data (STPs, organic carbon, etc.) for the Cadenazzo site were unavailable due to sample loss. Without this data, it cannot be determined whether the issue stems from a persistent micro-site anomaly, a more complex data recording error, or other unknown factors. Given these unresolved inconsistencies and the site’s unusually high productivity, the Cadenazzo data was retained in the models but is recognized as a significant source of unexplained variance that likely contributed to the poor predictive performance of all models for yield-related metrics like</w:t>
      </w:r>
      <w:r>
        <w:t xml:space="preserve">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w:t>
      </w:r>
    </w:p>
    <w:bookmarkStart w:id="87" w:name="cell-fig-yield-comparison"/>
    <w:tbl>
      <w:tblPr>
        <w:tblStyle w:val="Table"/>
        <w:tblW w:type="pct" w:w="5000"/>
        <w:tblLayout w:type="fixed"/>
        <w:tblLook w:firstRow="0" w:lastRow="0" w:firstColumn="0" w:lastColumn="0" w:noHBand="0" w:noVBand="0" w:val="0000"/>
      </w:tblPr>
      <w:tblGrid>
        <w:gridCol w:w="7920"/>
      </w:tblGrid>
      <w:tr>
        <w:tc>
          <w:tcPr/>
          <w:bookmarkStart w:id="86" w:name="fig-yield-comparison"/>
          <w:p>
            <w:pPr>
              <w:pStyle w:val="Compact"/>
              <w:jc w:val="center"/>
            </w:pPr>
            <w:r>
              <w:drawing>
                <wp:inline>
                  <wp:extent cx="4620126" cy="3696101"/>
                  <wp:effectExtent b="0" l="0" r="0" t="0"/>
                  <wp:docPr descr="" title="" id="84" name="Picture"/>
                  <a:graphic>
                    <a:graphicData uri="http://schemas.openxmlformats.org/drawingml/2006/picture">
                      <pic:pic>
                        <pic:nvPicPr>
                          <pic:cNvPr descr="index_files/figure-docx/fig-yield-comparison-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Annual dry matter yield across P fertilization treatments, faceted by experimental site, highlighting the anomalous pattern at Cadenazzo (CAD).</w:t>
            </w:r>
          </w:p>
          <w:bookmarkEnd w:id="86"/>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87"/>
    <w:bookmarkStart w:id="92" w:name="cell-fig-yield-cadenazzo-fix"/>
    <w:tbl>
      <w:tblPr>
        <w:tblStyle w:val="Table"/>
        <w:tblW w:type="pct" w:w="5000"/>
        <w:tblLayout w:type="fixed"/>
        <w:tblLook w:firstRow="0" w:lastRow="0" w:firstColumn="0" w:lastColumn="0" w:noHBand="0" w:noVBand="0" w:val="0000"/>
      </w:tblPr>
      <w:tblGrid>
        <w:gridCol w:w="7920"/>
      </w:tblGrid>
      <w:tr>
        <w:tc>
          <w:tcPr/>
          <w:bookmarkStart w:id="91" w:name="fig-yield-cadenazzo-fix"/>
          <w:p>
            <w:pPr>
              <w:pStyle w:val="Compact"/>
              <w:jc w:val="center"/>
            </w:pPr>
            <w:r>
              <w:drawing>
                <wp:inline>
                  <wp:extent cx="4620126" cy="3696101"/>
                  <wp:effectExtent b="0" l="0" r="0" t="0"/>
                  <wp:docPr descr="" title="" id="89" name="Picture"/>
                  <a:graphic>
                    <a:graphicData uri="http://schemas.openxmlformats.org/drawingml/2006/picture">
                      <pic:pic>
                        <pic:nvPicPr>
                          <pic:cNvPr descr="index_files/figure-docx/fig-yield-cadenazzo-fix-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Cadenazzo yields with original and swapped (P0 &lt;&gt; P166) treatment labels.</w:t>
            </w:r>
          </w:p>
          <w:bookmarkEnd w:id="91"/>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92"/>
    <w:bookmarkEnd w:id="93"/>
    <w:bookmarkStart w:id="95" w:name="predicting-site-normalized-yield-y_norm"/>
    <w:p>
      <w:pPr>
        <w:pStyle w:val="Heading3"/>
      </w:pPr>
      <w:r>
        <w:t xml:space="preserve">4.5.2 Predicting Site-Normalized Yield (</w:t>
      </w:r>
      <m:oMath>
        <m:sSub>
          <m:e>
            <m:r>
              <m:t>Y</m:t>
            </m:r>
          </m:e>
          <m:sub>
            <m:r>
              <m:t>n</m:t>
            </m:r>
            <m:r>
              <m:t>o</m:t>
            </m:r>
            <m:r>
              <m:t>r</m:t>
            </m:r>
            <m:r>
              <m:t>m</m:t>
            </m:r>
          </m:sub>
        </m:sSub>
      </m:oMath>
      <w:r>
        <w:t xml:space="preserve">)</w:t>
      </w:r>
    </w:p>
    <w:p>
      <w:pPr>
        <w:pStyle w:val="FirstParagraph"/>
      </w:pPr>
      <w:r>
        <w:t xml:space="preserve">The analysis reveals a clear and striking difference between the predictive power of the standard STP methods and the kinetic parameters for site-normalized yield.</w:t>
      </w:r>
    </w:p>
    <w:tbl>
      <w:tblPr>
        <w:tblStyle w:val="Table"/>
        <w:tblW w:type="pct" w:w="5000"/>
        <w:tblLayout w:type="fixed"/>
        <w:tblLook w:firstRow="0" w:lastRow="0" w:firstColumn="0" w:lastColumn="0" w:noHBand="0" w:noVBand="0" w:val="0000"/>
      </w:tblPr>
      <w:tblGrid>
        <w:gridCol w:w="7920"/>
      </w:tblGrid>
      <w:tr>
        <w:tc>
          <w:tcPr/>
          <w:bookmarkStart w:id="94"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56"/>
              <w:gridCol w:w="1161"/>
              <w:gridCol w:w="1267"/>
              <w:gridCol w:w="1689"/>
              <w:gridCol w:w="844"/>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94"/>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standard STP methods were highly effective predictors. Both the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models showed highly significant coefficients and explained a substantial portion of the variance, with marginal</w:t>
      </w:r>
      <w:r>
        <w:t xml:space="preserve"> </w:t>
      </w:r>
      <m:oMath>
        <m:sSup>
          <m:e>
            <m:r>
              <m:t>R</m:t>
            </m:r>
          </m:e>
          <m:sup>
            <m:r>
              <m:t>2</m:t>
            </m:r>
          </m:sup>
        </m:sSup>
      </m:oMath>
      <w:r>
        <w:t xml:space="preserve"> </w:t>
      </w:r>
      <w:r>
        <w:t xml:space="preserve">values of 0.218 and 0.198, respectively. The combined model (STP-interaction) performed best overall, explaining 22% of the variance fixed effects. These results directly contradict</w:t>
      </w:r>
      <w:r>
        <w:t xml:space="preserve"> </w:t>
      </w:r>
      <w:r>
        <w:rPr>
          <w:b/>
          <w:bCs/>
        </w:rPr>
        <w:t xml:space="preserve">Hypothesis 1a</w:t>
      </w:r>
      <w:r>
        <w:t xml:space="preserve">, which posited that these static measurements would be weak predictors of yield. For predicting yield relative to a site’s own maximum potential, the standard soil tests perform very well.</w:t>
      </w:r>
    </w:p>
    <w:p>
      <w:pPr>
        <w:pStyle w:val="BodyText"/>
      </w:pPr>
      <w:r>
        <w:t xml:space="preserve">In stark contrast, the kinetic model had virtually no predictive power for</w:t>
      </w:r>
      <w:r>
        <w:t xml:space="preserve"> </w:t>
      </w:r>
      <m:oMath>
        <m:sSub>
          <m:e>
            <m:r>
              <m:t>Y</m:t>
            </m:r>
          </m:e>
          <m:sub>
            <m:r>
              <m:t>n</m:t>
            </m:r>
            <m:r>
              <m:t>o</m:t>
            </m:r>
            <m:r>
              <m:t>r</m:t>
            </m:r>
            <m:r>
              <m:t>m</m:t>
            </m:r>
          </m:sub>
        </m:sSub>
      </m:oMath>
      <w:r>
        <w:t xml:space="preserve">. The model’s marginal</w:t>
      </w:r>
      <w:r>
        <w:t xml:space="preserve"> </w:t>
      </w:r>
      <m:oMath>
        <m:sSup>
          <m:e>
            <m:r>
              <m:t>R</m:t>
            </m:r>
          </m:e>
          <m:sup>
            <m:r>
              <m:t>2</m:t>
            </m:r>
          </m:sup>
        </m:sSup>
      </m:oMath>
      <w:r>
        <w:t xml:space="preserve"> </w:t>
      </w:r>
      <w:r>
        <w:t xml:space="preserve">was only 0.014, and none of the kinetic parameters—neither the rate constant (</w:t>
      </w:r>
      <w:r>
        <w:rPr>
          <w:i/>
          <w:iCs/>
        </w:rPr>
        <w:t xml:space="preserve">k</w:t>
      </w:r>
      <w:r>
        <w:t xml:space="preserve">), the desorbable pool (</w:t>
      </w:r>
      <m:oMath>
        <m:sSub>
          <m:e>
            <m:r>
              <m:t>P</m:t>
            </m:r>
          </m:e>
          <m:sub>
            <m:r>
              <m:t>d</m:t>
            </m:r>
            <m:r>
              <m:t>e</m:t>
            </m:r>
            <m:r>
              <m:t>s</m:t>
            </m:r>
            <m:r>
              <m:t>o</m:t>
            </m:r>
            <m:r>
              <m:t>r</m:t>
            </m:r>
            <m:r>
              <m:t>b</m:t>
            </m:r>
          </m:sub>
        </m:sSub>
      </m:oMath>
      <w:r>
        <w:t xml:space="preserve">), nor their interaction were statistically significant. This finding strongly refutes</w:t>
      </w:r>
      <w:r>
        <w:t xml:space="preserve"> </w:t>
      </w:r>
      <w:r>
        <w:rPr>
          <w:b/>
          <w:bCs/>
        </w:rPr>
        <w:t xml:space="preserve">Hypothesis 3</w:t>
      </w:r>
      <w:r>
        <w:t xml:space="preserve"> </w:t>
      </w:r>
      <w:r>
        <w:t xml:space="preserve">for this specific yield metric. The results suggest that when agronomic potential is evaluated within a single site (the function of site-normalization), the rate of P supply is not the limiting factor; rather, the overall capacity or size of the available P pool, as measured effectively by standard soil tests, is the dominant driver of the yield response.</w:t>
      </w:r>
    </w:p>
    <w:bookmarkEnd w:id="95"/>
    <w:bookmarkStart w:id="100" w:name="Xe0b402b7183f6a3d6df8442ac2834a5544132c5"/>
    <w:p>
      <w:pPr>
        <w:pStyle w:val="Heading3"/>
      </w:pPr>
      <w:r>
        <w:t xml:space="preserve">4.5.3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96"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96"/>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7" w:name="performance-of-standard-stp-methods"/>
    <w:p>
      <w:pPr>
        <w:pStyle w:val="Heading4"/>
      </w:pPr>
      <w:r>
        <w:t xml:space="preserve">4.5.3.1 Performance of Standard STP Methods</w:t>
      </w:r>
    </w:p>
    <w:p>
      <w:pPr>
        <w:pStyle w:val="FirstParagraph"/>
      </w:pPr>
      <w:r>
        <w:t xml:space="preserve">The models based on standard soil tests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individually showed a significant, positive relationship with relative yield. When considered alone,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significant predictors, explaining 7.4% and 6.3% of the variance in yield, respectively (indicated by their marginal</w:t>
      </w:r>
      <w:r>
        <w:t xml:space="preserve"> </w:t>
      </w:r>
      <m:oMath>
        <m:sSup>
          <m:e>
            <m:r>
              <m:t>R</m:t>
            </m:r>
          </m:e>
          <m:sup>
            <m:r>
              <m:t>2</m:t>
            </m:r>
          </m:sup>
        </m:sSup>
      </m:oMath>
      <w:r>
        <w:t xml:space="preserve">,</w:t>
      </w:r>
      <w:r>
        <w:t xml:space="preserve"> </w:t>
      </w:r>
      <m:oMath>
        <m:sSubSup>
          <m:e>
            <m:r>
              <m:t>R</m:t>
            </m:r>
          </m:e>
          <m:sub>
            <m:r>
              <m:t>m</m:t>
            </m:r>
          </m:sub>
          <m:sup>
            <m:r>
              <m:t>2</m:t>
            </m:r>
          </m:sup>
        </m:sSubSup>
      </m:oMath>
      <w:r>
        <w:t xml:space="preserve">). The model including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performed slightly better, explaining 7.8% of the variance.</w:t>
      </w:r>
    </w:p>
    <w:p>
      <w:pPr>
        <w:pStyle w:val="BodyText"/>
      </w:pPr>
      <w:r>
        <w:t xml:space="preserve">These findings partially align with</w:t>
      </w:r>
      <w:r>
        <w:t xml:space="preserve"> </w:t>
      </w:r>
      <w:r>
        <w:rPr>
          <w:b/>
          <w:bCs/>
        </w:rPr>
        <w:t xml:space="preserve">Hypothesis 1a</w:t>
      </w:r>
      <w:r>
        <w:t xml:space="preserve">, which posited that standard STP methods would be weak predictors of relative crop yield. The low marginal</w:t>
      </w:r>
      <w:r>
        <w:t xml:space="preserve"> </w:t>
      </w:r>
      <m:oMath>
        <m:sSup>
          <m:e>
            <m:r>
              <m:t>R</m:t>
            </m:r>
          </m:e>
          <m:sup>
            <m:r>
              <m:t>2</m:t>
            </m:r>
          </m:sup>
        </m:sSup>
      </m:oMath>
      <w:r>
        <w:t xml:space="preserve"> </w:t>
      </w:r>
      <w:r>
        <w:t xml:space="preserve">values confirm that these static measurements account for less than 8% of the yield variation, which is indeed a weak predictive performance.</w:t>
      </w:r>
    </w:p>
    <w:bookmarkEnd w:id="97"/>
    <w:bookmarkStart w:id="98" w:name="performance-of-the-kinetic-model"/>
    <w:p>
      <w:pPr>
        <w:pStyle w:val="Heading4"/>
      </w:pPr>
      <w:r>
        <w:t xml:space="preserve">4.5.3.2 Performance of the Kinetic Model</w:t>
      </w:r>
    </w:p>
    <w:p>
      <w:pPr>
        <w:pStyle w:val="FirstParagraph"/>
      </w:pPr>
      <w:r>
        <w:t xml:space="preserve">Contrary to expectations, the model based on kinetic parameters (</w:t>
      </w:r>
      <m:oMath>
        <m:r>
          <m:t>k</m:t>
        </m:r>
        <m:r>
          <m:rPr>
            <m:sty m:val="p"/>
          </m:rPr>
          <m:t>*</m:t>
        </m:r>
        <m:sSub>
          <m:e>
            <m:r>
              <m:t>P</m:t>
            </m:r>
          </m:e>
          <m:sub>
            <m:r>
              <m:t>d</m:t>
            </m:r>
            <m:r>
              <m:t>e</m:t>
            </m:r>
            <m:r>
              <m:t>s</m:t>
            </m:r>
            <m:r>
              <m:t>o</m:t>
            </m:r>
            <m:r>
              <m:t>r</m:t>
            </m:r>
            <m:r>
              <m:t>b</m:t>
            </m:r>
          </m:sub>
        </m:sSub>
      </m:oMath>
      <w:r>
        <w:t xml:space="preserve">) demonstrated very low predictive power, with a marginal</w:t>
      </w:r>
      <w:r>
        <w:t xml:space="preserve"> </w:t>
      </w:r>
      <m:oMath>
        <m:sSup>
          <m:e>
            <m:r>
              <m:t>R</m:t>
            </m:r>
          </m:e>
          <m:sup>
            <m:r>
              <m:t>2</m:t>
            </m:r>
          </m:sup>
        </m:sSup>
      </m:oMath>
      <w:r>
        <w:t xml:space="preserve"> </w:t>
      </w:r>
      <w:r>
        <w:t xml:space="preserve">of just 2.2%. Although the desorption rate (</w:t>
      </w:r>
      <m:oMath>
        <m:r>
          <m:t>k</m:t>
        </m:r>
      </m:oMath>
      <w:r>
        <w:t xml:space="preserve">) and the initial P flux (</w:t>
      </w:r>
      <m:oMath>
        <m:sSub>
          <m:e>
            <m:r>
              <m:t>J</m:t>
            </m:r>
          </m:e>
          <m:sub>
            <m:r>
              <m:t>0</m:t>
            </m:r>
          </m:sub>
        </m:sSub>
      </m:oMath>
      <w:r>
        <w:t xml:space="preserve">) showed a significant positive relationship with yield, the overall model performed worse than the standard STP methods.</w:t>
      </w:r>
    </w:p>
    <w:p>
      <w:pPr>
        <w:pStyle w:val="BodyText"/>
      </w:pPr>
      <w:r>
        <w:t xml:space="preserve">This result directly contradicts</w:t>
      </w:r>
      <w:r>
        <w:t xml:space="preserve"> </w:t>
      </w:r>
      <w:r>
        <w:rPr>
          <w:b/>
          <w:bCs/>
        </w:rPr>
        <w:t xml:space="preserve">Hypothesis 3</w:t>
      </w:r>
      <w:r>
        <w:t xml:space="preserve">, which stated that a model incorporating kinetic parameters would explain a significantly greater proportion of the variance in relative yield compared to static STP measurements. For predicting national-normalized yield, the opposite appears to be true; the standard methods, while weak, still outperform the kinetic approach.</w:t>
      </w:r>
    </w:p>
    <w:bookmarkEnd w:id="98"/>
    <w:bookmarkStart w:id="99" w:name="the-role-of-unmeasured-factors"/>
    <w:p>
      <w:pPr>
        <w:pStyle w:val="Heading4"/>
      </w:pPr>
      <w:r>
        <w:t xml:space="preserve">4.5.3.3 The Role of Unmeasured Factors</w:t>
      </w:r>
    </w:p>
    <w:p>
      <w:pPr>
        <w:pStyle w:val="FirstParagraph"/>
      </w:pPr>
      <w:r>
        <w:t xml:space="preserve">A critical observation across all models is the large discrepancy between the marginal</w:t>
      </w:r>
      <w:r>
        <w:t xml:space="preserve"> </w:t>
      </w:r>
      <m:oMath>
        <m:sSup>
          <m:e>
            <m:r>
              <m:t>R</m:t>
            </m:r>
          </m:e>
          <m:sup>
            <m:r>
              <m:t>2</m:t>
            </m:r>
          </m:sup>
        </m:sSup>
      </m:oMath>
      <w:r>
        <w:t xml:space="preserve"> </w:t>
      </w:r>
      <w:r>
        <w:t xml:space="preserve">(</w:t>
      </w:r>
      <m:oMath>
        <m:sSubSup>
          <m:e>
            <m:r>
              <m:t>R</m:t>
            </m:r>
          </m:e>
          <m:sub>
            <m:r>
              <m:t>m</m:t>
            </m:r>
          </m:sub>
          <m:sup>
            <m:r>
              <m:t>2</m:t>
            </m:r>
          </m:sup>
        </m:sSubSup>
      </m:oMath>
      <w:r>
        <w:t xml:space="preserve">) and the conditional</w:t>
      </w:r>
      <w:r>
        <w:t xml:space="preserve"> </w:t>
      </w:r>
      <m:oMath>
        <m:sSup>
          <m:e>
            <m:r>
              <m:t>R</m:t>
            </m:r>
          </m:e>
          <m:sup>
            <m:r>
              <m:t>2</m:t>
            </m:r>
          </m:sup>
        </m:sSup>
      </m:oMath>
      <w:r>
        <w:t xml:space="preserve"> </w:t>
      </w:r>
      <w:r>
        <w:t xml:space="preserve">(</w:t>
      </w:r>
      <m:oMath>
        <m:sSubSup>
          <m:e>
            <m:r>
              <m:t>R</m:t>
            </m:r>
          </m:e>
          <m:sub>
            <m:r>
              <m:t>c</m:t>
            </m:r>
          </m:sub>
          <m:sup>
            <m:r>
              <m:t>2</m:t>
            </m:r>
          </m:sup>
        </m:sSubSup>
      </m:oMath>
      <w:r>
        <w:t xml:space="preserve">). The conditional</w:t>
      </w:r>
      <w:r>
        <w:t xml:space="preserve"> </w:t>
      </w:r>
      <m:oMath>
        <m:sSup>
          <m:e>
            <m:r>
              <m:t>R</m:t>
            </m:r>
          </m:e>
          <m:sup>
            <m:r>
              <m:t>2</m:t>
            </m:r>
          </m:sup>
        </m:sSup>
      </m:oMath>
      <w:r>
        <w:t xml:space="preserve"> </w:t>
      </w:r>
      <w:r>
        <w:t xml:space="preserve">represents the total variance explained by both the fixed effects (the predictors like</w:t>
      </w:r>
      <w:r>
        <w:t xml:space="preserve"> </w:t>
      </w:r>
      <m:oMath>
        <m:sSub>
          <m:e>
            <m:r>
              <m:t>P</m:t>
            </m:r>
          </m:e>
          <m:sub>
            <m:r>
              <m:t>C</m:t>
            </m:r>
            <m:sSub>
              <m:e>
                <m:r>
                  <m:t>O</m:t>
                </m:r>
              </m:e>
              <m:sub>
                <m:r>
                  <m:t>2</m:t>
                </m:r>
              </m:sub>
            </m:sSub>
          </m:sub>
        </m:sSub>
      </m:oMath>
      <w:r>
        <w:t xml:space="preserve"> </w:t>
      </w:r>
      <w:r>
        <w:t xml:space="preserve">or</w:t>
      </w:r>
      <w:r>
        <w:t xml:space="preserve"> </w:t>
      </w:r>
      <w:r>
        <w:rPr>
          <w:i/>
          <w:iCs/>
        </w:rPr>
        <w:t xml:space="preserve">k</w:t>
      </w:r>
      <w:r>
        <w:t xml:space="preserve">) and the random effects (such as</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w:t>
      </w:r>
    </w:p>
    <w:p>
      <w:pPr>
        <w:pStyle w:val="BodyText"/>
      </w:pPr>
      <w:r>
        <w:t xml:space="preserve">For instance, in the best-performing STP model (STP-interaction), the marginal</w:t>
      </w:r>
      <w:r>
        <w:t xml:space="preserve"> </w:t>
      </w:r>
      <m:oMath>
        <m:sSup>
          <m:e>
            <m:r>
              <m:t>R</m:t>
            </m:r>
          </m:e>
          <m:sup>
            <m:r>
              <m:t>2</m:t>
            </m:r>
          </m:sup>
        </m:sSup>
      </m:oMath>
      <w:r>
        <w:t xml:space="preserve"> </w:t>
      </w:r>
      <w:r>
        <w:t xml:space="preserve">is only 0.078, but the conditional</w:t>
      </w:r>
      <w:r>
        <w:t xml:space="preserve"> </w:t>
      </w:r>
      <m:oMath>
        <m:sSup>
          <m:e>
            <m:r>
              <m:t>R</m:t>
            </m:r>
          </m:e>
          <m:sup>
            <m:r>
              <m:t>2</m:t>
            </m:r>
          </m:sup>
        </m:sSup>
      </m:oMath>
      <w:r>
        <w:t xml:space="preserve"> </w:t>
      </w:r>
      <w:r>
        <w:t xml:space="preserve">is 0.596. This means that while the soil P measurements themselves explain about 8% of the yield variance, the combination of soil tests</w:t>
      </w:r>
      <w:r>
        <w:t xml:space="preserve"> </w:t>
      </w:r>
      <w:r>
        <w:rPr>
          <w:i/>
          <w:iCs/>
        </w:rPr>
        <w:t xml:space="preserve">plus</w:t>
      </w:r>
      <w:r>
        <w:t xml:space="preserve"> </w:t>
      </w:r>
      <w:r>
        <w:t xml:space="preserve">the site- and year-specific conditions explains nearly 60% of it. This pattern holds for all models and strongly suggests that pedoclimatic factors, captured by the</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 </w:t>
      </w:r>
      <w:r>
        <w:t xml:space="preserve">random effects, are the dominant drivers of crop yield in this dataset, overshadowing the influence of the measured soil P parameters.</w:t>
      </w:r>
    </w:p>
    <w:bookmarkEnd w:id="99"/>
    <w:bookmarkEnd w:id="100"/>
    <w:bookmarkStart w:id="105" w:name="predicting-p-uptake-p_up"/>
    <w:p>
      <w:pPr>
        <w:pStyle w:val="Heading3"/>
      </w:pPr>
      <w:r>
        <w:t xml:space="preserve">4.5.4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101"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101"/>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102" w:name="performance-of-standard-stp-methods-1"/>
    <w:p>
      <w:pPr>
        <w:pStyle w:val="Heading4"/>
      </w:pPr>
      <w:r>
        <w:t xml:space="preserve">4.5.4.1 Performance of Standard STP Methods</w:t>
      </w:r>
    </w:p>
    <w:p>
      <w:pPr>
        <w:pStyle w:val="FirstParagraph"/>
      </w:pPr>
      <w:r>
        <w:t xml:space="preserve">The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when modeled individually, were significant positive predictors of P-uptake. The</w:t>
      </w:r>
      <w:r>
        <w:t xml:space="preserve"> </w:t>
      </w:r>
      <m:oMath>
        <m:sSub>
          <m:e>
            <m:r>
              <m:t>P</m:t>
            </m:r>
          </m:e>
          <m:sub>
            <m:r>
              <m:t>A</m:t>
            </m:r>
            <m:r>
              <m:t>A</m:t>
            </m:r>
            <m:r>
              <m:t>E</m:t>
            </m:r>
            <m:r>
              <m:t>10</m:t>
            </m:r>
          </m:sub>
        </m:sSub>
      </m:oMath>
      <w:r>
        <w:t xml:space="preserve"> </w:t>
      </w:r>
      <w:r>
        <w:t xml:space="preserve">model performed slightly better, explaining 7.3% of the variance (</w:t>
      </w:r>
      <m:oMath>
        <m:sSubSup>
          <m:e>
            <m:r>
              <m:t>R</m:t>
            </m:r>
          </m:e>
          <m:sub>
            <m:r>
              <m:t>m</m:t>
            </m:r>
          </m:sub>
          <m:sup>
            <m:r>
              <m:t>2</m:t>
            </m:r>
          </m:sup>
        </m:sSubSup>
      </m:oMath>
      <w:r>
        <w:t xml:space="preserve"> </w:t>
      </w:r>
      <w:r>
        <w:t xml:space="preserve">= 0.073) compared to the</w:t>
      </w:r>
      <w:r>
        <w:t xml:space="preserve"> </w:t>
      </w:r>
      <m:oMath>
        <m:sSub>
          <m:e>
            <m:r>
              <m:t>P</m:t>
            </m:r>
          </m:e>
          <m:sub>
            <m:r>
              <m:t>C</m:t>
            </m:r>
            <m:sSub>
              <m:e>
                <m:r>
                  <m:t>O</m:t>
                </m:r>
              </m:e>
              <m:sub>
                <m:r>
                  <m:t>2</m:t>
                </m:r>
              </m:sub>
            </m:sSub>
          </m:sub>
        </m:sSub>
      </m:oMath>
      <w:r>
        <w:t xml:space="preserve"> </w:t>
      </w:r>
      <w:r>
        <w:t xml:space="preserve">model’s 6.4% (</w:t>
      </w:r>
      <m:oMath>
        <m:sSubSup>
          <m:e>
            <m:r>
              <m:t>R</m:t>
            </m:r>
          </m:e>
          <m:sub>
            <m:r>
              <m:t>m</m:t>
            </m:r>
          </m:sub>
          <m:sup>
            <m:r>
              <m:t>2</m:t>
            </m:r>
          </m:sup>
        </m:sSubSup>
      </m:oMath>
      <w:r>
        <w:t xml:space="preserve"> </w:t>
      </w:r>
      <w:r>
        <w:t xml:space="preserve">= 0.064). Interestingly, the interaction model did not improve but slightly decreased the explained variance (</w:t>
      </w:r>
      <m:oMath>
        <m:sSubSup>
          <m:e>
            <m:r>
              <m:t>R</m:t>
            </m:r>
          </m:e>
          <m:sub>
            <m:r>
              <m:t>m</m:t>
            </m:r>
          </m:sub>
          <m:sup>
            <m:r>
              <m:t>2</m:t>
            </m:r>
          </m:sup>
        </m:sSubSup>
      </m:oMath>
      <w:r>
        <w:t xml:space="preserve"> </w:t>
      </w:r>
      <w:r>
        <w:t xml:space="preserve">= 0.065), and the individual predictors lost their significance.</w:t>
      </w:r>
    </w:p>
    <w:p>
      <w:pPr>
        <w:pStyle w:val="BodyText"/>
      </w:pPr>
      <w:r>
        <w:t xml:space="preserve">These results are consistent with</w:t>
      </w:r>
      <w:r>
        <w:t xml:space="preserve"> </w:t>
      </w:r>
      <w:r>
        <w:rPr>
          <w:b/>
          <w:bCs/>
        </w:rPr>
        <w:t xml:space="preserve">Hypothesis 1a</w:t>
      </w:r>
      <w:r>
        <w:t xml:space="preserve">, which predicted that standard STP methods would be weak predictors of agronomic outcomes like P-uptake. The low marginal</w:t>
      </w:r>
      <w:r>
        <w:t xml:space="preserve"> </w:t>
      </w:r>
      <m:oMath>
        <m:sSup>
          <m:e>
            <m:r>
              <m:t>R</m:t>
            </m:r>
          </m:e>
          <m:sup>
            <m:r>
              <m:t>2</m:t>
            </m:r>
          </m:sup>
        </m:sSup>
      </m:oMath>
      <w:r>
        <w:t xml:space="preserve"> </w:t>
      </w:r>
      <w:r>
        <w:t xml:space="preserve">values confirm that these static tests, while statistically significant on their own, account for a very small fraction of the variability in P-uptake by crops.</w:t>
      </w:r>
    </w:p>
    <w:bookmarkEnd w:id="102"/>
    <w:bookmarkStart w:id="103" w:name="performance-of-the-kinetic-model-1"/>
    <w:p>
      <w:pPr>
        <w:pStyle w:val="Heading4"/>
      </w:pPr>
      <w:r>
        <w:t xml:space="preserve">4.5.4.2 Performance of the Kinetic Model</w:t>
      </w:r>
    </w:p>
    <w:p>
      <w:pPr>
        <w:pStyle w:val="FirstParagraph"/>
      </w:pPr>
      <w:r>
        <w:t xml:space="preserve">The kinetic model performed on par with the standard individual tests, explaining 6.4% of the variance in P-uptake (</w:t>
      </w:r>
      <m:oMath>
        <m:sSubSup>
          <m:e>
            <m:r>
              <m:t>R</m:t>
            </m:r>
          </m:e>
          <m:sub>
            <m:r>
              <m:t>m</m:t>
            </m:r>
          </m:sub>
          <m:sup>
            <m:r>
              <m:t>2</m:t>
            </m:r>
          </m:sup>
        </m:sSubSup>
      </m:oMath>
      <w:r>
        <w:t xml:space="preserve"> </w:t>
      </w:r>
      <w:r>
        <w:t xml:space="preserve">= 0.064). However, none of the kinetic parameters (</w:t>
      </w:r>
      <w:r>
        <w:rPr>
          <w:i/>
          <w:iCs/>
        </w:rPr>
        <w:t xml:space="preserve">k</w:t>
      </w:r>
      <w:r>
        <w:t xml:space="preserve">,</w:t>
      </w:r>
      <w:r>
        <w:t xml:space="preserve"> </w:t>
      </w:r>
      <m:oMath>
        <m:sSub>
          <m:e>
            <m:r>
              <m:t>P</m:t>
            </m:r>
          </m:e>
          <m:sub>
            <m:r>
              <m:t>d</m:t>
            </m:r>
            <m:r>
              <m:t>e</m:t>
            </m:r>
            <m:r>
              <m:t>s</m:t>
            </m:r>
            <m:r>
              <m:t>o</m:t>
            </m:r>
            <m:r>
              <m:t>r</m:t>
            </m:r>
            <m:r>
              <m:t>b</m:t>
            </m:r>
          </m:sub>
        </m:sSub>
      </m:oMath>
      <w:r>
        <w:t xml:space="preserve">, or</w:t>
      </w:r>
      <w:r>
        <w:t xml:space="preserve"> </w:t>
      </w:r>
      <m:oMath>
        <m:sSub>
          <m:e>
            <m:r>
              <m:t>J</m:t>
            </m:r>
          </m:e>
          <m:sub>
            <m:r>
              <m:t>0</m:t>
            </m:r>
          </m:sub>
        </m:sSub>
      </m:oMath>
      <w:r>
        <w:t xml:space="preserve">) emerged as individually significant predictors.</w:t>
      </w:r>
    </w:p>
    <w:p>
      <w:pPr>
        <w:pStyle w:val="BodyText"/>
      </w:pPr>
      <w:r>
        <w:t xml:space="preserve">This finding challenges</w:t>
      </w:r>
      <w:r>
        <w:t xml:space="preserve"> </w:t>
      </w:r>
      <w:r>
        <w:rPr>
          <w:b/>
          <w:bCs/>
        </w:rPr>
        <w:t xml:space="preserve">Hypothesis 3</w:t>
      </w:r>
      <w:r>
        <w:t xml:space="preserve">, which anticipated that the kinetic parameters would offer significantly improved predictive power. For P-uptake, the kinetic model shows no advantage over the simpler, traditional STP methods. The dynamic measures of P supply do not appear to capture the mechanisms driving P-uptake any better than the static measures in this context.</w:t>
      </w:r>
    </w:p>
    <w:bookmarkEnd w:id="103"/>
    <w:bookmarkStart w:id="104" w:name="dominance-of-site-and-year-effects"/>
    <w:p>
      <w:pPr>
        <w:pStyle w:val="Heading4"/>
      </w:pPr>
      <w:r>
        <w:t xml:space="preserve">4.5.4.3 Dominance of Site and Year Effects</w:t>
      </w:r>
    </w:p>
    <w:p>
      <w:pPr>
        <w:pStyle w:val="FirstParagraph"/>
      </w:pPr>
      <w:r>
        <w:t xml:space="preserve">As with the yield predictions, there is a vast difference between the marginal</w:t>
      </w:r>
      <w:r>
        <w:t xml:space="preserve"> </w:t>
      </w:r>
      <m:oMath>
        <m:sSup>
          <m:e>
            <m:r>
              <m:t>R</m:t>
            </m:r>
          </m:e>
          <m:sup>
            <m:r>
              <m:t>2</m:t>
            </m:r>
          </m:sup>
        </m:sSup>
      </m:oMath>
      <w:r>
        <w:t xml:space="preserve"> </w:t>
      </w:r>
      <w:r>
        <w:t xml:space="preserve">and conditional</w:t>
      </w:r>
      <w:r>
        <w:t xml:space="preserve"> </w:t>
      </w:r>
      <m:oMath>
        <m:sSup>
          <m:e>
            <m:r>
              <m:t>R</m:t>
            </m:r>
          </m:e>
          <m:sup>
            <m:r>
              <m:t>2</m:t>
            </m:r>
          </m:sup>
        </m:sSup>
      </m:oMath>
      <w:r>
        <w:t xml:space="preserve"> </w:t>
      </w:r>
      <w:r>
        <w:t xml:space="preserve">values across all P-uptake models. For example, the kinetic model’s marginal</w:t>
      </w:r>
      <w:r>
        <w:t xml:space="preserve"> </w:t>
      </w:r>
      <m:oMath>
        <m:sSup>
          <m:e>
            <m:r>
              <m:t>R</m:t>
            </m:r>
          </m:e>
          <m:sup>
            <m:r>
              <m:t>2</m:t>
            </m:r>
          </m:sup>
        </m:sSup>
      </m:oMath>
      <w:r>
        <w:t xml:space="preserve"> </w:t>
      </w:r>
      <w:r>
        <w:t xml:space="preserve">is only 0.064, but its conditional</w:t>
      </w:r>
      <w:r>
        <w:t xml:space="preserve"> </w:t>
      </w:r>
      <m:oMath>
        <m:sSup>
          <m:e>
            <m:r>
              <m:t>R</m:t>
            </m:r>
          </m:e>
          <m:sup>
            <m:r>
              <m:t>2</m:t>
            </m:r>
          </m:sup>
        </m:sSup>
      </m:oMath>
      <w:r>
        <w:t xml:space="preserve"> </w:t>
      </w:r>
      <w:r>
        <w:t xml:space="preserve">is 0.648. This indicates that the fixed effects (the soil P measurements) explain about 6% of the variance, while the random effects (</w:t>
      </w:r>
      <w:r>
        <w:rPr>
          <w:rStyle w:val="VerbatimChar"/>
        </w:rPr>
        <w:t xml:space="preserve">Site</w:t>
      </w:r>
      <w:r>
        <w:t xml:space="preserve"> </w:t>
      </w:r>
      <w:r>
        <w:t xml:space="preserve">and</w:t>
      </w:r>
      <w:r>
        <w:t xml:space="preserve"> </w:t>
      </w:r>
      <w:r>
        <w:rPr>
          <w:rStyle w:val="VerbatimChar"/>
        </w:rPr>
        <w:t xml:space="preserve">year</w:t>
      </w:r>
      <w:r>
        <w:t xml:space="preserve">) account for the vast majority of the explained variance (around 58%). This again underscores that site-specific pedoclimatic conditions and year-to-year environmental variations are the primary factors controlling P-uptake, with the specific soil P status playing a minor, secondary role</w:t>
      </w:r>
    </w:p>
    <w:bookmarkEnd w:id="104"/>
    <w:bookmarkEnd w:id="105"/>
    <w:bookmarkStart w:id="110" w:name="predicting-p-balance-p_bal"/>
    <w:p>
      <w:pPr>
        <w:pStyle w:val="Heading3"/>
      </w:pPr>
      <w:r>
        <w:t xml:space="preserve">4.5.5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106"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106"/>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107" w:name="performance-of-the-kinetic-model-2"/>
    <w:p>
      <w:pPr>
        <w:pStyle w:val="Heading4"/>
      </w:pPr>
      <w:r>
        <w:t xml:space="preserve">4.5.5.1 Performance of the Kinetic Model</w:t>
      </w:r>
    </w:p>
    <w:p>
      <w:pPr>
        <w:pStyle w:val="FirstParagraph"/>
      </w:pPr>
      <w:r>
        <w:t xml:space="preserve">The kinetic model emerged as an exceptionally strong predictor of the P-Balance, explaining 57.2% of the variance (</w:t>
      </w:r>
      <m:oMath>
        <m:sSubSup>
          <m:e>
            <m:r>
              <m:t>R</m:t>
            </m:r>
          </m:e>
          <m:sub>
            <m:r>
              <m:t>m</m:t>
            </m:r>
          </m:sub>
          <m:sup>
            <m:r>
              <m:t>2</m:t>
            </m:r>
          </m:sup>
        </m:sSubSup>
      </m:oMath>
      <w:r>
        <w:t xml:space="preserve"> </w:t>
      </w:r>
      <w:r>
        <w:t xml:space="preserve">= 0.572). The desorbable P pool (</w:t>
      </w:r>
      <m:oMath>
        <m:sSub>
          <m:e>
            <m:r>
              <m:t>P</m:t>
            </m:r>
          </m:e>
          <m:sub>
            <m:r>
              <m:t>d</m:t>
            </m:r>
            <m:r>
              <m:t>e</m:t>
            </m:r>
            <m:r>
              <m:t>s</m:t>
            </m:r>
            <m:r>
              <m:t>o</m:t>
            </m:r>
            <m:r>
              <m:t>r</m:t>
            </m:r>
            <m:r>
              <m:t>b</m:t>
            </m:r>
          </m:sub>
        </m:sSub>
      </m:oMath>
      <w:r>
        <w:t xml:space="preserve">) was a highly significant predictor (p &lt; 0.001). This result provides powerful support for the underlying premise of this thesis. The P-Balance represents the net result of P inputs and outputs over time, and the fact that</w:t>
      </w:r>
      <w:r>
        <w:t xml:space="preserve"> </w:t>
      </w:r>
      <m:oMath>
        <m:sSub>
          <m:e>
            <m:r>
              <m:t>P</m:t>
            </m:r>
          </m:e>
          <m:sub>
            <m:r>
              <m:t>d</m:t>
            </m:r>
            <m:r>
              <m:t>e</m:t>
            </m:r>
            <m:r>
              <m:t>s</m:t>
            </m:r>
            <m:r>
              <m:t>o</m:t>
            </m:r>
            <m:r>
              <m:t>r</m:t>
            </m:r>
            <m:r>
              <m:t>b</m:t>
            </m:r>
          </m:sub>
        </m:sSub>
      </m:oMath>
      <w:r>
        <w:t xml:space="preserve">—a measure of the readily available P pool—so accurately reflects this balance is a significant finding.</w:t>
      </w:r>
    </w:p>
    <w:p>
      <w:pPr>
        <w:pStyle w:val="BodyText"/>
      </w:pPr>
      <w:r>
        <w:t xml:space="preserve">This strongly supports</w:t>
      </w:r>
      <w:r>
        <w:t xml:space="preserve"> </w:t>
      </w:r>
      <w:r>
        <w:rPr>
          <w:b/>
          <w:bCs/>
        </w:rPr>
        <w:t xml:space="preserve">Hypothesis 3</w:t>
      </w:r>
      <w:r>
        <w:t xml:space="preserve">, which asserted that kinetic parameters would be more effective predictors than static tests. In the case of P-Balance, the kinetic model is not just an improvement; it is the only effective model.</w:t>
      </w:r>
    </w:p>
    <w:bookmarkEnd w:id="107"/>
    <w:bookmarkStart w:id="108" w:name="performance-of-standard-stp-methods-2"/>
    <w:p>
      <w:pPr>
        <w:pStyle w:val="Heading4"/>
      </w:pPr>
      <w:r>
        <w:t xml:space="preserve">4.5.5.2 Performance of Standard STP Methods</w:t>
      </w:r>
    </w:p>
    <w:p>
      <w:pPr>
        <w:pStyle w:val="FirstParagraph"/>
      </w:pPr>
      <w:r>
        <w:t xml:space="preserve">In stark contrast, all models based on the standard STP methods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 their interaction) completely failed to predict the P-Balance. Their marginal</w:t>
      </w:r>
      <w:r>
        <w:t xml:space="preserve"> </w:t>
      </w:r>
      <m:oMath>
        <m:sSup>
          <m:e>
            <m:r>
              <m:t>R</m:t>
            </m:r>
          </m:e>
          <m:sup>
            <m:r>
              <m:t>2</m:t>
            </m:r>
          </m:sup>
        </m:sSup>
      </m:oMath>
      <w:r>
        <w:t xml:space="preserve"> </w:t>
      </w:r>
      <w:r>
        <w:t xml:space="preserve">values were effectively zero (</w:t>
      </w:r>
      <m:oMath>
        <m:sSubSup>
          <m:e>
            <m:r>
              <m:t>R</m:t>
            </m:r>
          </m:e>
          <m:sub>
            <m:r>
              <m:t>m</m:t>
            </m:r>
          </m:sub>
          <m:sup>
            <m:r>
              <m:t>2</m:t>
            </m:r>
          </m:sup>
        </m:sSubSup>
      </m:oMath>
      <w:r>
        <w:t xml:space="preserve"> </w:t>
      </w:r>
      <w:r>
        <w:t xml:space="preserve">= 0.001), indicating they have no predictive power whatsoever for this crucial agronomic metric. None of the STP predictors were statistically significant.</w:t>
      </w:r>
    </w:p>
    <w:p>
      <w:pPr>
        <w:pStyle w:val="BodyText"/>
      </w:pPr>
      <w:r>
        <w:t xml:space="preserve">This finding directly contradicts</w:t>
      </w:r>
      <w:r>
        <w:t xml:space="preserve"> </w:t>
      </w:r>
      <w:r>
        <w:rPr>
          <w:b/>
          <w:bCs/>
        </w:rPr>
        <w:t xml:space="preserve">Hypothesis 1a</w:t>
      </w:r>
      <w:r>
        <w:t xml:space="preserve">, which anticipated a significant correlation between the standard STP methods and the P-Balance. The results show no such relationship exists, suggesting that these static measurements do not adequately reflect the long-term phosphorus status of the soil as represented by the P-Balance.</w:t>
      </w:r>
    </w:p>
    <w:bookmarkEnd w:id="108"/>
    <w:bookmarkStart w:id="109" w:name="interpreting-the-r2-discrepancy"/>
    <w:p>
      <w:pPr>
        <w:pStyle w:val="Heading4"/>
      </w:pPr>
      <w:r>
        <w:t xml:space="preserve">4.5.5.3 Interpreting the</w:t>
      </w:r>
      <w:r>
        <w:t xml:space="preserve"> </w:t>
      </w:r>
      <m:oMath>
        <m:sSup>
          <m:e>
            <m:r>
              <m:t>R</m:t>
            </m:r>
          </m:e>
          <m:sup>
            <m:r>
              <m:t>2</m:t>
            </m:r>
          </m:sup>
        </m:sSup>
      </m:oMath>
      <w:r>
        <w:t xml:space="preserve"> </w:t>
      </w:r>
      <w:r>
        <w:t xml:space="preserve">Discrepancy</w:t>
      </w:r>
    </w:p>
    <w:p>
      <w:pPr>
        <w:pStyle w:val="FirstParagraph"/>
      </w:pPr>
      <w:r>
        <w:t xml:space="preserve">The dramatic difference in performance is clear from the</w:t>
      </w:r>
      <w:r>
        <w:t xml:space="preserve"> </w:t>
      </w:r>
      <m:oMath>
        <m:sSup>
          <m:e>
            <m:r>
              <m:t>R</m:t>
            </m:r>
          </m:e>
          <m:sup>
            <m:r>
              <m:t>2</m:t>
            </m:r>
          </m:sup>
        </m:sSup>
      </m:oMath>
      <w:r>
        <w:t xml:space="preserve"> </w:t>
      </w:r>
      <w:r>
        <w:t xml:space="preserve">values. While the conditional</w:t>
      </w:r>
      <w:r>
        <w:t xml:space="preserve"> </w:t>
      </w:r>
      <m:oMath>
        <m:sSup>
          <m:e>
            <m:r>
              <m:t>R</m:t>
            </m:r>
          </m:e>
          <m:sup>
            <m:r>
              <m:t>2</m:t>
            </m:r>
          </m:sup>
        </m:sSup>
      </m:oMath>
      <w:r>
        <w:t xml:space="preserve"> </w:t>
      </w:r>
      <w:r>
        <w:t xml:space="preserve">for the STP models is high (around 0.81), their marginal</w:t>
      </w:r>
      <w:r>
        <w:t xml:space="preserve"> </w:t>
      </w:r>
      <m:oMath>
        <m:sSup>
          <m:e>
            <m:r>
              <m:t>R</m:t>
            </m:r>
          </m:e>
          <m:sup>
            <m:r>
              <m:t>2</m:t>
            </m:r>
          </m:sup>
        </m:sSup>
      </m:oMath>
      <w:r>
        <w:t xml:space="preserve"> </w:t>
      </w:r>
      <w:r>
        <w:t xml:space="preserve">is 0.001. This indicates that all the explanatory power comes from the random effects (</w:t>
      </w:r>
      <w:r>
        <w:rPr>
          <w:rStyle w:val="VerbatimChar"/>
        </w:rPr>
        <w:t xml:space="preserve">Site</w:t>
      </w:r>
      <w:r>
        <w:t xml:space="preserve"> </w:t>
      </w:r>
      <w:r>
        <w:t xml:space="preserve">and</w:t>
      </w:r>
      <w:r>
        <w:t xml:space="preserve"> </w:t>
      </w:r>
      <w:r>
        <w:rPr>
          <w:rStyle w:val="VerbatimChar"/>
        </w:rPr>
        <w:t xml:space="preserve">year</w:t>
      </w:r>
      <w:r>
        <w:t xml:space="preserve">), and the STP measurements themselves contribute nothing. The kinetic model, however, has both a high marginal</w:t>
      </w:r>
      <w:r>
        <w:t xml:space="preserve"> </w:t>
      </w:r>
      <m:oMath>
        <m:sSup>
          <m:e>
            <m:r>
              <m:t>R</m:t>
            </m:r>
          </m:e>
          <m:sup>
            <m:r>
              <m:t>2</m:t>
            </m:r>
          </m:sup>
        </m:sSup>
      </m:oMath>
      <w:r>
        <w:t xml:space="preserve"> </w:t>
      </w:r>
      <w:r>
        <w:t xml:space="preserve">(0.572) and a high conditional</w:t>
      </w:r>
      <w:r>
        <w:t xml:space="preserve"> </w:t>
      </w:r>
      <m:oMath>
        <m:sSup>
          <m:e>
            <m:r>
              <m:t>R</m:t>
            </m:r>
          </m:e>
          <m:sup>
            <m:r>
              <m:t>2</m:t>
            </m:r>
          </m:sup>
        </m:sSup>
      </m:oMath>
      <w:r>
        <w:t xml:space="preserve"> </w:t>
      </w:r>
      <w:r>
        <w:t xml:space="preserve">(0.744). This demonstrates that the kinetic parameters are themselves powerful predictors, capturing a large portion of the variance that is independent of site and year effects.</w:t>
      </w:r>
    </w:p>
    <w:bookmarkEnd w:id="109"/>
    <w:bookmarkEnd w:id="110"/>
    <w:bookmarkEnd w:id="111"/>
    <w:bookmarkEnd w:id="112"/>
    <w:bookmarkStart w:id="122" w:name="discussion"/>
    <w:p>
      <w:pPr>
        <w:pStyle w:val="Heading1"/>
      </w:pPr>
      <w:r>
        <w:t xml:space="preserve">5. Discussion</w:t>
      </w:r>
    </w:p>
    <w:p>
      <w:pPr>
        <w:pStyle w:val="FirstParagraph"/>
      </w:pPr>
      <w:r>
        <w:t xml:space="preserve">This study aimed to determine if dynamic P desorption parameters could provide a more accurate prediction of agronomic outcomes than traditional static soil tests. The results reveal a complex story: the ideal P testing method is not universal but is instead contingent on the specific question being addressed, whether it is optimizing yield within a single field, comparing productivity across different regions, or managing long-term nutrient budgets.</w:t>
      </w:r>
    </w:p>
    <w:bookmarkStart w:id="113" w:name="X2be6dfad3d423d878672cb793cc807af4a34ac3"/>
    <w:p>
      <w:pPr>
        <w:pStyle w:val="Heading2"/>
      </w:pPr>
      <w:r>
        <w:t xml:space="preserve">5.1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13"/>
    <w:bookmarkStart w:id="119" w:name="X1b4f439ca95cf2ff1d299d4f1dc1937990b01b8"/>
    <w:p>
      <w:pPr>
        <w:pStyle w:val="Heading2"/>
      </w:pPr>
      <w:r>
        <w:t xml:space="preserve">5.2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w:t>
      </w:r>
    </w:p>
    <w:p>
      <w:pPr>
        <w:pStyle w:val="BodyText"/>
      </w:pPr>
      <w:r>
        <w:t xml:space="preserve">This statistical failure has a fundamental chemical basis. The linearized model requires an</w:t>
      </w:r>
      <w:r>
        <w:t xml:space="preserve"> </w:t>
      </w:r>
      <w:r>
        <w:rPr>
          <w:i/>
          <w:iCs/>
        </w:rPr>
        <w:t xml:space="preserve">a priori</w:t>
      </w:r>
      <w:r>
        <w:t xml:space="preserve"> </w:t>
      </w:r>
      <w:r>
        <w:t xml:space="preserve">estimate of the maximum desorbable P pool (</w:t>
      </w:r>
      <m:oMath>
        <m:sSub>
          <m:e>
            <m:r>
              <m:t>P</m:t>
            </m:r>
          </m:e>
          <m:sub>
            <m:r>
              <m:t>d</m:t>
            </m:r>
            <m:r>
              <m:t>e</m:t>
            </m:r>
            <m:r>
              <m:t>s</m:t>
            </m:r>
            <m:r>
              <m:t>o</m:t>
            </m:r>
            <m:r>
              <m:t>r</m:t>
            </m:r>
            <m:r>
              <m:t>b</m:t>
            </m:r>
          </m:sub>
        </m:sSub>
      </m:oMath>
      <w:r>
        <w:t xml:space="preserve">), which Flossmann and Richter approximated by subtracting a water-soluble P measurement from a stronger chemical extractant (e.g.,</w:t>
      </w:r>
      <w:r>
        <w:t xml:space="preserve"> </w:t>
      </w:r>
      <m:oMath>
        <m:sSub>
          <m:e>
            <m:r>
              <m:t>P</m:t>
            </m:r>
          </m:e>
          <m:sub>
            <m:r>
              <m:t>d</m:t>
            </m:r>
            <m:r>
              <m:t>e</m:t>
            </m:r>
            <m:r>
              <m:t>s</m:t>
            </m:r>
            <m:r>
              <m:t>o</m:t>
            </m:r>
            <m:r>
              <m:t>r</m:t>
            </m:r>
            <m:r>
              <m:t>b</m:t>
            </m:r>
          </m:sub>
        </m:sSub>
        <m:r>
          <m:rPr>
            <m:sty m:val="p"/>
          </m:rPr>
          <m:t>≈</m:t>
        </m:r>
        <m:sSub>
          <m:e>
            <m:r>
              <m:t>P</m:t>
            </m:r>
          </m:e>
          <m:sub>
            <m:r>
              <m:t>C</m:t>
            </m:r>
            <m:r>
              <m:t>A</m:t>
            </m:r>
            <m:r>
              <m:t>L</m:t>
            </m:r>
          </m:sub>
        </m:sSub>
        <m:r>
          <m:rPr>
            <m:sty m:val="p"/>
          </m:rPr>
          <m:t>−</m:t>
        </m:r>
        <m:sSub>
          <m:e>
            <m:r>
              <m:t>P</m:t>
            </m:r>
          </m:e>
          <m:sub>
            <m:r>
              <m:t>H</m:t>
            </m:r>
            <m:r>
              <m:t>2</m:t>
            </m:r>
            <m:r>
              <m:t>O</m:t>
            </m:r>
          </m:sub>
        </m:sSub>
      </m:oMath>
      <w:r>
        <w:t xml:space="preserve">). However, in all but the most severely depleted soils, the P value from the stronger extractant is orders of magnitude greater than that from water (</w:t>
      </w:r>
      <m:oMath>
        <m:sSub>
          <m:e>
            <m:r>
              <m:t>P</m:t>
            </m:r>
          </m:e>
          <m:sub>
            <m:r>
              <m:t>C</m:t>
            </m:r>
            <m:r>
              <m:t>A</m:t>
            </m:r>
            <m:r>
              <m:t>L</m:t>
            </m:r>
          </m:sub>
        </m:sSub>
        <m:r>
          <m:rPr>
            <m:sty m:val="p"/>
          </m:rPr>
          <m:t>&gt;</m:t>
        </m:r>
        <m:r>
          <m:rPr>
            <m:sty m:val="p"/>
          </m:rPr>
          <m:t>&gt;</m:t>
        </m:r>
        <m:sSub>
          <m:e>
            <m:r>
              <m:t>P</m:t>
            </m:r>
          </m:e>
          <m:sub>
            <m:r>
              <m:t>H</m:t>
            </m:r>
            <m:r>
              <m:t>2</m:t>
            </m:r>
            <m:r>
              <m:t>O</m:t>
            </m:r>
          </m:sub>
        </m:sSub>
      </m:oMath>
      <w:r>
        <w:t xml:space="preserve">). This leads to an estimated</w:t>
      </w:r>
      <w:r>
        <w:t xml:space="preserve"> </w:t>
      </w:r>
      <m:oMath>
        <m:sSub>
          <m:e>
            <m:r>
              <m:t>P</m:t>
            </m:r>
          </m:e>
          <m:sub>
            <m:r>
              <m:t>d</m:t>
            </m:r>
            <m:r>
              <m:t>e</m:t>
            </m:r>
            <m:r>
              <m:t>s</m:t>
            </m:r>
            <m:r>
              <m:t>o</m:t>
            </m:r>
            <m:r>
              <m:t>r</m:t>
            </m:r>
            <m:r>
              <m:t>b</m:t>
            </m:r>
          </m:sub>
        </m:sSub>
      </m:oMath>
      <w:r>
        <w:t xml:space="preserve"> </w:t>
      </w:r>
      <w:r>
        <w:t xml:space="preserve">that is vastly higher than the actual solubility limit of phosphate in the soil solution. A kinetic desorption curve in water can physically only plateau at the concentration dictated by mineral solubility; by providing the model with a theoretical maximum that is chemically unattainable, the linearization becomes mathematically invalid. This explains why the linearized approach failed and underscores the necessity of a method that does not rely on such flawed assumptions.</w:t>
      </w:r>
    </w:p>
    <w:p>
      <w:pPr>
        <w:pStyle w:val="BodyText"/>
      </w:pPr>
      <w:r>
        <w:t xml:space="preserve">In contrast, the direct application of a non-linear mixed-effects model successfully captured the curvilinear nature of P release for nearly all samples by estimating</w:t>
      </w:r>
      <w:r>
        <w:t xml:space="preserve"> </w:t>
      </w:r>
      <m:oMath>
        <m:sSub>
          <m:e>
            <m:r>
              <m:t>P</m:t>
            </m:r>
          </m:e>
          <m:sub>
            <m:r>
              <m:t>d</m:t>
            </m:r>
            <m:r>
              <m:t>e</m:t>
            </m:r>
            <m:r>
              <m:t>s</m:t>
            </m:r>
            <m:r>
              <m:t>o</m:t>
            </m:r>
            <m:r>
              <m:t>r</m:t>
            </m:r>
            <m:r>
              <m:t>b</m:t>
            </m:r>
          </m:sub>
        </m:sSub>
      </m:oMath>
      <w:r>
        <w:t xml:space="preserve"> </w:t>
      </w:r>
      <w:r>
        <w:t xml:space="preserve">directly from the kinetic data itself.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8</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w:t>
      </w:r>
      <w:r>
        <w:t xml:space="preserve"> </w:t>
      </w:r>
      <w:r>
        <w:t xml:space="preserve">(Fisher, 1925)</w:t>
      </w:r>
      <w:r>
        <w:t xml:space="preserve">.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 [</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18" w:name="cell-fig-ell-outlier-check-dual-axis"/>
    <w:tbl>
      <w:tblPr>
        <w:tblStyle w:val="Table"/>
        <w:tblW w:type="pct" w:w="5000"/>
        <w:tblLayout w:type="fixed"/>
        <w:tblLook w:firstRow="0" w:lastRow="0" w:firstColumn="0" w:lastColumn="0" w:noHBand="0" w:noVBand="0" w:val="0000"/>
      </w:tblPr>
      <w:tblGrid>
        <w:gridCol w:w="7920"/>
      </w:tblGrid>
      <w:tr>
        <w:tc>
          <w:tcPr/>
          <w:bookmarkStart w:id="117" w:name="fig-ell-outlier-check-dual-axis"/>
          <w:p>
            <w:pPr>
              <w:pStyle w:val="Compact"/>
              <w:jc w:val="center"/>
            </w:pPr>
            <w:r>
              <w:drawing>
                <wp:inline>
                  <wp:extent cx="4620126" cy="3696101"/>
                  <wp:effectExtent b="0" l="0" r="0" t="0"/>
                  <wp:docPr descr="" title="" id="115" name="Picture"/>
                  <a:graphic>
                    <a:graphicData uri="http://schemas.openxmlformats.org/drawingml/2006/picture">
                      <pic:pic>
                        <pic:nvPicPr>
                          <pic:cNvPr descr="index_files/figure-docx/fig-ell-outlier-check-dual-axis-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17"/>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118"/>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19"/>
    <w:bookmarkStart w:id="121" w:name="X2bcc4bfc211ba9abec9a74e664b2fca0cf81079"/>
    <w:p>
      <w:pPr>
        <w:pStyle w:val="Heading2"/>
      </w:pPr>
      <w:r>
        <w:t xml:space="preserve">5.3 Hypothesis 3: The Context-Dependent Power of Kinetic Parameters</w:t>
      </w:r>
    </w:p>
    <w:p>
      <w:pPr>
        <w:pStyle w:val="FirstParagraph"/>
      </w:pPr>
      <w:r>
        <w:t xml:space="preserve">The central hypothesis of this thesis predicted that a model incorporating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would explain a significantly greater proportion of the variance in agronomic outcomes compared to models based on standard, static STP measurements. The results provide a nuanced verdict: the hypothesis was strongly supported in one context, but clearly refuted in others, revealing that the utility of kinetic parameters is highly dependent on the specific agronomic question being addressed.</w:t>
      </w:r>
    </w:p>
    <w:p>
      <w:pPr>
        <w:pStyle w:val="BodyText"/>
      </w:pPr>
      <w:r>
        <w:t xml:space="preserve">The most compelling support for</w:t>
      </w:r>
      <w:r>
        <w:t xml:space="preserve"> </w:t>
      </w:r>
      <w:r>
        <w:rPr>
          <w:b/>
          <w:bCs/>
        </w:rPr>
        <w:t xml:space="preserve">Hypothesis 3</w:t>
      </w:r>
      <w:r>
        <w:t xml:space="preserve"> </w:t>
      </w:r>
      <w:r>
        <w:t xml:space="preserve">came from the prediction of the</w:t>
      </w:r>
      <w:r>
        <w:t xml:space="preserve"> </w:t>
      </w:r>
      <w:r>
        <w:rPr>
          <w:b/>
          <w:bCs/>
        </w:rPr>
        <w:t xml:space="preserve">P-Balance (</w:t>
      </w:r>
      <m:oMath>
        <m:sSub>
          <m:e>
            <m:r>
              <m:t>P</m:t>
            </m:r>
          </m:e>
          <m:sub>
            <m:r>
              <m:t>b</m:t>
            </m:r>
            <m:r>
              <m:t>a</m:t>
            </m:r>
            <m:r>
              <m:t>l</m:t>
            </m:r>
          </m:sub>
        </m:sSub>
      </m:oMath>
      <w:r>
        <w:rPr>
          <w:b/>
          <w:bCs/>
        </w:rPr>
        <w:t xml:space="preserve">)</w:t>
      </w:r>
      <w:r>
        <w:t xml:space="preserve">. In this analysis, the kinetic model, driven by the desorbable P pool (</w:t>
      </w:r>
      <m:oMath>
        <m:sSub>
          <m:e>
            <m:r>
              <m:t>P</m:t>
            </m:r>
          </m:e>
          <m:sub>
            <m:r>
              <m:t>d</m:t>
            </m:r>
            <m:r>
              <m:t>e</m:t>
            </m:r>
            <m:r>
              <m:t>s</m:t>
            </m:r>
            <m:r>
              <m:t>o</m:t>
            </m:r>
            <m:r>
              <m:t>r</m:t>
            </m:r>
            <m:r>
              <m:t>b</m:t>
            </m:r>
          </m:sub>
        </m:sSub>
      </m:oMath>
      <w:r>
        <w:t xml:space="preserve">), was exceptionally powerful, explaining over 57% of the variance. In stark contrast, the standard STP models had zero predictive power. This is the most significant finding of this study. The P-Balance represents the long-term integration of nutrient inputs and outputs, and the fact that a kinetic capacity parameter (</w:t>
      </w:r>
      <m:oMath>
        <m:sSub>
          <m:e>
            <m:r>
              <m:t>P</m:t>
            </m:r>
          </m:e>
          <m:sub>
            <m:r>
              <m:t>d</m:t>
            </m:r>
            <m:r>
              <m:t>e</m:t>
            </m:r>
            <m:r>
              <m:t>s</m:t>
            </m:r>
            <m:r>
              <m:t>o</m:t>
            </m:r>
            <m:r>
              <m:t>r</m:t>
            </m:r>
            <m:r>
              <m:t>b</m:t>
            </m:r>
          </m:sub>
        </m:sSub>
      </m:oMath>
      <w:r>
        <w:t xml:space="preserve">) so perfectly captures this state demonstrates its superiority for assessing the cumulative effects of soil management. It suggests that while standard tests reflect the immediate chemical environment,</w:t>
      </w:r>
      <w:r>
        <w:t xml:space="preserve"> </w:t>
      </w:r>
      <m:oMath>
        <m:sSub>
          <m:e>
            <m:r>
              <m:t>P</m:t>
            </m:r>
          </m:e>
          <m:sub>
            <m:r>
              <m:t>d</m:t>
            </m:r>
            <m:r>
              <m:t>e</m:t>
            </m:r>
            <m:r>
              <m:t>s</m:t>
            </m:r>
            <m:r>
              <m:t>o</m:t>
            </m:r>
            <m:r>
              <m:t>r</m:t>
            </m:r>
            <m:r>
              <m:t>b</m:t>
            </m:r>
          </m:sub>
        </m:sSub>
      </m:oMath>
      <w:r>
        <w:t xml:space="preserve"> </w:t>
      </w:r>
      <w:r>
        <w:t xml:space="preserve">provides a more holistic measure of the soil’s P supply capacity and its legacy from past fertilization.</w:t>
      </w:r>
    </w:p>
    <w:p>
      <w:pPr>
        <w:pStyle w:val="BodyText"/>
      </w:pPr>
      <w:r>
        <w:t xml:space="preserve">However, when predicting yield and P-uptake, the hypothesis was not supported. The reasons for this are likely multifaceted and highlight several limitations of the current study. A primary factor is that the P fertilization levels analyzed (0%, 100%, and 167%) may not have created conditions where P was the primary limiting factor for yield. The standard 100% fertilization rate in the STYCS trial is already designed for optimal yield, and decades of application at this level have likely led to significant</w:t>
      </w:r>
      <w:r>
        <w:t xml:space="preserve"> </w:t>
      </w:r>
      <w:r>
        <w:t xml:space="preserve">“legacy P”</w:t>
      </w:r>
      <w:r>
        <w:t xml:space="preserve"> </w:t>
      </w:r>
      <w:r>
        <w:t xml:space="preserve">accumulation</w:t>
      </w:r>
      <w:r>
        <w:t xml:space="preserve"> </w:t>
      </w:r>
      <w:r>
        <w:t xml:space="preserve">(Hirte et al., 2018)</w:t>
      </w:r>
      <w:r>
        <w:t xml:space="preserve">. Consequently, the 167% treatment would only add to this surplus, while the 0% treatment represents an extreme deficiency. A direct comparison between kinetic and static tests would be far more powerful if intermediate levels (e.g., 33% and 67%) were included, as this is the range where the</w:t>
      </w:r>
      <w:r>
        <w:t xml:space="preserve"> </w:t>
      </w:r>
      <w:r>
        <w:rPr>
          <w:i/>
          <w:iCs/>
        </w:rPr>
        <w:t xml:space="preserve">rate</w:t>
      </w:r>
      <w:r>
        <w:t xml:space="preserve"> </w:t>
      </w:r>
      <w:r>
        <w:t xml:space="preserve">of P supply is most likely to be a yield-limiting factor.</w:t>
      </w:r>
    </w:p>
    <w:p>
      <w:pPr>
        <w:pStyle w:val="BodyText"/>
      </w:pPr>
      <w:r>
        <w:t xml:space="preserve">Furthermore, the linear mixed-effects models used, while appropriate for the data structure, could not account for two major sources of variation. First, as seen in the exploratory analysis in with the mlr3-model-comparisons, weather variables alone were often strong predictors of yield. The</w:t>
      </w:r>
      <w:r>
        <w:t xml:space="preserve"> </w:t>
      </w:r>
      <w:r>
        <w:rPr>
          <w:rStyle w:val="VerbatimChar"/>
        </w:rPr>
        <w:t xml:space="preserve">(1|year)</w:t>
      </w:r>
      <w:r>
        <w:t xml:space="preserve"> </w:t>
      </w:r>
      <w:r>
        <w:t xml:space="preserve">and</w:t>
      </w:r>
      <w:r>
        <w:t xml:space="preserve"> </w:t>
      </w:r>
      <w:r>
        <w:rPr>
          <w:rStyle w:val="VerbatimChar"/>
        </w:rPr>
        <w:t xml:space="preserve">(1|Site)</w:t>
      </w:r>
      <w:r>
        <w:t xml:space="preserve"> </w:t>
      </w:r>
      <w:r>
        <w:t xml:space="preserve">random effects in our models are proxies for this, bundling complex pedoclimatic information—such as growing degree days, soil moisture patterns, and soil textural differences—into single terms. These effects were so large that they overshadowed the more subtle influence of soil P status. Future studies could improve predictive power by incorporating specific weather covariates as fixed effects, allowing for a clearer isolation of the soil P signal.</w:t>
      </w:r>
    </w:p>
    <w:p>
      <w:pPr>
        <w:pStyle w:val="BodyText"/>
      </w:pPr>
      <w:r>
        <w:t xml:space="preserve">Second, the assumption of a linear P response is a simplification. As shown by</w:t>
      </w:r>
      <w:r>
        <w:t xml:space="preserve"> </w:t>
      </w:r>
      <w:r>
        <w:rPr>
          <w:b/>
          <w:bCs/>
        </w:rPr>
        <w:t xml:space="preserve">Hirte et al. (2021)</w:t>
      </w:r>
      <w:r>
        <w:t xml:space="preserve">, crop yield response to P is non-linear and best described by a saturation curve. This is particularly relevant given the high yields observed at some sites, such as Cadenazzo, where relative yields reached up to 300% in some years, a level far beyond any plausible linear response to P. A more robust modeling approach would involve fitting non-linear models, though this would, as previously noted, require data from the full spectrum of fertilization treatments.</w:t>
      </w:r>
    </w:p>
    <w:bookmarkStart w:id="120" w:name="conclusion-and-outlook"/>
    <w:p>
      <w:pPr>
        <w:pStyle w:val="Heading3"/>
      </w:pPr>
      <w:r>
        <w:t xml:space="preserve">5.3.1 Conclusion and Outlook</w:t>
      </w:r>
    </w:p>
    <w:p>
      <w:pPr>
        <w:pStyle w:val="FirstParagraph"/>
      </w:pPr>
      <w:r>
        <w:t xml:space="preserve">This thesis set out to test the hypothesis that P desorption kinetics, grounded in the diffusion-limited reality of P uptake, would provide a superior prediction of agronomic outcomes compared to conventional static soil tests (STPs). The first step required a critical re-evaluation of the kinetic methodology itself. We successfully demonstrated that the original linearized approach of Flossmann &amp; Richter (1982) is based on a chemically flawed premise, where the estimated desorbable P pool (</w:t>
      </w:r>
      <m:oMath>
        <m:sSub>
          <m:e>
            <m:r>
              <m:t>P</m:t>
            </m:r>
          </m:e>
          <m:sub>
            <m:r>
              <m:t>d</m:t>
            </m:r>
            <m:r>
              <m:t>e</m:t>
            </m:r>
            <m:r>
              <m:t>s</m:t>
            </m:r>
            <m:r>
              <m:t>o</m:t>
            </m:r>
            <m:r>
              <m:t>r</m:t>
            </m:r>
            <m:r>
              <m:t>b</m:t>
            </m:r>
          </m:sub>
        </m:sSub>
      </m:oMath>
      <w:r>
        <w:t xml:space="preserve">) far exceeds the physical solubility of phosphate. By implementing a direct non-linear modeling approach, we derived robust kinetic parameters free from these assumptions. However, this refined method remains sensitive, as evidenced by outlier replicates that were ultimately attributed to the</w:t>
      </w:r>
      <w:r>
        <w:t xml:space="preserve"> </w:t>
      </w:r>
      <w:r>
        <w:t xml:space="preserve">“nugget effect”</w:t>
      </w:r>
      <w:r>
        <w:t xml:space="preserve"> </w:t>
      </w:r>
      <w:r>
        <w:t xml:space="preserve">of residual fertilizer granules, a persistent challenge in soil analysis.</w:t>
      </w:r>
    </w:p>
    <w:p>
      <w:pPr>
        <w:pStyle w:val="BodyText"/>
      </w:pPr>
      <w:r>
        <w:t xml:space="preserve">The comparative analysis of the predictive models yielded a nuanced picture. Contrary to our primary hypothesis, the kinetic parameters were not universally superior. For predicting site- and national-normalized yield (</w:t>
      </w:r>
      <m:oMath>
        <m:sSub>
          <m:e>
            <m:r>
              <m:t>Y</m:t>
            </m:r>
          </m:e>
          <m:sub>
            <m:r>
              <m:t>n</m:t>
            </m:r>
            <m:r>
              <m:t>o</m:t>
            </m:r>
            <m:r>
              <m:t>r</m:t>
            </m:r>
            <m:r>
              <m:t>m</m:t>
            </m:r>
          </m:sub>
        </m:sSub>
      </m:oMath>
      <w:r>
        <w:t xml:space="preserve">,</w:t>
      </w:r>
      <w:r>
        <w:t xml:space="preserve"> </w:t>
      </w:r>
      <m:oMath>
        <m:sSub>
          <m:e>
            <m:r>
              <m:t>Y</m:t>
            </m:r>
          </m:e>
          <m:sub>
            <m:r>
              <m:t>r</m:t>
            </m:r>
            <m:r>
              <m:t>e</m:t>
            </m:r>
            <m:r>
              <m:t>l</m:t>
            </m:r>
          </m:sub>
        </m:sSub>
      </m:oMath>
      <w:r>
        <w:t xml:space="preserve">) and P-uptake (</w:t>
      </w:r>
      <m:oMath>
        <m:sSub>
          <m:e>
            <m:r>
              <m:t>P</m:t>
            </m:r>
          </m:e>
          <m:sub>
            <m:r>
              <m:t>u</m:t>
            </m:r>
            <m:r>
              <m:t>p</m:t>
            </m:r>
          </m:sub>
        </m:sSub>
      </m:oMath>
      <w:r>
        <w:t xml:space="preserve">), the kinetic model offered no significant advantage and, in some cases, performed worse than standard STP methods. This strongly suggests that under the conditions of the STYCS trial, where P was likely not the primary limiting factor for yield due to a history of adequate fertilization, the subtle differences in P supply dynamics were overshadowed by larger environmental drivers.</w:t>
      </w:r>
    </w:p>
    <w:p>
      <w:pPr>
        <w:pStyle w:val="BodyText"/>
      </w:pPr>
      <w:r>
        <w:t xml:space="preserve">However, the most striking finding of this study was the exceptional success of the kinetic model in predicting the</w:t>
      </w:r>
      <w:r>
        <w:t xml:space="preserve"> </w:t>
      </w:r>
      <w:r>
        <w:rPr>
          <w:b/>
          <w:bCs/>
        </w:rPr>
        <w:t xml:space="preserve">P-Balance (</w:t>
      </w:r>
      <m:oMath>
        <m:sSub>
          <m:e>
            <m:r>
              <m:t>P</m:t>
            </m:r>
          </m:e>
          <m:sub>
            <m:r>
              <m:t>b</m:t>
            </m:r>
            <m:r>
              <m:t>a</m:t>
            </m:r>
            <m:r>
              <m:t>l</m:t>
            </m:r>
          </m:sub>
        </m:sSub>
      </m:oMath>
      <w:r>
        <w:rPr>
          <w:b/>
          <w:bCs/>
        </w:rPr>
        <w:t xml:space="preserve">)</w:t>
      </w:r>
      <w:r>
        <w:t xml:space="preserve">. While STP methods completely failed, the desorbable P pool (</w:t>
      </w:r>
      <m:oMath>
        <m:sSub>
          <m:e>
            <m:r>
              <m:t>P</m:t>
            </m:r>
          </m:e>
          <m:sub>
            <m:r>
              <m:t>d</m:t>
            </m:r>
            <m:r>
              <m:t>e</m:t>
            </m:r>
            <m:r>
              <m:t>s</m:t>
            </m:r>
            <m:r>
              <m:t>o</m:t>
            </m:r>
            <m:r>
              <m:t>r</m:t>
            </m:r>
            <m:r>
              <m:t>b</m:t>
            </m:r>
          </m:sub>
        </m:sSub>
      </m:oMath>
      <w:r>
        <w:t xml:space="preserve">) alone explained over 57% of the variance in the long-term nutrient budget. The interpretation of this is critical: the P-Balance is an indicator of nutrient stewardship and environmental risk. A soil with a highly positive P-Balance has a large store of</w:t>
      </w:r>
      <w:r>
        <w:t xml:space="preserve"> </w:t>
      </w:r>
      <w:r>
        <w:t xml:space="preserve">“legacy P,”</w:t>
      </w:r>
      <w:r>
        <w:t xml:space="preserve"> </w:t>
      </w:r>
      <w:r>
        <w:t xml:space="preserve">which can sustain future crops but also poses a risk of loss to the environment. The success of</w:t>
      </w:r>
      <w:r>
        <w:t xml:space="preserve"> </w:t>
      </w:r>
      <m:oMath>
        <m:sSub>
          <m:e>
            <m:r>
              <m:t>P</m:t>
            </m:r>
          </m:e>
          <m:sub>
            <m:r>
              <m:t>d</m:t>
            </m:r>
            <m:r>
              <m:t>e</m:t>
            </m:r>
            <m:r>
              <m:t>s</m:t>
            </m:r>
            <m:r>
              <m:t>o</m:t>
            </m:r>
            <m:r>
              <m:t>r</m:t>
            </m:r>
            <m:r>
              <m:t>b</m:t>
            </m:r>
          </m:sub>
        </m:sSub>
      </m:oMath>
      <w:r>
        <w:t xml:space="preserve"> </w:t>
      </w:r>
      <w:r>
        <w:t xml:space="preserve">as a predictor means it is a far superior metric for assessing this long-term soil P status and sustainability than conventional STPs.</w:t>
      </w:r>
    </w:p>
    <w:p>
      <w:pPr>
        <w:pStyle w:val="BodyText"/>
      </w:pPr>
      <w:r>
        <w:t xml:space="preserve">Furthermore, this study provides evidence questioning the concurrent use of multiple STP methods. While systems like GRUD and VDLUFA employ two tests to differentiate P-intensity and P-capacity, our models showed that</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contained largely redundant information for predicting agronomic outcomes. The non-significant interaction term indicated that combining them did not improve predictions. This is a crucial finding, suggesting that while these methods may extract chemically distinct P pools—as shown by the isotopic exchange data from Demaria et al.—this chemical difference does not translate into a functional difference for agronomic modeling in this context.</w:t>
      </w:r>
    </w:p>
    <w:p>
      <w:pPr>
        <w:pStyle w:val="BodyText"/>
      </w:pPr>
      <w:r>
        <w:t xml:space="preserve">Looking forward, this work should be seen as a successful</w:t>
      </w:r>
      <w:r>
        <w:t xml:space="preserve"> </w:t>
      </w:r>
      <w:r>
        <w:t xml:space="preserve">“beta-trial”</w:t>
      </w:r>
      <w:r>
        <w:t xml:space="preserve"> </w:t>
      </w:r>
      <w:r>
        <w:t xml:space="preserve">for a promising, mechanistically-grounded soil testing approach. The current kinetic protocol is in dire need of refinement to improve its robustness. The centrifugation step (4000 rpm for 15 minutes) created highly compact sediments, particularly in clay-rich soils. Consequently, the magnetic stir bar required considerable time (up to 10 minutes) to achieve full resuspension, meaning the reactive surface area was not constant at the beginning of the experiment, violating a key assumption of kinetic modeling. Furthermore, the decanting process left a residue of P-rich colloids on the sediment surface, which, upon resuspension, likely contributed to an immediate release of P, invalidating the assumption of P(t=0)=0 and necessitating a time correction in our model.</w:t>
      </w:r>
    </w:p>
    <w:p>
      <w:pPr>
        <w:pStyle w:val="BodyText"/>
      </w:pPr>
      <w:r>
        <w:t xml:space="preserve">More fundamentally, a soil suspension with a 1:20 soil-to-water ratio is a highly artificial system that does not reflect the conditions at an intact soil-matrix to soil-solution interface. The process of suspension creates new reactive surfaces while simultaneously diluting sorption sites, and it remains an open question how kinetic parameters derived from such a system translate to the processes occurring in a structured field soil. A crucial element missing from all such chemical extractions is the</w:t>
      </w:r>
      <w:r>
        <w:t xml:space="preserve"> </w:t>
      </w:r>
      <w:r>
        <w:rPr>
          <w:b/>
          <w:bCs/>
        </w:rPr>
        <w:t xml:space="preserve">active plant sink</w:t>
      </w:r>
      <w:r>
        <w:t xml:space="preserve">. A plant root constantly removes phosphate from the solution, fundamentally altering the chemical equilibrium. The rate of uptake is not a simple chemical reaction but is governed by biological Michaelis-Menten kinetics of membrane transporters. How the purely chemical rate constant (</w:t>
      </w:r>
      <w:r>
        <w:rPr>
          <w:i/>
          <w:iCs/>
        </w:rPr>
        <w:t xml:space="preserve">k</w:t>
      </w:r>
      <w:r>
        <w:t xml:space="preserve">) from a lab experiment corresponds to the biologically-driven P flux in the rhizosphere is unknown and represents a key knowledge gap that must be studied to understand how far these artificial results can be extrapolated to field conditions.</w:t>
      </w:r>
    </w:p>
    <w:p>
      <w:pPr>
        <w:pStyle w:val="BodyText"/>
      </w:pPr>
      <w:r>
        <w:t xml:space="preserve">The primary limitation of this study was the experimental context, which also informs the most promising directions for future research. A more robust approach would be to deconstruct composite response variables like</w:t>
      </w:r>
      <w:r>
        <w:t xml:space="preserve"> </w:t>
      </w:r>
      <m:oMath>
        <m:sSub>
          <m:e>
            <m:r>
              <m:t>P</m:t>
            </m:r>
          </m:e>
          <m:sub>
            <m:r>
              <m:t>u</m:t>
            </m:r>
            <m:r>
              <m:t>p</m:t>
            </m:r>
          </m:sub>
        </m:sSub>
      </m:oMath>
      <w:r>
        <w:t xml:space="preserve">. Future studies should model crop</w:t>
      </w:r>
      <w:r>
        <w:t xml:space="preserve"> </w:t>
      </w:r>
      <w:r>
        <w:rPr>
          <w:b/>
          <w:bCs/>
        </w:rPr>
        <w:t xml:space="preserve">yield</w:t>
      </w:r>
      <w:r>
        <w:t xml:space="preserve"> </w:t>
      </w:r>
      <w:r>
        <w:t xml:space="preserve">and plant P</w:t>
      </w:r>
      <w:r>
        <w:t xml:space="preserve"> </w:t>
      </w:r>
      <w:r>
        <w:rPr>
          <w:b/>
          <w:bCs/>
        </w:rPr>
        <w:t xml:space="preserve">concentration</w:t>
      </w:r>
      <w:r>
        <w:t xml:space="preserve"> </w:t>
      </w:r>
      <w:r>
        <w:t xml:space="preserve">separately. Yield should be predicted using the primary agronomic drivers (N supply, climate variables like temperature and precipitation, soil texture), while the P concentration in plant tissue should be modeled as a direct function of soil P availability metrics like the kinetic parameters. The product of these two independent models would provide a more mechanistically sound prediction of P-uptake. To properly test this, future experiments must include intermediate fertilization levels (P33, P66) to capture the P-responsive range and allow for non-linear modeling. By refining both the experimental protocol and the modeling strategy in this way, P desorption kinetics holds the potential to evolve into a powerful tool that provides not just a number, but a true understanding of a soil’s capacity to supply phosphorus over time.</w:t>
      </w:r>
    </w:p>
    <w:bookmarkEnd w:id="120"/>
    <w:bookmarkEnd w:id="121"/>
    <w:bookmarkEnd w:id="122"/>
    <w:bookmarkStart w:id="123" w:name="acknowledgments"/>
    <w:p>
      <w:pPr>
        <w:pStyle w:val="Heading1"/>
      </w:pPr>
      <w:r>
        <w:t xml:space="preserve">6. Acknowledgments</w:t>
      </w:r>
    </w:p>
    <w:p>
      <w:r>
        <w:br w:type="page"/>
      </w:r>
    </w:p>
    <w:bookmarkEnd w:id="123"/>
    <w:bookmarkStart w:id="197" w:name="references"/>
    <w:p>
      <w:pPr>
        <w:pStyle w:val="Heading1"/>
      </w:pPr>
      <w:r>
        <w:t xml:space="preserve">7. References</w:t>
      </w:r>
    </w:p>
    <w:bookmarkStart w:id="196" w:name="refs"/>
    <w:bookmarkStart w:id="125" w:name="ref-Abelson1999Dilemma"/>
    <w:p>
      <w:pPr>
        <w:pStyle w:val="Bibliography"/>
      </w:pPr>
      <w:r>
        <w:t xml:space="preserve">Abelson, P. H. (1999). The global phosphorus dilemma: A new insight into an old problem.</w:t>
      </w:r>
      <w:r>
        <w:t xml:space="preserve"> </w:t>
      </w:r>
      <w:r>
        <w:rPr>
          <w:i/>
          <w:iCs/>
        </w:rPr>
        <w:t xml:space="preserve">Science</w:t>
      </w:r>
      <w:r>
        <w:t xml:space="preserve">,</w:t>
      </w:r>
      <w:r>
        <w:t xml:space="preserve"> </w:t>
      </w:r>
      <w:r>
        <w:rPr>
          <w:i/>
          <w:iCs/>
        </w:rPr>
        <w:t xml:space="preserve">283</w:t>
      </w:r>
      <w:r>
        <w:t xml:space="preserve">(5410), 2015.</w:t>
      </w:r>
      <w:r>
        <w:t xml:space="preserve"> </w:t>
      </w:r>
      <w:hyperlink r:id="rId124">
        <w:r>
          <w:rPr>
            <w:rStyle w:val="Hyperlink"/>
          </w:rPr>
          <w:t xml:space="preserve">https://doi.org/10.1126/science.283.5410.2015</w:t>
        </w:r>
      </w:hyperlink>
    </w:p>
    <w:bookmarkEnd w:id="125"/>
    <w:bookmarkStart w:id="127"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26">
        <w:r>
          <w:rPr>
            <w:rStyle w:val="Hyperlink"/>
          </w:rPr>
          <w:t xml:space="preserve">https://doi.org/10.18637/jss.v067.i01</w:t>
        </w:r>
      </w:hyperlink>
    </w:p>
    <w:bookmarkEnd w:id="127"/>
    <w:bookmarkStart w:id="129"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28">
        <w:r>
          <w:rPr>
            <w:rStyle w:val="Hyperlink"/>
          </w:rPr>
          <w:t xml:space="preserve">https://doi.org/10.1071/CP13019</w:t>
        </w:r>
      </w:hyperlink>
    </w:p>
    <w:bookmarkEnd w:id="129"/>
    <w:bookmarkStart w:id="130"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30"/>
    <w:bookmarkStart w:id="131"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31"/>
    <w:bookmarkStart w:id="132"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32"/>
    <w:bookmarkStart w:id="134"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33">
        <w:r>
          <w:rPr>
            <w:rStyle w:val="Hyperlink"/>
          </w:rPr>
          <w:t xml:space="preserve">https://doi.org/10.1051/agro:19910908</w:t>
        </w:r>
      </w:hyperlink>
    </w:p>
    <w:bookmarkEnd w:id="134"/>
    <w:bookmarkStart w:id="135" w:name="ref-Fisher1925"/>
    <w:p>
      <w:pPr>
        <w:pStyle w:val="Bibliography"/>
      </w:pPr>
      <w:r>
        <w:t xml:space="preserve">Fisher, R. A. (1925).</w:t>
      </w:r>
      <w:r>
        <w:t xml:space="preserve"> </w:t>
      </w:r>
      <w:r>
        <w:rPr>
          <w:i/>
          <w:iCs/>
        </w:rPr>
        <w:t xml:space="preserve">Statistical methods for research workers</w:t>
      </w:r>
      <w:r>
        <w:t xml:space="preserve">. Oliver; Boyd.</w:t>
      </w:r>
    </w:p>
    <w:bookmarkEnd w:id="135"/>
    <w:bookmarkStart w:id="137"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36">
        <w:r>
          <w:rPr>
            <w:rStyle w:val="Hyperlink"/>
          </w:rPr>
          <w:t xml:space="preserve">https://doi.org/10.2136/sssabookser3.2ed.c11</w:t>
        </w:r>
      </w:hyperlink>
    </w:p>
    <w:bookmarkEnd w:id="137"/>
    <w:bookmarkStart w:id="138"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38"/>
    <w:bookmarkStart w:id="139"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39"/>
    <w:bookmarkStart w:id="141" w:name="ref-Frossard2000Processes"/>
    <w:p>
      <w:pPr>
        <w:pStyle w:val="Bibliography"/>
      </w:pPr>
      <w:r>
        <w:t xml:space="preserve">Frossard, E., Condron, L. M., Oberson, A., Sinaj, S., &amp; Fardeau, J. 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40">
        <w:r>
          <w:rPr>
            <w:rStyle w:val="Hyperlink"/>
          </w:rPr>
          <w:t xml:space="preserve">https://doi.org/10.2134/jeq2000.00472425002900010003x</w:t>
        </w:r>
      </w:hyperlink>
    </w:p>
    <w:bookmarkEnd w:id="141"/>
    <w:bookmarkStart w:id="143"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42">
        <w:r>
          <w:rPr>
            <w:rStyle w:val="Hyperlink"/>
          </w:rPr>
          <w:t xml:space="preserve">https://doi.org/10.1097/SS.0b013e3181f26a1d</w:t>
        </w:r>
      </w:hyperlink>
    </w:p>
    <w:bookmarkEnd w:id="143"/>
    <w:bookmarkStart w:id="145"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44">
        <w:r>
          <w:rPr>
            <w:rStyle w:val="Hyperlink"/>
          </w:rPr>
          <w:t xml:space="preserve">https://doi.org/10.1023/A:1013339317511</w:t>
        </w:r>
      </w:hyperlink>
    </w:p>
    <w:bookmarkEnd w:id="145"/>
    <w:bookmarkStart w:id="147"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46">
        <w:r>
          <w:rPr>
            <w:rStyle w:val="Hyperlink"/>
          </w:rPr>
          <w:t xml:space="preserve">https://doi.org/10.1007/s13280-017-0987-9</w:t>
        </w:r>
      </w:hyperlink>
    </w:p>
    <w:bookmarkEnd w:id="147"/>
    <w:bookmarkStart w:id="149"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48">
        <w:r>
          <w:rPr>
            <w:rStyle w:val="Hyperlink"/>
          </w:rPr>
          <w:t xml:space="preserve">https://doi.org/10.1016/j.scitotenv.2020.143453</w:t>
        </w:r>
      </w:hyperlink>
    </w:p>
    <w:bookmarkEnd w:id="149"/>
    <w:bookmarkStart w:id="151"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50">
        <w:r>
          <w:rPr>
            <w:rStyle w:val="Hyperlink"/>
          </w:rPr>
          <w:t xml:space="preserve">https://doi.org/10.1016/j.agee.2020.107270</w:t>
        </w:r>
      </w:hyperlink>
    </w:p>
    <w:bookmarkEnd w:id="151"/>
    <w:bookmarkStart w:id="153"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52">
        <w:r>
          <w:rPr>
            <w:rStyle w:val="Hyperlink"/>
          </w:rPr>
          <w:t xml:space="preserve">https://doi.org/10.1071/S96047</w:t>
        </w:r>
      </w:hyperlink>
    </w:p>
    <w:bookmarkEnd w:id="153"/>
    <w:bookmarkStart w:id="155"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54">
        <w:r>
          <w:rPr>
            <w:rStyle w:val="Hyperlink"/>
          </w:rPr>
          <w:t xml:space="preserve">https://doi.org/10.1100/tsw.2001.272</w:t>
        </w:r>
      </w:hyperlink>
    </w:p>
    <w:bookmarkEnd w:id="155"/>
    <w:bookmarkStart w:id="157"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56">
        <w:r>
          <w:rPr>
            <w:rStyle w:val="Hyperlink"/>
          </w:rPr>
          <w:t xml:space="preserve">https://doi.org/10.1007/s11368-012-0498-8</w:t>
        </w:r>
      </w:hyperlink>
    </w:p>
    <w:bookmarkEnd w:id="157"/>
    <w:bookmarkStart w:id="159"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58">
        <w:r>
          <w:rPr>
            <w:rStyle w:val="Hyperlink"/>
          </w:rPr>
          <w:t xml:space="preserve">https://doi.org/10.18637/jss.v082.i13</w:t>
        </w:r>
      </w:hyperlink>
    </w:p>
    <w:bookmarkEnd w:id="159"/>
    <w:bookmarkStart w:id="161"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60">
        <w:r>
          <w:rPr>
            <w:rStyle w:val="Hyperlink"/>
          </w:rPr>
          <w:t xml:space="preserve">https://doi.org/10.21105/joss.01903</w:t>
        </w:r>
      </w:hyperlink>
    </w:p>
    <w:bookmarkEnd w:id="161"/>
    <w:bookmarkStart w:id="163"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62">
        <w:r>
          <w:rPr>
            <w:rStyle w:val="Hyperlink"/>
          </w:rPr>
          <w:t xml:space="preserve">https://doi.org/10.2134/jeq2001.302508x</w:t>
        </w:r>
      </w:hyperlink>
    </w:p>
    <w:bookmarkEnd w:id="163"/>
    <w:bookmarkStart w:id="164"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64"/>
    <w:bookmarkStart w:id="166"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65">
        <w:r>
          <w:rPr>
            <w:rStyle w:val="Hyperlink"/>
          </w:rPr>
          <w:t xml:space="preserve">https://ods.od.nih.gov/factsheets/Phosphorus-HealthProfessional/</w:t>
        </w:r>
      </w:hyperlink>
    </w:p>
    <w:bookmarkEnd w:id="166"/>
    <w:bookmarkStart w:id="167"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67"/>
    <w:bookmarkStart w:id="168"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68"/>
    <w:bookmarkStart w:id="170"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69">
        <w:r>
          <w:rPr>
            <w:rStyle w:val="Hyperlink"/>
          </w:rPr>
          <w:t xml:space="preserve">https://CRAN.R-project.org/package=nlme</w:t>
        </w:r>
      </w:hyperlink>
    </w:p>
    <w:bookmarkEnd w:id="170"/>
    <w:bookmarkStart w:id="172"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71">
        <w:r>
          <w:rPr>
            <w:rStyle w:val="Hyperlink"/>
          </w:rPr>
          <w:t xml:space="preserve">https://www.R-project.org/</w:t>
        </w:r>
      </w:hyperlink>
    </w:p>
    <w:bookmarkEnd w:id="172"/>
    <w:bookmarkStart w:id="173" w:name="ref-Rast1996Eutrophication"/>
    <w:p>
      <w:pPr>
        <w:pStyle w:val="Bibliography"/>
      </w:pPr>
      <w:r>
        <w:t xml:space="preserve">Rast, W., &amp; Thornton, J. A. (1996). A eutrophication of waters: Control and management. In G. E. Likens (Ed.),</w:t>
      </w:r>
      <w:r>
        <w:t xml:space="preserve"> </w:t>
      </w:r>
      <w:r>
        <w:rPr>
          <w:i/>
          <w:iCs/>
        </w:rPr>
        <w:t xml:space="preserve">Limnology and oceanography</w:t>
      </w:r>
      <w:r>
        <w:t xml:space="preserve"> </w:t>
      </w:r>
      <w:r>
        <w:t xml:space="preserve">(pp. 253–289). Chapman &amp; Hall.</w:t>
      </w:r>
    </w:p>
    <w:bookmarkEnd w:id="173"/>
    <w:bookmarkStart w:id="175"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74">
        <w:r>
          <w:rPr>
            <w:rStyle w:val="Hyperlink"/>
          </w:rPr>
          <w:t xml:space="preserve">https://doi.org/10.1007/s10705-015-9726-1</w:t>
        </w:r>
      </w:hyperlink>
    </w:p>
    <w:bookmarkEnd w:id="175"/>
    <w:bookmarkStart w:id="177"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76">
        <w:r>
          <w:rPr>
            <w:rStyle w:val="Hyperlink"/>
          </w:rPr>
          <w:t xml:space="preserve">https://doi.org/10.1051/agro:2002018</w:t>
        </w:r>
      </w:hyperlink>
    </w:p>
    <w:bookmarkEnd w:id="177"/>
    <w:bookmarkStart w:id="178"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78"/>
    <w:bookmarkStart w:id="179" w:name="ref-Schofield1955Potassium"/>
    <w:p>
      <w:pPr>
        <w:pStyle w:val="Bibliography"/>
      </w:pPr>
      <w:r>
        <w:t xml:space="preserve">Schofield, R. K. (1955). Can a precise meaning be given to ’available’ soil phosphorus?</w:t>
      </w:r>
      <w:r>
        <w:t xml:space="preserve"> </w:t>
      </w:r>
      <w:r>
        <w:rPr>
          <w:i/>
          <w:iCs/>
        </w:rPr>
        <w:t xml:space="preserve">Soils and Fertilizers</w:t>
      </w:r>
      <w:r>
        <w:t xml:space="preserve">,</w:t>
      </w:r>
      <w:r>
        <w:t xml:space="preserve"> </w:t>
      </w:r>
      <w:r>
        <w:rPr>
          <w:i/>
          <w:iCs/>
        </w:rPr>
        <w:t xml:space="preserve">18</w:t>
      </w:r>
      <w:r>
        <w:t xml:space="preserve">, 373–375.</w:t>
      </w:r>
    </w:p>
    <w:bookmarkEnd w:id="179"/>
    <w:bookmarkStart w:id="181"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80">
        <w:r>
          <w:rPr>
            <w:rStyle w:val="Hyperlink"/>
          </w:rPr>
          <w:t xml:space="preserve">https://doi.org/10.2134/jeq2000.00472425002900010001x</w:t>
        </w:r>
      </w:hyperlink>
    </w:p>
    <w:bookmarkEnd w:id="181"/>
    <w:bookmarkStart w:id="183"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82">
        <w:r>
          <w:rPr>
            <w:rStyle w:val="Hyperlink"/>
          </w:rPr>
          <w:t xml:space="preserve">https://doi.org/10.2134/jeq2003.4210</w:t>
        </w:r>
      </w:hyperlink>
    </w:p>
    <w:bookmarkEnd w:id="183"/>
    <w:bookmarkStart w:id="185"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84">
        <w:r>
          <w:rPr>
            <w:rStyle w:val="Hyperlink"/>
          </w:rPr>
          <w:t xml:space="preserve">https://doi.org/10.2134/agronmonogr46</w:t>
        </w:r>
      </w:hyperlink>
    </w:p>
    <w:bookmarkEnd w:id="185"/>
    <w:bookmarkStart w:id="187"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86">
        <w:r>
          <w:rPr>
            <w:rStyle w:val="Hyperlink"/>
          </w:rPr>
          <w:t xml:space="preserve">https://doi.org/10.2135/cropsci1998.0011183X003800030002x</w:t>
        </w:r>
      </w:hyperlink>
    </w:p>
    <w:bookmarkEnd w:id="187"/>
    <w:bookmarkStart w:id="189"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88">
        <w:r>
          <w:rPr>
            <w:rStyle w:val="Hyperlink"/>
          </w:rPr>
          <w:t xml:space="preserve">https://doi.org/10.1016/B978-0-12-656446-4.50001-X</w:t>
        </w:r>
      </w:hyperlink>
    </w:p>
    <w:bookmarkEnd w:id="189"/>
    <w:bookmarkStart w:id="190"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90"/>
    <w:bookmarkStart w:id="191"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91"/>
    <w:bookmarkStart w:id="193"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92">
        <w:r>
          <w:rPr>
            <w:rStyle w:val="Hyperlink"/>
          </w:rPr>
          <w:t xml:space="preserve">https://doi.org/10.2134/agronj2002.2830</w:t>
        </w:r>
      </w:hyperlink>
    </w:p>
    <w:bookmarkEnd w:id="193"/>
    <w:bookmarkStart w:id="194"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94"/>
    <w:bookmarkStart w:id="195"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95"/>
    <w:bookmarkEnd w:id="196"/>
    <w:bookmarkEnd w:id="197"/>
    <w:bookmarkStart w:id="199" w:name="appendix"/>
    <w:p>
      <w:pPr>
        <w:pStyle w:val="Heading1"/>
      </w:pPr>
      <w:r>
        <w:t xml:space="preserve">8. Appendix</w:t>
      </w:r>
    </w:p>
    <w:bookmarkStart w:id="198" w:name="X5a320362c19fbb9a0d497031784de26d114bb0f"/>
    <w:p>
      <w:pPr>
        <w:pStyle w:val="Heading2"/>
      </w:pPr>
      <w:r>
        <w:t xml:space="preserve">8.1 Supplementary Materials and Reproducibility</w:t>
      </w:r>
    </w:p>
    <w:p>
      <w:pPr>
        <w:pStyle w:val="FirstParagraph"/>
      </w:pPr>
      <w:r>
        <w:t xml:space="preserve">This Master’s thesis was produced using a fully reproducible workflow with the</w:t>
      </w:r>
      <w:r>
        <w:t xml:space="preserve"> </w:t>
      </w:r>
      <w:r>
        <w:rPr>
          <w:b/>
          <w:bCs/>
        </w:rPr>
        <w:t xml:space="preserve">Quarto</w:t>
      </w:r>
      <w:r>
        <w:t xml:space="preserve"> </w:t>
      </w:r>
      <w:r>
        <w:t xml:space="preserve">publishing system. All data, R scripts, and analytical notebooks used to generate the figures, tables, and results presented in this work are openly available.</w:t>
      </w:r>
    </w:p>
    <w:p>
      <w:pPr>
        <w:pStyle w:val="BodyText"/>
      </w:pPr>
      <w:r>
        <w:t xml:space="preserve">The complete project can be cloned from the author’s GitHub repository, which contains the raw data, the R code for the kinetic and statistical models, and the Quarto source files.</w:t>
      </w:r>
    </w:p>
    <w:p>
      <w:pPr>
        <w:pStyle w:val="BodyText"/>
      </w:pPr>
      <w:r>
        <w:rPr>
          <w:b/>
          <w:bCs/>
        </w:rPr>
        <w:t xml:space="preserve">GitHub Repository URL:</w:t>
      </w:r>
      <w:r>
        <w:t xml:space="preserve"> </w:t>
      </w:r>
      <w:r>
        <w:rPr>
          <w:b/>
          <w:bCs/>
        </w:rPr>
        <w:t xml:space="preserve">[https://github.com/Andrapodon/Master-Thesis-P-kinetics]</w:t>
      </w:r>
    </w:p>
    <w:p>
      <w:pPr>
        <w:pStyle w:val="BodyText"/>
      </w:pPr>
      <w:r>
        <w:t xml:space="preserve">A rendered version of the full project, including the analytical notebooks that document the development process, is also available as a GitHub Pages website at the following URL:</w:t>
      </w:r>
    </w:p>
    <w:p>
      <w:pPr>
        <w:pStyle w:val="BodyText"/>
      </w:pPr>
      <w:r>
        <w:rPr>
          <w:b/>
          <w:bCs/>
        </w:rPr>
        <w:t xml:space="preserve">GitHub Pages Site URL:</w:t>
      </w:r>
      <w:r>
        <w:t xml:space="preserve"> </w:t>
      </w:r>
      <w:r>
        <w:rPr>
          <w:b/>
          <w:bCs/>
        </w:rPr>
        <w:t xml:space="preserve">[https://andrapodon.github.io/Master-Thesis-P-kinetics/]</w:t>
      </w:r>
    </w:p>
    <w:p>
      <w:pPr>
        <w:pStyle w:val="BodyText"/>
      </w:pPr>
      <w:r>
        <w:t xml:space="preserve">This approach ensures full transparency and allows for the complete replication of the findings presented in this thesis.</w:t>
      </w:r>
    </w:p>
    <w:bookmarkEnd w:id="198"/>
    <w:bookmarkEnd w:id="1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114" Target="media/rId11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74" Target="media/rId74.png" /><Relationship Type="http://schemas.openxmlformats.org/officeDocument/2006/relationships/image" Id="rId88" Target="media/rId88.png" /><Relationship Type="http://schemas.openxmlformats.org/officeDocument/2006/relationships/image" Id="rId83" Target="media/rId83.png" /><Relationship Type="http://schemas.openxmlformats.org/officeDocument/2006/relationships/hyperlink" Id="rId31" Target="https://Andrapodon.github.io/Master-Thesis-P-kinetics/index.qmd.html" TargetMode="External" /><Relationship Type="http://schemas.openxmlformats.org/officeDocument/2006/relationships/hyperlink" Id="rId169" Target="https://CRAN.R-project.org/package=nlme" TargetMode="External" /><Relationship Type="http://schemas.openxmlformats.org/officeDocument/2006/relationships/hyperlink" Id="rId174" Target="https://doi.org/10.1007/s10705-015-9726-1" TargetMode="External" /><Relationship Type="http://schemas.openxmlformats.org/officeDocument/2006/relationships/hyperlink" Id="rId156" Target="https://doi.org/10.1007/s11368-012-0498-8" TargetMode="External" /><Relationship Type="http://schemas.openxmlformats.org/officeDocument/2006/relationships/hyperlink" Id="rId146" Target="https://doi.org/10.1007/s13280-017-0987-9" TargetMode="External" /><Relationship Type="http://schemas.openxmlformats.org/officeDocument/2006/relationships/hyperlink" Id="rId188" Target="https://doi.org/10.1016/B978-0-12-656446-4.50001-X" TargetMode="External" /><Relationship Type="http://schemas.openxmlformats.org/officeDocument/2006/relationships/hyperlink" Id="rId150" Target="https://doi.org/10.1016/j.agee.2020.107270" TargetMode="External" /><Relationship Type="http://schemas.openxmlformats.org/officeDocument/2006/relationships/hyperlink" Id="rId148" Target="https://doi.org/10.1016/j.scitotenv.2020.143453" TargetMode="External" /><Relationship Type="http://schemas.openxmlformats.org/officeDocument/2006/relationships/hyperlink" Id="rId144" Target="https://doi.org/10.1023/A:1013339317511" TargetMode="External" /><Relationship Type="http://schemas.openxmlformats.org/officeDocument/2006/relationships/hyperlink" Id="rId133" Target="https://doi.org/10.1051/agro:19910908" TargetMode="External" /><Relationship Type="http://schemas.openxmlformats.org/officeDocument/2006/relationships/hyperlink" Id="rId176" Target="https://doi.org/10.1051/agro:2002018" TargetMode="External" /><Relationship Type="http://schemas.openxmlformats.org/officeDocument/2006/relationships/hyperlink" Id="rId128" Target="https://doi.org/10.1071/CP13019" TargetMode="External" /><Relationship Type="http://schemas.openxmlformats.org/officeDocument/2006/relationships/hyperlink" Id="rId152" Target="https://doi.org/10.1071/S96047" TargetMode="External" /><Relationship Type="http://schemas.openxmlformats.org/officeDocument/2006/relationships/hyperlink" Id="rId142" Target="https://doi.org/10.1097/SS.0b013e3181f26a1d" TargetMode="External" /><Relationship Type="http://schemas.openxmlformats.org/officeDocument/2006/relationships/hyperlink" Id="rId154" Target="https://doi.org/10.1100/tsw.2001.272" TargetMode="External" /><Relationship Type="http://schemas.openxmlformats.org/officeDocument/2006/relationships/hyperlink" Id="rId124" Target="https://doi.org/10.1126/science.283.5410.2015" TargetMode="External" /><Relationship Type="http://schemas.openxmlformats.org/officeDocument/2006/relationships/hyperlink" Id="rId126" Target="https://doi.org/10.18637/jss.v067.i01" TargetMode="External" /><Relationship Type="http://schemas.openxmlformats.org/officeDocument/2006/relationships/hyperlink" Id="rId158" Target="https://doi.org/10.18637/jss.v082.i13" TargetMode="External" /><Relationship Type="http://schemas.openxmlformats.org/officeDocument/2006/relationships/hyperlink" Id="rId160" Target="https://doi.org/10.21105/joss.01903" TargetMode="External" /><Relationship Type="http://schemas.openxmlformats.org/officeDocument/2006/relationships/hyperlink" Id="rId192" Target="https://doi.org/10.2134/agronj2002.2830" TargetMode="External" /><Relationship Type="http://schemas.openxmlformats.org/officeDocument/2006/relationships/hyperlink" Id="rId184" Target="https://doi.org/10.2134/agronmonogr46" TargetMode="External" /><Relationship Type="http://schemas.openxmlformats.org/officeDocument/2006/relationships/hyperlink" Id="rId180" Target="https://doi.org/10.2134/jeq2000.00472425002900010001x" TargetMode="External" /><Relationship Type="http://schemas.openxmlformats.org/officeDocument/2006/relationships/hyperlink" Id="rId140" Target="https://doi.org/10.2134/jeq2000.00472425002900010003x" TargetMode="External" /><Relationship Type="http://schemas.openxmlformats.org/officeDocument/2006/relationships/hyperlink" Id="rId162" Target="https://doi.org/10.2134/jeq2001.302508x" TargetMode="External" /><Relationship Type="http://schemas.openxmlformats.org/officeDocument/2006/relationships/hyperlink" Id="rId182" Target="https://doi.org/10.2134/jeq2003.4210" TargetMode="External" /><Relationship Type="http://schemas.openxmlformats.org/officeDocument/2006/relationships/hyperlink" Id="rId186" Target="https://doi.org/10.2135/cropsci1998.0011183X003800030002x" TargetMode="External" /><Relationship Type="http://schemas.openxmlformats.org/officeDocument/2006/relationships/hyperlink" Id="rId136" Target="https://doi.org/10.2136/sssabookser3.2ed.c11" TargetMode="External" /><Relationship Type="http://schemas.openxmlformats.org/officeDocument/2006/relationships/hyperlink" Id="rId165" Target="https://ods.od.nih.gov/factsheets/Phosphorus-HealthProfessional/" TargetMode="External" /><Relationship Type="http://schemas.openxmlformats.org/officeDocument/2006/relationships/hyperlink" Id="rId17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1" Target="https://Andrapodon.github.io/Master-Thesis-P-kinetics/index.qmd.html" TargetMode="External" /><Relationship Type="http://schemas.openxmlformats.org/officeDocument/2006/relationships/hyperlink" Id="rId169" Target="https://CRAN.R-project.org/package=nlme" TargetMode="External" /><Relationship Type="http://schemas.openxmlformats.org/officeDocument/2006/relationships/hyperlink" Id="rId174" Target="https://doi.org/10.1007/s10705-015-9726-1" TargetMode="External" /><Relationship Type="http://schemas.openxmlformats.org/officeDocument/2006/relationships/hyperlink" Id="rId156" Target="https://doi.org/10.1007/s11368-012-0498-8" TargetMode="External" /><Relationship Type="http://schemas.openxmlformats.org/officeDocument/2006/relationships/hyperlink" Id="rId146" Target="https://doi.org/10.1007/s13280-017-0987-9" TargetMode="External" /><Relationship Type="http://schemas.openxmlformats.org/officeDocument/2006/relationships/hyperlink" Id="rId188" Target="https://doi.org/10.1016/B978-0-12-656446-4.50001-X" TargetMode="External" /><Relationship Type="http://schemas.openxmlformats.org/officeDocument/2006/relationships/hyperlink" Id="rId150" Target="https://doi.org/10.1016/j.agee.2020.107270" TargetMode="External" /><Relationship Type="http://schemas.openxmlformats.org/officeDocument/2006/relationships/hyperlink" Id="rId148" Target="https://doi.org/10.1016/j.scitotenv.2020.143453" TargetMode="External" /><Relationship Type="http://schemas.openxmlformats.org/officeDocument/2006/relationships/hyperlink" Id="rId144" Target="https://doi.org/10.1023/A:1013339317511" TargetMode="External" /><Relationship Type="http://schemas.openxmlformats.org/officeDocument/2006/relationships/hyperlink" Id="rId133" Target="https://doi.org/10.1051/agro:19910908" TargetMode="External" /><Relationship Type="http://schemas.openxmlformats.org/officeDocument/2006/relationships/hyperlink" Id="rId176" Target="https://doi.org/10.1051/agro:2002018" TargetMode="External" /><Relationship Type="http://schemas.openxmlformats.org/officeDocument/2006/relationships/hyperlink" Id="rId128" Target="https://doi.org/10.1071/CP13019" TargetMode="External" /><Relationship Type="http://schemas.openxmlformats.org/officeDocument/2006/relationships/hyperlink" Id="rId152" Target="https://doi.org/10.1071/S96047" TargetMode="External" /><Relationship Type="http://schemas.openxmlformats.org/officeDocument/2006/relationships/hyperlink" Id="rId142" Target="https://doi.org/10.1097/SS.0b013e3181f26a1d" TargetMode="External" /><Relationship Type="http://schemas.openxmlformats.org/officeDocument/2006/relationships/hyperlink" Id="rId154" Target="https://doi.org/10.1100/tsw.2001.272" TargetMode="External" /><Relationship Type="http://schemas.openxmlformats.org/officeDocument/2006/relationships/hyperlink" Id="rId124" Target="https://doi.org/10.1126/science.283.5410.2015" TargetMode="External" /><Relationship Type="http://schemas.openxmlformats.org/officeDocument/2006/relationships/hyperlink" Id="rId126" Target="https://doi.org/10.18637/jss.v067.i01" TargetMode="External" /><Relationship Type="http://schemas.openxmlformats.org/officeDocument/2006/relationships/hyperlink" Id="rId158" Target="https://doi.org/10.18637/jss.v082.i13" TargetMode="External" /><Relationship Type="http://schemas.openxmlformats.org/officeDocument/2006/relationships/hyperlink" Id="rId160" Target="https://doi.org/10.21105/joss.01903" TargetMode="External" /><Relationship Type="http://schemas.openxmlformats.org/officeDocument/2006/relationships/hyperlink" Id="rId192" Target="https://doi.org/10.2134/agronj2002.2830" TargetMode="External" /><Relationship Type="http://schemas.openxmlformats.org/officeDocument/2006/relationships/hyperlink" Id="rId184" Target="https://doi.org/10.2134/agronmonogr46" TargetMode="External" /><Relationship Type="http://schemas.openxmlformats.org/officeDocument/2006/relationships/hyperlink" Id="rId180" Target="https://doi.org/10.2134/jeq2000.00472425002900010001x" TargetMode="External" /><Relationship Type="http://schemas.openxmlformats.org/officeDocument/2006/relationships/hyperlink" Id="rId140" Target="https://doi.org/10.2134/jeq2000.00472425002900010003x" TargetMode="External" /><Relationship Type="http://schemas.openxmlformats.org/officeDocument/2006/relationships/hyperlink" Id="rId162" Target="https://doi.org/10.2134/jeq2001.302508x" TargetMode="External" /><Relationship Type="http://schemas.openxmlformats.org/officeDocument/2006/relationships/hyperlink" Id="rId182" Target="https://doi.org/10.2134/jeq2003.4210" TargetMode="External" /><Relationship Type="http://schemas.openxmlformats.org/officeDocument/2006/relationships/hyperlink" Id="rId186" Target="https://doi.org/10.2135/cropsci1998.0011183X003800030002x" TargetMode="External" /><Relationship Type="http://schemas.openxmlformats.org/officeDocument/2006/relationships/hyperlink" Id="rId136" Target="https://doi.org/10.2136/sssabookser3.2ed.c11" TargetMode="External" /><Relationship Type="http://schemas.openxmlformats.org/officeDocument/2006/relationships/hyperlink" Id="rId165" Target="https://ods.od.nih.gov/factsheets/Phosphorus-HealthProfessional/" TargetMode="External" /><Relationship Type="http://schemas.openxmlformats.org/officeDocument/2006/relationships/hyperlink" Id="rId1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2025-09-11T17:56:33Z</dcterms:created>
  <dcterms:modified xsi:type="dcterms:W3CDTF">2025-09-11T17:56:33Z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lof">
    <vt:lpwstr>True</vt:lpwstr>
  </property>
  <property fmtid="{D5CDD505-2E9C-101B-9397-08002B2CF9AE}" pid="18" name="lot">
    <vt:lpwstr>True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