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4" w:name="introduction"/>
    <w:p>
      <w:pPr>
        <w:pStyle w:val="Heading1"/>
      </w:pPr>
      <w:r>
        <w:t xml:space="preserve">Introduction</w:t>
      </w:r>
    </w:p>
    <w:bookmarkStart w:id="22" w:name="the-complexity-of-phosphorus"/>
    <w:p>
      <w:pPr>
        <w:pStyle w:val="Heading2"/>
      </w:pPr>
      <w:r>
        <w:t xml:space="preserve">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 The efficacy of P fertilization is often low due to these rapid and competing immobilization processes, and P lost from agricultural fields can become an environmental pollutant, disturbing P-limited aquatic ecosystems.</w:t>
      </w:r>
      <w:r>
        <w:t xml:space="preserve"> </w:t>
      </w:r>
      <w:r>
        <w:t xml:space="preserve">## From Static Measurements to Dynamic Understanding</w:t>
      </w:r>
    </w:p>
    <w:p>
      <w:pPr>
        <w:pStyle w:val="BodyText"/>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2"/>
    <w:bookmarkStart w:id="23" w:name="objectives-and-research-questions"/>
    <w:p>
      <w:pPr>
        <w:pStyle w:val="Heading2"/>
      </w:pPr>
      <w:r>
        <w:t xml:space="preserve">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p>
          <m:e>
            <m:r>
              <m:t>P</m:t>
            </m:r>
          </m:e>
          <m:sup>
            <m:r>
              <m:t>S</m:t>
            </m:r>
          </m:sup>
        </m:sSup>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3"/>
    <w:bookmarkEnd w:id="24"/>
    <w:bookmarkStart w:id="38" w:name="materials-and-methods"/>
    <w:p>
      <w:pPr>
        <w:pStyle w:val="Heading1"/>
      </w:pPr>
      <w:r>
        <w:t xml:space="preserve">Materials and Methods</w:t>
      </w:r>
    </w:p>
    <w:bookmarkStart w:id="25"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8"/>
    <w:bookmarkStart w:id="31"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29"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29"/>
    <w:bookmarkStart w:id="30"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tbl>
      <w:tblPr>
        <w:tblStyle w:val="FigureTable"/>
        <w:tblW w:type="auto" w:w="0"/>
        <w:jc w:val="center"/>
        <w:tblLook w:firstRow="0" w:lastRow="0" w:firstColumn="0" w:lastColumn="0"/>
      </w:tblPr>
      <w:tblGrid>
        <w:gridCol w:w="7920"/>
      </w:tblGrid>
      <w:tr>
        <w:tc>
          <w:tcPr/>
          <w:p>
            <w:pPr>
              <w:pStyle w:val="Compact"/>
              <w:jc w:val="center"/>
            </w:pPr>
            <w:r>
              <w:t xml:space="preserve">Flow-chart of the adapted Kinetik-experiment after Flossmann &amp; Richter.</w:t>
            </w:r>
          </w:p>
        </w:tc>
      </w:tr>
    </w:tbl>
    <w:p>
      <w:pPr>
        <w:pStyle w:val="ImageCaption"/>
      </w:pPr>
      <w:r>
        <w:t xml:space="preserve">Flow-chart of the adapted Kinetik-experiment after Flossmann &amp; Richter.</w:t>
      </w:r>
    </w:p>
    <w:bookmarkEnd w:id="30"/>
    <w:bookmarkEnd w:id="31"/>
    <w:bookmarkStart w:id="37" w:name="statistical-analysis"/>
    <w:p>
      <w:pPr>
        <w:pStyle w:val="Heading2"/>
      </w:pPr>
      <w:r>
        <w:t xml:space="preserve">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2" w:name="modeling-of-desorption-kinetics"/>
    <w:p>
      <w:pPr>
        <w:pStyle w:val="Heading3"/>
      </w:pPr>
      <w:r>
        <w:t xml:space="preserve">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b>
          <m:e>
            <m:r>
              <m:t>P</m:t>
            </m:r>
          </m:e>
          <m:sub>
            <m:r>
              <m:t>d</m:t>
            </m:r>
            <m:r>
              <m:t>e</m:t>
            </m:r>
            <m:r>
              <m:t>s</m:t>
            </m:r>
            <m:r>
              <m:t>o</m:t>
            </m:r>
            <m:r>
              <m:t>r</m:t>
            </m:r>
            <m:r>
              <m:t>b</m:t>
            </m:r>
          </m:sub>
        </m:sSub>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b>
            <m:e>
              <m:r>
                <m:t>P</m:t>
              </m:r>
            </m:e>
            <m:sub>
              <m:r>
                <m:t>d</m:t>
              </m:r>
              <m:r>
                <m:t>e</m:t>
              </m:r>
              <m:r>
                <m:t>s</m:t>
              </m:r>
              <m:r>
                <m:t>o</m:t>
              </m:r>
              <m:r>
                <m:t>r</m:t>
              </m:r>
              <m:r>
                <m:t>b</m:t>
              </m:r>
            </m:sub>
          </m:sSub>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endChr m:val=")"/>
            <m:sep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2"/>
    <w:bookmarkStart w:id="36" w:name="modeling-of-agronomic-responses"/>
    <w:p>
      <w:pPr>
        <w:pStyle w:val="Heading3"/>
      </w:pPr>
      <w:r>
        <w:t xml:space="preserve">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4" w:name="variables-used-in-the-models"/>
    <w:p>
      <w:pPr>
        <w:pStyle w:val="Heading4"/>
      </w:pPr>
      <w:r>
        <w:t xml:space="preserve">Variables Used in the Models</w:t>
      </w:r>
    </w:p>
    <w:p>
      <w:pPr>
        <w:pStyle w:val="FirstParagraph"/>
      </w:pPr>
      <w:r>
        <w:t xml:space="preserve">The response and predictor variables used in the linear mixed-effects models are defined in the table below.</w:t>
      </w:r>
    </w:p>
    <w:tbl>
      <w:tblPr>
        <w:tblStyle w:val="Table"/>
        <w:tblW w:type="pct" w:w="5000"/>
        <w:tblLayout w:type="fixed"/>
        <w:tblLook w:firstRow="0" w:lastRow="0" w:firstColumn="0" w:lastColumn="0" w:noHBand="0" w:noVBand="0" w:val="0000"/>
      </w:tblPr>
      <w:tblGrid>
        <w:gridCol w:w="7920"/>
      </w:tblGrid>
      <w:tr>
        <w:tc>
          <w:tcPr/>
          <w:bookmarkStart w:id="33" w:name="tbl-variables"/>
          <w:p>
            <w:pPr>
              <w:jc w:val="center"/>
            </w:pPr>
            <w:pPr>
              <w:jc w:val="start"/>
              <w:spacing w:before="200"/>
              <w:pStyle w:val="ImageCaption"/>
            </w:pPr>
            <w:r>
              <w:t xml:space="preserve">Table 2: Description of variables used in the agronomic models.</w:t>
            </w:r>
          </w:p>
          <w:tbl>
            <w:tblPr>
              <w:tblStyle w:val="Table"/>
              <w:tblW w:type="pct" w:w="5000"/>
              <w:tblLayout w:type="fixed"/>
              <w:tblLook w:firstRow="1" w:lastRow="0" w:firstColumn="0" w:lastColumn="0" w:noHBand="0" w:noVBand="0" w:val="0020"/>
            </w:tblPr>
            <w:tblGrid>
              <w:gridCol w:w="677"/>
              <w:gridCol w:w="1146"/>
              <w:gridCol w:w="521"/>
              <w:gridCol w:w="5575"/>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Response</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Response</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Response</w:t>
                  </w:r>
                </w:p>
              </w:tc>
              <w:tc>
                <w:tcPr/>
                <w:p>
                  <w:pPr>
                    <w:pStyle w:val="Compact"/>
                    <w:jc w:val="left"/>
                    <w:jc w:val="center"/>
                  </w:pPr>
                  <w:r>
                    <w:t xml:space="preserve">Total P removed by the harvested crop biomass over a growing season (kg P ha⁻¹).</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(kg P ha⁻¹).</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Predictor</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3"/>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4"/>
    <w:bookmarkStart w:id="35" w:name="linear-mixed-effects-model-structure"/>
    <w:p>
      <w:pPr>
        <w:pStyle w:val="Heading4"/>
      </w:pPr>
      <w:r>
        <w:t xml:space="preserve">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m:oMath>
        <m:r>
          <m:t>k</m:t>
        </m:r>
      </m:oMath>
      <w:r>
        <w:t xml:space="preserve">,</w:t>
      </w:r>
      <w:r>
        <w:t xml:space="preserve"> </w:t>
      </w:r>
      <m:oMath>
        <m:sSub>
          <m:e>
            <m:r>
              <m:t>P</m:t>
            </m:r>
          </m:e>
          <m:sub>
            <m:r>
              <m:t>d</m:t>
            </m:r>
            <m:r>
              <m:t>e</m:t>
            </m:r>
            <m:r>
              <m:t>s</m:t>
            </m:r>
            <m:r>
              <m:t>o</m:t>
            </m:r>
            <m:r>
              <m:t>r</m:t>
            </m:r>
            <m:r>
              <m:t>b</m:t>
            </m:r>
          </m:sub>
        </m:sSub>
      </m:oMath>
      <w:r>
        <w:t xml:space="preserve">,</w:t>
      </w:r>
      <w:r>
        <w:t xml:space="preserve"> </w:t>
      </w:r>
      <m:oMath>
        <m:sSub>
          <m:e>
            <m:r>
              <m:t>J</m:t>
            </m:r>
          </m:e>
          <m:sub>
            <m:r>
              <m:t>0</m:t>
            </m:r>
          </m:sub>
        </m:sSub>
      </m:oMath>
      <w:r>
        <w:t xml:space="preserve">) and the standard soil P tests (</w:t>
      </w:r>
      <m:oMath>
        <m:sSub>
          <m:e>
            <m:r>
              <m:t>P</m:t>
            </m:r>
          </m:e>
          <m:sub>
            <m:r>
              <m:t>w</m:t>
            </m:r>
          </m:sub>
        </m:sSub>
      </m:oMath>
      <w:r>
        <w:t xml:space="preserve">,</w:t>
      </w:r>
      <w:r>
        <w:t xml:space="preserve"> </w:t>
      </w:r>
      <m:oMath>
        <m:sSub>
          <m:e>
            <m:r>
              <m:t>P</m:t>
            </m:r>
          </m:e>
          <m:sub>
            <m:r>
              <m:t>A</m:t>
            </m:r>
            <m:r>
              <m:t>A</m:t>
            </m:r>
            <m:r>
              <m:t>E</m:t>
            </m:r>
            <m:r>
              <m:t>10</m:t>
            </m:r>
          </m:sub>
        </m:sSub>
      </m:oMath>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5"/>
    <w:bookmarkEnd w:id="36"/>
    <w:bookmarkEnd w:id="37"/>
    <w:bookmarkEnd w:id="38"/>
    <w:bookmarkStart w:id="52" w:name="results"/>
    <w:p>
      <w:pPr>
        <w:pStyle w:val="Heading1"/>
      </w:pPr>
      <w:r>
        <w:t xml:space="preserve">Results</w:t>
      </w:r>
    </w:p>
    <w:p>
      <w:pPr>
        <w:pStyle w:val="FirstParagraph"/>
      </w:pPr>
      <w:r>
        <w:t xml:space="preserve">The results of this study are presented in two main parts. First, the direct effects of the long-term phosphorus (P) fertilization treatments on both the agronomic outcomes and the soil P test parameters are explored visually. This descriptive analysis provides an overview of the main trends across the different experimental sites. Second, the relationships between the soil P predictors and the agronomic responses are formally evaluated using linear mixed-effects models.</w:t>
      </w:r>
    </w:p>
    <w:bookmarkStart w:id="51" w:name="X02772ecc72db01a3e1ec36b700374ec7f27fe45"/>
    <w:p>
      <w:pPr>
        <w:pStyle w:val="Heading2"/>
      </w:pPr>
      <w:r>
        <w:t xml:space="preserve">Effects of Fertilization on Agronomic and Soil Parameters</w:t>
      </w:r>
    </w:p>
    <w:p>
      <w:pPr>
        <w:pStyle w:val="FirstParagraph"/>
      </w:pPr>
      <w:r>
        <w:t xml:space="preserve">To visualize the primary effects of the long-term P fertilization treatments, the key response and predictor variables were plotted for each treatment level across all six experimental sites.</w:t>
      </w:r>
    </w:p>
    <w:bookmarkStart w:id="44" w:name="agronomic-responses-to-p-fertilization"/>
    <w:p>
      <w:pPr>
        <w:pStyle w:val="Heading3"/>
      </w:pPr>
      <w:r>
        <w:t xml:space="preserve">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The response, however, varied considerably between the different sites (Figure X.1).</w:t>
      </w:r>
    </w:p>
    <w:bookmarkStart w:id="43" w:name="cell-fig-agronomic-responses"/>
    <w:tbl>
      <w:tblPr>
        <w:tblStyle w:val="Table"/>
        <w:tblW w:type="pct" w:w="5000"/>
        <w:tblLayout w:type="fixed"/>
        <w:tblLook w:firstRow="0" w:lastRow="0" w:firstColumn="0" w:lastColumn="0" w:noHBand="0" w:noVBand="0" w:val="0000"/>
      </w:tblPr>
      <w:tblGrid>
        <w:gridCol w:w="7920"/>
      </w:tblGrid>
      <w:tr>
        <w:tc>
          <w:tcPr/>
          <w:bookmarkStart w:id="42" w:name="fig-agronomic-responses"/>
          <w:p>
            <w:pPr>
              <w:pStyle w:val="Compact"/>
              <w:jc w:val="center"/>
            </w:pPr>
            <w:r>
              <w:drawing>
                <wp:inline>
                  <wp:extent cx="4620126" cy="3696101"/>
                  <wp:effectExtent b="0" l="0" r="0" t="0"/>
                  <wp:docPr descr="" title="" id="40" name="Picture"/>
                  <a:graphic>
                    <a:graphicData uri="http://schemas.openxmlformats.org/drawingml/2006/picture">
                      <pic:pic>
                        <pic:nvPicPr>
                          <pic:cNvPr descr="index_files/figure-docx/fig-agronomic-response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Agronomic response variables across six P fertilization treatments and six experimental sites. Points represent the median of replicates for each crop and year from 2017-2022.</w:t>
            </w:r>
          </w:p>
          <w:bookmarkEnd w:id="42"/>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3"/>
    <w:p>
      <w:pPr>
        <w:pStyle w:val="BodyText"/>
      </w:pPr>
      <w:r>
        <w:rPr>
          <w:i/>
          <w:iCs/>
        </w:rPr>
        <w:t xml:space="preserve">(Placeholder for Figure X.1)</w:t>
      </w:r>
    </w:p>
    <w:p>
      <w:pPr>
        <w:pStyle w:val="BodyText"/>
      </w:pPr>
      <w:r>
        <w:rPr>
          <w:b/>
          <w:bCs/>
        </w:rPr>
        <w:t xml:space="preserve">Yield Metrics (</w:t>
      </w:r>
      <m:oMath>
        <m:sSub>
          <m:e>
            <m:r>
              <m:t>Y</m:t>
            </m:r>
          </m:e>
          <m:sub>
            <m:r>
              <m:t>n</m:t>
            </m:r>
            <m:r>
              <m:t>o</m:t>
            </m:r>
            <m:r>
              <m:t>r</m:t>
            </m:r>
            <m:r>
              <m:t>m</m:t>
            </m:r>
          </m:sub>
        </m:sSub>
      </m:oMath>
      <w:r>
        <w:rPr>
          <w:b/>
          <w:bCs/>
        </w:rPr>
        <w:t xml:space="preserve"> </w:t>
      </w:r>
      <w:r>
        <w:rPr>
          <w:b/>
          <w:bCs/>
        </w:rPr>
        <w:t xml:space="preserve">and</w:t>
      </w:r>
      <w:r>
        <w:rPr>
          <w:b/>
          <w:bCs/>
        </w:rPr>
        <w:t xml:space="preserve"> </w:t>
      </w:r>
      <m:oMath>
        <m:sSub>
          <m:e>
            <m:r>
              <m:t>Y</m:t>
            </m:r>
          </m:e>
          <m:sub>
            <m:r>
              <m:t>r</m:t>
            </m:r>
            <m:r>
              <m:t>e</m:t>
            </m:r>
            <m:r>
              <m:t>l</m:t>
            </m:r>
          </m:sub>
        </m:sSub>
      </m:oMath>
      <w:r>
        <w:rPr>
          <w:b/>
          <w:bCs/>
        </w:rPr>
        <w:t xml:space="preserve">):</w:t>
      </w:r>
      <w:r>
        <w:t xml:space="preserve"> </w:t>
      </w:r>
      <w:r>
        <w:t xml:space="preserve">Both yield metrics, now displayed as percentages, showed a generally positive response to P fertilization, especially at the lower treatment levels. The site-normalized yield (</w:t>
      </w:r>
      <m:oMath>
        <m:sSub>
          <m:e>
            <m:r>
              <m:t>Y</m:t>
            </m:r>
          </m:e>
          <m:sub>
            <m:r>
              <m:t>n</m:t>
            </m:r>
            <m:r>
              <m:t>o</m:t>
            </m:r>
            <m:r>
              <m:t>r</m:t>
            </m:r>
            <m:r>
              <m:t>m</m:t>
            </m:r>
          </m:sub>
        </m:sSub>
      </m:oMath>
      <w:r>
        <w:t xml:space="preserve">) clearly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the yields at each site compare to the national average. At some high-productivity sites, even the zero-P treatment produced yields above the national average (i.e., &gt; 100%), while at others, yields remained below average even with high fertilization.</w:t>
      </w:r>
    </w:p>
    <w:p>
      <w:pPr>
        <w:pStyle w:val="BodyText"/>
      </w:pPr>
      <w:r>
        <w:rPr>
          <w:b/>
          <w:bCs/>
        </w:rPr>
        <w:t xml:space="preserve">P Uptake (</w:t>
      </w:r>
      <m:oMath>
        <m:sSub>
          <m:e>
            <m:r>
              <m:t>P</m:t>
            </m:r>
          </m:e>
          <m:sub>
            <m:r>
              <m:t>u</m:t>
            </m:r>
            <m:r>
              <m:t>p</m:t>
            </m:r>
          </m:sub>
        </m:sSub>
      </m:oMath>
      <w:r>
        <w:rPr>
          <w:b/>
          <w:bCs/>
        </w:rPr>
        <w:t xml:space="preserve">):</w:t>
      </w:r>
      <w:r>
        <w:t xml:space="preserve"> </w:t>
      </w:r>
      <w:r>
        <w:t xml:space="preserve">Phosphorus uptake by crops followed a similar trend to yield, increasing with fertilization. However, unlike yield, P uptake often continued to increase at the highest fertilization levels. This suggests that at high P supply, plants engaged in</w:t>
      </w:r>
      <w:r>
        <w:t xml:space="preserve"> </w:t>
      </w:r>
      <w:r>
        <w:t xml:space="preserve">“luxury consumption,”</w:t>
      </w:r>
      <w:r>
        <w:t xml:space="preserve"> </w:t>
      </w:r>
      <w:r>
        <w:t xml:space="preserve">taking up more P than was required for additional biomass production.</w:t>
      </w:r>
    </w:p>
    <w:p>
      <w:pPr>
        <w:pStyle w:val="BodyText"/>
      </w:pPr>
      <w:r>
        <w:rPr>
          <w:b/>
          <w:bCs/>
        </w:rPr>
        <w:t xml:space="preserve">P Balance (</w:t>
      </w:r>
      <m:oMath>
        <m:sSub>
          <m:e>
            <m:r>
              <m:t>P</m:t>
            </m:r>
          </m:e>
          <m:sub>
            <m:r>
              <m:t>b</m:t>
            </m:r>
            <m:r>
              <m:t>a</m:t>
            </m:r>
            <m:r>
              <m:t>l</m:t>
            </m:r>
          </m:sub>
        </m:sSub>
      </m:oMath>
      <w:r>
        <w:rPr>
          <w:b/>
          <w:bCs/>
        </w:rPr>
        <w:t xml:space="preserve">):</w:t>
      </w:r>
      <w:r>
        <w:t xml:space="preserve"> </w:t>
      </w:r>
      <w:r>
        <w:t xml:space="preserve">The P balance showed a strong, linear relationship with the fertilization treatment, which is expected by definition. The Zero and Deficit treatments consistently resulted in a negative P balance, indicating that crops were mining P from soil reserves. The Norm treatment was generally close to a neutral balance, while the Elevated and Surplus treatments led to a significant P surplus, contributing to the accumulation of legacy P in the soil.</w:t>
      </w:r>
    </w:p>
    <w:bookmarkEnd w:id="44"/>
    <w:bookmarkStart w:id="50" w:name="Xa704f85f5a4647c4564745ab6ef00188b965281"/>
    <w:p>
      <w:pPr>
        <w:pStyle w:val="Heading3"/>
      </w:pPr>
      <w:r>
        <w:t xml:space="preserve">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(Figure X.2).</w:t>
      </w:r>
    </w:p>
    <w:bookmarkStart w:id="49" w:name="cell-fig-soil-parameters"/>
    <w:tbl>
      <w:tblPr>
        <w:tblStyle w:val="Table"/>
        <w:tblW w:type="pct" w:w="5000"/>
        <w:tblLayout w:type="fixed"/>
        <w:tblLook w:firstRow="0" w:lastRow="0" w:firstColumn="0" w:lastColumn="0" w:noHBand="0" w:noVBand="0" w:val="0000"/>
      </w:tblPr>
      <w:tblGrid>
        <w:gridCol w:w="7920"/>
      </w:tblGrid>
      <w:tr>
        <w:tc>
          <w:tcPr/>
          <w:bookmarkStart w:id="48" w:name="fig-soil-parameters"/>
          <w:p>
            <w:pPr>
              <w:pStyle w:val="Compact"/>
              <w:jc w:val="center"/>
            </w:pPr>
            <w:r>
              <w:drawing>
                <wp:inline>
                  <wp:extent cx="4620126" cy="3696101"/>
                  <wp:effectExtent b="0" l="0" r="0" t="0"/>
                  <wp:docPr descr="" title="" id="46" name="Picture"/>
                  <a:graphic>
                    <a:graphicData uri="http://schemas.openxmlformats.org/drawingml/2006/picture">
                      <pic:pic>
                        <pic:nvPicPr>
                          <pic:cNvPr descr="index_files/figure-docx/fig-soil-parameters-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Soil P parameters across six P fertilization treatments and six experimental sites. Points represent the mean of replicates.</w:t>
            </w:r>
          </w:p>
          <w:bookmarkEnd w:id="48"/>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9"/>
    <w:p>
      <w:pPr>
        <w:pStyle w:val="BodyText"/>
      </w:pPr>
      <w:r>
        <w:rPr>
          <w:i/>
          <w:iCs/>
        </w:rPr>
        <w:t xml:space="preserve">(Placeholder for Figure X.2)</w:t>
      </w:r>
    </w:p>
    <w:p>
      <w:pPr>
        <w:pStyle w:val="BodyText"/>
      </w:pPr>
      <w:r>
        <w:rPr>
          <w:b/>
          <w:bCs/>
        </w:rPr>
        <w:t xml:space="preserve">Standard STPs (</w:t>
      </w:r>
      <m:oMath>
        <m:sSub>
          <m:e>
            <m:r>
              <m:t>P</m:t>
            </m:r>
          </m:e>
          <m:sub>
            <m:r>
              <m:t>C</m:t>
            </m:r>
            <m:sSub>
              <m:e>
                <m:r>
                  <m:t>O</m:t>
                </m:r>
              </m:e>
              <m:sub>
                <m:r>
                  <m:t>2</m:t>
                </m:r>
              </m:sub>
            </m:sSub>
          </m:sub>
        </m:sSub>
      </m:oMath>
      <w:r>
        <w:rPr>
          <w:b/>
          <w:bCs/>
        </w:rPr>
        <w:t xml:space="preserve"> </w:t>
      </w:r>
      <w:r>
        <w:rPr>
          <w:b/>
          <w:bCs/>
        </w:rPr>
        <w:t xml:space="preserve">and</w:t>
      </w:r>
      <w:r>
        <w:rPr>
          <w:b/>
          <w:bCs/>
        </w:rPr>
        <w:t xml:space="preserve"> </w:t>
      </w:r>
      <m:oMath>
        <m:sSub>
          <m:e>
            <m:r>
              <m:t>P</m:t>
            </m:r>
          </m:e>
          <m:sub>
            <m:r>
              <m:t>A</m:t>
            </m:r>
            <m:r>
              <m:t>A</m:t>
            </m:r>
            <m:r>
              <m:t>E</m:t>
            </m:r>
            <m:r>
              <m:t>10</m:t>
            </m:r>
          </m:sub>
        </m:sSub>
      </m:oMath>
      <w:r>
        <w:rPr>
          <w:b/>
          <w:bCs/>
        </w:rPr>
        <w:t xml:space="preserve">):</w:t>
      </w:r>
      <w:r>
        <w:t xml:space="preserve"> </w:t>
      </w:r>
      <w:r>
        <w:t xml:space="preserve">Both standard soil P tests showed a clear and consistent increase with rising P fertilization levels across all sites. This confirms that both methods are sensitive to changes in the soil P status resulting from long-term management. The absolute values, however, differed significantly between sites, reflecting the influence of soil properties like clay content and pH on P retention.</w:t>
      </w:r>
    </w:p>
    <w:p>
      <w:pPr>
        <w:pStyle w:val="BodyText"/>
      </w:pPr>
      <w:r>
        <w:rPr>
          <w:b/>
          <w:bCs/>
        </w:rPr>
        <w:t xml:space="preserve">Kinetic Parameters (</w:t>
      </w:r>
      <m:oMath>
        <m:r>
          <m:t>k</m:t>
        </m:r>
      </m:oMath>
      <w:r>
        <w:rPr>
          <w:b/>
          <w:bCs/>
        </w:rPr>
        <w:t xml:space="preserve">,</w:t>
      </w:r>
      <w:r>
        <w:rPr>
          <w:b/>
          <w:bCs/>
        </w:rPr>
        <w:t xml:space="preserve"> </w:t>
      </w:r>
      <m:oMath>
        <m:sSub>
          <m:e>
            <m:r>
              <m:t>P</m:t>
            </m:r>
          </m:e>
          <m:sub>
            <m:r>
              <m:t>d</m:t>
            </m:r>
            <m:r>
              <m:t>e</m:t>
            </m:r>
            <m:r>
              <m:t>s</m:t>
            </m:r>
            <m:r>
              <m:t>o</m:t>
            </m:r>
            <m:r>
              <m:t>r</m:t>
            </m:r>
            <m:r>
              <m:t>b</m:t>
            </m:r>
          </m:sub>
        </m:sSub>
      </m:oMath>
      <w:r>
        <w:rPr>
          <w:b/>
          <w:bCs/>
        </w:rPr>
        <w:t xml:space="preserve">, and</w:t>
      </w:r>
      <w:r>
        <w:rPr>
          <w:b/>
          <w:bCs/>
        </w:rPr>
        <w:t xml:space="preserve"> </w:t>
      </w:r>
      <m:oMath>
        <m:sSub>
          <m:e>
            <m:r>
              <m:t>J</m:t>
            </m:r>
          </m:e>
          <m:sub>
            <m:r>
              <m:t>0</m:t>
            </m:r>
          </m:sub>
        </m:sSub>
      </m:oMath>
      <w:r>
        <w:rPr>
          <w:b/>
          <w:bCs/>
        </w:rPr>
        <w:t xml:space="preserve">):</w:t>
      </w:r>
      <w:r>
        <w:t xml:space="preserve"> </w:t>
      </w:r>
      <w:r>
        <w:t xml:space="preserve">*</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w:t>
      </w:r>
      <w:r>
        <w:t xml:space="preserve">This parameter, representing the size of the readily desorbable P pool, behaved very similarly to the standard STPs. It increased steadily with P fertilization, confirming its role as a</w:t>
      </w:r>
      <w:r>
        <w:t xml:space="preserve"> </w:t>
      </w:r>
      <w:r>
        <w:t xml:space="preserve">“capacity”</w:t>
      </w:r>
      <w:r>
        <w:t xml:space="preserve"> </w:t>
      </w:r>
      <w:r>
        <w:t xml:space="preserve">indicator.</w:t>
      </w:r>
      <w:r>
        <w:t xml:space="preserve"> </w:t>
      </w:r>
      <w:r>
        <w:t xml:space="preserve">*</w:t>
      </w:r>
      <w:r>
        <w:t xml:space="preserve"> </w:t>
      </w:r>
      <w:r>
        <w:rPr>
          <w:b/>
          <w:bCs/>
        </w:rPr>
        <w:t xml:space="preserve">Rate Constant (</w:t>
      </w:r>
      <m:oMath>
        <m:r>
          <m:t>k</m:t>
        </m:r>
      </m:oMath>
      <w:r>
        <w:rPr>
          <w:b/>
          <w:bCs/>
        </w:rPr>
        <w:t xml:space="preserve">):</w:t>
      </w:r>
      <w:r>
        <w:t xml:space="preserve"> </w:t>
      </w:r>
      <w:r>
        <w:t xml:space="preserve">The rate constant, representing the speed of P release, showed a more complex pattern. At most sites,</w:t>
      </w:r>
      <w:r>
        <w:t xml:space="preserve"> </w:t>
      </w:r>
      <m:oMath>
        <m:r>
          <m:t>k</m:t>
        </m:r>
      </m:oMath>
      <w:r>
        <w:t xml:space="preserve"> </w:t>
      </w:r>
      <w:r>
        <w:t xml:space="preserve">did not show a strong, consistent trend with fertilization, or in some cases, it slightly decreased at very high P levels. This suggests that while fertilization increases the</w:t>
      </w:r>
      <w:r>
        <w:t xml:space="preserve"> </w:t>
      </w:r>
      <w:r>
        <w:rPr>
          <w:i/>
          <w:iCs/>
        </w:rPr>
        <w:t xml:space="preserve">amount</w:t>
      </w:r>
      <w:r>
        <w:t xml:space="preserve"> </w:t>
      </w:r>
      <w:r>
        <w:t xml:space="preserve">of available P, it may not necessarily increase the intrinsic</w:t>
      </w:r>
      <w:r>
        <w:t xml:space="preserve"> </w:t>
      </w:r>
      <w:r>
        <w:rPr>
          <w:i/>
          <w:iCs/>
        </w:rPr>
        <w:t xml:space="preserve">release rate</w:t>
      </w:r>
      <w:r>
        <w:t xml:space="preserve"> </w:t>
      </w:r>
      <w:r>
        <w:t xml:space="preserve">from the soil matrix.</w:t>
      </w:r>
      <w:r>
        <w:t xml:space="preserve"> </w:t>
      </w:r>
      <w:r>
        <w:t xml:space="preserve">*</w:t>
      </w:r>
      <w:r>
        <w:t xml:space="preserve"> </w:t>
      </w:r>
      <w:r>
        <w:rPr>
          <w:b/>
          <w:bCs/>
        </w:rPr>
        <w:t xml:space="preserve">Initial P Flux (</w:t>
      </w:r>
      <m:oMath>
        <m:sSub>
          <m:e>
            <m:r>
              <m:t>J</m:t>
            </m:r>
          </m:e>
          <m:sub>
            <m:r>
              <m:t>0</m:t>
            </m:r>
          </m:sub>
        </m:sSub>
      </m:oMath>
      <w:r>
        <w:rPr>
          <w:b/>
          <w:bCs/>
        </w:rPr>
        <w:t xml:space="preserve">):</w:t>
      </w:r>
      <w:r>
        <w:t xml:space="preserve"> </w:t>
      </w:r>
      <w:r>
        <w:t xml:space="preserve">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the initial P flux integrates both the size of the pool and its release rate. It showed a strong positive response to fertilization, driven primarily by the increase in</w:t>
      </w:r>
      <w:r>
        <w:t xml:space="preserve"> </w:t>
      </w:r>
      <m:oMath>
        <m:sSub>
          <m:e>
            <m:r>
              <m:t>P</m:t>
            </m:r>
          </m:e>
          <m:sub>
            <m:r>
              <m:t>d</m:t>
            </m:r>
            <m:r>
              <m:t>e</m:t>
            </m:r>
            <m:r>
              <m:t>s</m:t>
            </m:r>
            <m:r>
              <m:t>o</m:t>
            </m:r>
            <m:r>
              <m:t>r</m:t>
            </m:r>
            <m:r>
              <m:t>b</m:t>
            </m:r>
          </m:sub>
        </m:sSub>
      </m:oMath>
      <w:r>
        <w:t xml:space="preserve">. This parameter effectively captures the overall P-supplying power of the soil.</w:t>
      </w:r>
    </w:p>
    <w:p>
      <w:pPr>
        <w:pStyle w:val="BodyText"/>
      </w:pPr>
      <w:r>
        <w:t xml:space="preserve">These initial observations suggest that while all P metrics are sensitive to fertilization, the kinetic parameters, particularly the rate constant</w:t>
      </w:r>
      <w:r>
        <w:t xml:space="preserve"> </w:t>
      </w:r>
      <m:oMath>
        <m:r>
          <m:t>k</m:t>
        </m:r>
      </m:oMath>
      <w:r>
        <w:t xml:space="preserve">, may provide unique information about the soil’s P dynamics that is not captured by static tests alone. The next section will use formal statistical models to test these relationships.</w:t>
      </w:r>
    </w:p>
    <w:bookmarkEnd w:id="50"/>
    <w:bookmarkEnd w:id="51"/>
    <w:bookmarkEnd w:id="52"/>
    <w:bookmarkStart w:id="53" w:name="discussion"/>
    <w:p>
      <w:pPr>
        <w:pStyle w:val="Heading1"/>
      </w:pPr>
      <w:r>
        <w:t xml:space="preserve">Discussion</w:t>
      </w:r>
    </w:p>
    <w:bookmarkEnd w:id="53"/>
    <w:bookmarkStart w:id="54" w:name="conclusion"/>
    <w:p>
      <w:pPr>
        <w:pStyle w:val="Heading1"/>
      </w:pPr>
      <w:r>
        <w:t xml:space="preserve">Conclusion</w:t>
      </w:r>
    </w:p>
    <w:bookmarkEnd w:id="54"/>
    <w:bookmarkStart w:id="55" w:name="acknowledgments"/>
    <w:p>
      <w:pPr>
        <w:pStyle w:val="Heading1"/>
      </w:pPr>
      <w:r>
        <w:t xml:space="preserve">Acknowledgments</w:t>
      </w:r>
    </w:p>
    <w:bookmarkEnd w:id="55"/>
    <w:bookmarkStart w:id="56" w:name="legal-disclosure"/>
    <w:p>
      <w:pPr>
        <w:pStyle w:val="Heading1"/>
      </w:pPr>
      <w:r>
        <w:t xml:space="preserve">Legal Disclosure</w:t>
      </w:r>
    </w:p>
    <w:bookmarkEnd w:id="56"/>
    <w:bookmarkStart w:id="60" w:name="references"/>
    <w:p>
      <w:pPr>
        <w:pStyle w:val="Heading1"/>
      </w:pPr>
      <w:r>
        <w:t xml:space="preserve">References</w:t>
      </w:r>
    </w:p>
    <w:bookmarkStart w:id="59" w:name="refs"/>
    <w:bookmarkStart w:id="58"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57">
        <w:r>
          <w:rPr>
            <w:rStyle w:val="Hyperlink"/>
          </w:rPr>
          <w:t xml:space="preserve">https://doi.org/10.1093/comjnl/27.2.97</w:t>
        </w:r>
      </w:hyperlink>
      <w:r>
        <w:t xml:space="preserve">.</w:t>
      </w:r>
    </w:p>
    <w:bookmarkEnd w:id="58"/>
    <w:bookmarkEnd w:id="59"/>
    <w:bookmarkEnd w:id="60"/>
    <w:bookmarkStart w:id="61" w:name="appendix"/>
    <w:p>
      <w:pPr>
        <w:pStyle w:val="Heading1"/>
      </w:pPr>
      <w:r>
        <w:t xml:space="preserve">Appendix</w:t>
      </w:r>
    </w:p>
    <w:bookmarkEnd w:id="61"/>
    <w:bookmarkStart w:id="62" w:name="supplements"/>
    <w:p>
      <w:pPr>
        <w:pStyle w:val="Heading1"/>
      </w:pPr>
      <w:r>
        <w:t xml:space="preserve">Supplements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Andrapodon.github.io/Master-Thesis-P-kinetics/index.qmd.html" TargetMode="External" /><Relationship Type="http://schemas.openxmlformats.org/officeDocument/2006/relationships/hyperlink" Id="rId57"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57"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2025-08-29T11:28:26Z</dcterms:created>
  <dcterms:modified xsi:type="dcterms:W3CDTF">2025-08-29T11:28:26Z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