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102.png" ContentType="image/png"/>
  <Override PartName="/word/media/rId54.png" ContentType="image/png"/>
  <Override PartName="/word/media/rId58.png" ContentType="image/png"/>
  <Override PartName="/word/media/rId41.png" ContentType="image/png"/>
  <Override PartName="/word/media/rId47.png" ContentType="image/png"/>
  <Override PartName="/word/media/rId70.png" ContentType="image/png"/>
  <Override PartName="/word/media/rId84.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Swiss cropping systems</w:t>
      </w:r>
    </w:p>
    <w:p>
      <w:pPr>
        <w:pStyle w:val="Date"/>
      </w:pPr>
      <w:r>
        <w:t xml:space="preserve">2025-09-12</w:t>
      </w:r>
    </w:p>
    <w:p>
      <w:pPr>
        <w:pStyle w:val="AbstractTitle"/>
      </w:pPr>
      <w:r>
        <w:t xml:space="preserve">Abstract</w:t>
      </w:r>
    </w:p>
    <w:p>
      <w:pPr>
        <w:pStyle w:val="Abstract"/>
      </w:pPr>
      <w:r>
        <w:t xml:space="preserve">Traditional static soil tests (STPs) for phosphorus (P) often fail to predict agronomic outcomes because they do not account for the kinetic nature of P supply to plant roots. This thesis investigated whether P desorption kinetic parameters could serve as more effective predictors. Using soils from the long-term Swiss agricultural experiment (STYCS), a sequential extraction method was refined and modeled with a non-linear approach to derive the desorbable P pool (</w:t>
      </w:r>
      <m:oMath>
        <m:sSub>
          <m:e>
            <m:r>
              <m:t>P</m:t>
            </m:r>
          </m:e>
          <m:sub>
            <m:r>
              <m:t>d</m:t>
            </m:r>
            <m:r>
              <m:t>e</m:t>
            </m:r>
            <m:r>
              <m:t>s</m:t>
            </m:r>
            <m:r>
              <m:t>o</m:t>
            </m:r>
            <m:r>
              <m:t>r</m:t>
            </m:r>
            <m:r>
              <m:t>b</m:t>
            </m:r>
          </m:sub>
        </m:sSub>
      </m:oMath>
      <w:r>
        <w:t xml:space="preserve">) and a rate constant (</w:t>
      </w:r>
      <w:r>
        <w:rPr>
          <w:i/>
          <w:iCs/>
        </w:rPr>
        <w:t xml:space="preserve">k</w:t>
      </w:r>
      <w:r>
        <w:t xml:space="preserve">). The predictive power of these kinetic parameters was compared against standard Swiss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for various agronomic outcomes using linear mixed-effects models. The results revealed a highly context-dependent performance. For predicting site-normalized yield, STPs were superior, while for national-normalized yield and P-uptake, both methods performed poorly, with their predictive signals being overshadowed by dominant pedoclimatic factors. Furthermore, the two STP methods provided largely redundant information, as their combination did not improve predictive power. The most significant finding was the exceptional success of the kinetic model in predicting the long-term P-Balance, a key indicator of nutrient stewardship. The</w:t>
      </w:r>
      <w:r>
        <w:t xml:space="preserve"> </w:t>
      </w:r>
      <m:oMath>
        <m:sSub>
          <m:e>
            <m:r>
              <m:t>P</m:t>
            </m:r>
          </m:e>
          <m:sub>
            <m:r>
              <m:t>d</m:t>
            </m:r>
            <m:r>
              <m:t>e</m:t>
            </m:r>
            <m:r>
              <m:t>s</m:t>
            </m:r>
            <m:r>
              <m:t>o</m:t>
            </m:r>
            <m:r>
              <m:t>r</m:t>
            </m:r>
            <m:r>
              <m:t>b</m:t>
            </m:r>
          </m:sub>
        </m:sSub>
      </m:oMath>
      <w:r>
        <w:t xml:space="preserve"> </w:t>
      </w:r>
      <w:r>
        <w:t xml:space="preserve">parameter alone explained 57% of the variance, whereas STP models showed no predictive power. This study concludes that the ideal soil P test is purpose-dependent: while traditional STPs remain adequate for within-field fertility management, kinetic parameters are a vastly superior tool for assessing the long-term P status and sustainability of agricultural soils.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4" w:name="introduction"/>
    <w:p>
      <w:pPr>
        <w:pStyle w:val="Heading1"/>
      </w:pPr>
      <w:r>
        <w:t xml:space="preserve">1. Introduction</w:t>
      </w:r>
    </w:p>
    <w:bookmarkStart w:id="20" w:name="the-complexity-of-phosphorus"/>
    <w:p>
      <w:pPr>
        <w:pStyle w:val="Heading2"/>
      </w:pPr>
      <w:r>
        <w:t xml:space="preserve">1.1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0"/>
    <w:bookmarkStart w:id="21" w:name="X90347e8b4dc365a5eb8cb51b623f41ad652a9ff"/>
    <w:p>
      <w:pPr>
        <w:pStyle w:val="Heading2"/>
      </w:pPr>
      <w:r>
        <w:t xml:space="preserve">1.2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w:t>
      </w:r>
      <w:r>
        <w:t xml:space="preserve"> </w:t>
      </w:r>
      <w:r>
        <w:t xml:space="preserve">(Frossard et al., 2000)</w:t>
      </w:r>
      <w:r>
        <w:t xml:space="preserve">. Traditional methods used in Switzerland and the surrounding DACH region, which are standardized by organizations like the</w:t>
      </w:r>
      <w:r>
        <w:t xml:space="preserve"> </w:t>
      </w:r>
      <w:r>
        <w:rPr>
          <w:b/>
          <w:bCs/>
        </w:rPr>
        <w:t xml:space="preserve">VDLUFA</w:t>
      </w:r>
      <w:r>
        <w:t xml:space="preserve"> </w:t>
      </w:r>
      <w:r>
        <w:t xml:space="preserve">(Verband Deutscher Landwirtschaftlicher Untersuchungs- und Forschungsanstalten) and form the basis of Swiss fertilization guidelines (</w:t>
      </w:r>
      <w:r>
        <w:rPr>
          <w:b/>
          <w:bCs/>
        </w:rPr>
        <w:t xml:space="preserve">GRUD</w:t>
      </w:r>
      <w:r>
        <w:t xml:space="preserve">; Grundlagen für die Düngung), often employ a dual-method approach. This strategy is designed to assess both the P-intensity and P-capacity factors separately by using a combination of weak and strong extractants. Weak extractants, such as CO₂-saturated water, are intended to measure the readily available P in the soil solution (intensity). In contrast, stronger, often chelate-based extractants like ammonium acetate EDTA (AAE10) or calcium-acetate-lactate (CAL) are used to estimate the more tightly bound, resupply pool of phosphorus (capacity)</w:t>
      </w:r>
      <w:r>
        <w:t xml:space="preserve"> </w:t>
      </w:r>
      <w:r>
        <w:t xml:space="preserve">(Forschungsanstalt für Agrarökologie und Landbau (FAL), 1996; Verband Deutscher Landwirtschaftlicher Untersuchungs- und Forschungsanstalten (VDLUFA), 2000)</w:t>
      </w:r>
      <w:r>
        <w:t xml:space="preserve">. While this dual approach is logical, other international standards, such as the widely used Olsen-P method, rely on a single extraction to provide an index of plant-available P</w:t>
      </w:r>
      <w:r>
        <w:t xml:space="preserve"> </w:t>
      </w:r>
      <w:r>
        <w:t xml:space="preserve">(Olsen et al., 1954)</w:t>
      </w:r>
      <w:r>
        <w:t xml:space="preserve">. Although these static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Additionally, understanding the release kinetics of this legacy P is key to both improving nutrient use efficiency and protecting water ecosystems and reserves</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1"/>
    <w:bookmarkStart w:id="23" w:name="objectives-and-research-questions"/>
    <w:p>
      <w:pPr>
        <w:pStyle w:val="Heading2"/>
      </w:pPr>
      <w:r>
        <w:t xml:space="preserve">1.3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(Frossard et al., 2000; 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The experiment’s multi-decade history has established stable P equilibria across a wide and deliberately created gradient of P availability (from 0% to 167% of recommended fertilization), allowing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2" w:name="research-questions-and-hypotheses"/>
    <w:p>
      <w:pPr>
        <w:pStyle w:val="Heading3"/>
      </w:pPr>
      <w:r>
        <w:t xml:space="preserve">1.3.1 Research Questions and Hypotheses</w:t>
      </w:r>
    </w:p>
    <w:p>
      <w:pPr>
        <w:pStyle w:val="FirstParagraph"/>
      </w:pPr>
      <w:r>
        <w:t xml:space="preserve">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p>
      <w:pPr>
        <w:pStyle w:val="FirstParagraph"/>
      </w:pPr>
      <w:r>
        <w:t xml:space="preserve">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p>
      <w:pPr>
        <w:pStyle w:val="FirstParagraph"/>
      </w:pPr>
      <w:r>
        <w:t xml:space="preserve">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p>
      <w:r>
        <w:br w:type="page"/>
      </w:r>
    </w:p>
    <w:bookmarkEnd w:id="22"/>
    <w:bookmarkEnd w:id="23"/>
    <w:bookmarkEnd w:id="24"/>
    <w:bookmarkStart w:id="40" w:name="sec-materials-and-methods"/>
    <w:p>
      <w:pPr>
        <w:pStyle w:val="Heading1"/>
      </w:pPr>
      <w:r>
        <w:t xml:space="preserve">2. Materials and Methods</w:t>
      </w:r>
    </w:p>
    <w:bookmarkStart w:id="25" w:name="X2a96c2427ceb6b998508f67b3ec6e8131f2af39"/>
    <w:p>
      <w:pPr>
        <w:pStyle w:val="Heading2"/>
      </w:pPr>
      <w:r>
        <w:t xml:space="preserve">2.1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sec-experimental-sites"/>
    <w:p>
      <w:pPr>
        <w:pStyle w:val="Heading2"/>
      </w:pPr>
      <w:r>
        <w:t xml:space="preserve">2.2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lef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in the year 2022 from the topsoil layer (0-20 cm).</w:t>
      </w:r>
    </w:p>
    <w:bookmarkEnd w:id="28"/>
    <w:bookmarkStart w:id="31" w:name="sec-phosphorus-desorption-kinetics"/>
    <w:p>
      <w:pPr>
        <w:pStyle w:val="Heading2"/>
      </w:pPr>
      <w:r>
        <w:t xml:space="preserve">2.3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29" w:name="original-method-of-flossmann-and-richter"/>
    <w:p>
      <w:pPr>
        <w:pStyle w:val="Heading3"/>
      </w:pPr>
      <w:r>
        <w:t xml:space="preserve">2.3.1 Original Method of Flossmann and Richter</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29"/>
    <w:bookmarkStart w:id="30" w:name="Xbd6c1e5704c75ae9a98b5e8f17a138b0c980a04"/>
    <w:p>
      <w:pPr>
        <w:pStyle w:val="Heading3"/>
      </w:pPr>
      <w:r>
        <w:t xml:space="preserve">2.3.2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bookmarkEnd w:id="30"/>
    <w:bookmarkEnd w:id="31"/>
    <w:bookmarkStart w:id="39" w:name="sec-statistical-analysis"/>
    <w:p>
      <w:pPr>
        <w:pStyle w:val="Heading2"/>
      </w:pPr>
      <w:r>
        <w:t xml:space="preserve">2.4 Statistical Analysis</w:t>
      </w:r>
    </w:p>
    <w:bookmarkStart w:id="32" w:name="software-and-statistical-environment"/>
    <w:p>
      <w:pPr>
        <w:pStyle w:val="Heading3"/>
      </w:pPr>
      <w:r>
        <w:t xml:space="preserve">2.4.1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2"/>
    <w:bookmarkStart w:id="33" w:name="sec-modeling-of-desorption-kinetics"/>
    <w:p>
      <w:pPr>
        <w:pStyle w:val="Heading3"/>
      </w:pPr>
      <w:r>
        <w:t xml:space="preserve">2.4.2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3"/>
    <w:bookmarkStart w:id="35" w:name="X7948ef6b44c07ffe5eee7eadbac8c6481287b2f"/>
    <w:p>
      <w:pPr>
        <w:pStyle w:val="Heading3"/>
      </w:pPr>
      <w:r>
        <w:t xml:space="preserve">2.4.3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4" w:name="tbl-variables"/>
          <w:p>
            <w:pPr>
              <w:jc w:val="center"/>
            </w:pPr>
            <w:pPr>
              <w:jc w:val="lef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Variable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4"/>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5"/>
    <w:bookmarkStart w:id="38" w:name="model-assumptions-and-diagnostics"/>
    <w:p>
      <w:pPr>
        <w:pStyle w:val="Heading3"/>
      </w:pPr>
      <w:r>
        <w:t xml:space="preserve">2.4.4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m:oMath>
        <m:sSub>
          <m:e>
            <m:r>
              <m:t>P</m:t>
            </m:r>
          </m:e>
          <m:sub>
            <m:r>
              <m:t>d</m:t>
            </m:r>
            <m:r>
              <m:t>e</m:t>
            </m:r>
            <m:r>
              <m:t>s</m:t>
            </m:r>
            <m:r>
              <m:t>o</m:t>
            </m:r>
            <m:r>
              <m:t>r</m:t>
            </m:r>
            <m:r>
              <m:t>b</m:t>
            </m:r>
          </m:sub>
        </m:sSub>
      </m:oMath>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36" w:name="Xa8a482f2a6a3ad912fccf7e6dc90aeedf0c36d0"/>
    <w:p>
      <w:pPr>
        <w:pStyle w:val="Heading4"/>
      </w:pPr>
      <w:r>
        <w:t xml:space="preserve">2.4.4.1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36"/>
    <w:bookmarkStart w:id="37" w:name="comparative-models-of-agronomic-outcomes"/>
    <w:p>
      <w:pPr>
        <w:pStyle w:val="Heading4"/>
      </w:pPr>
      <w:r>
        <w:t xml:space="preserve">2.4.4.2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p>
      <w:r>
        <w:br w:type="page"/>
      </w:r>
    </w:p>
    <w:bookmarkEnd w:id="37"/>
    <w:bookmarkEnd w:id="38"/>
    <w:bookmarkEnd w:id="39"/>
    <w:bookmarkEnd w:id="40"/>
    <w:bookmarkStart w:id="100" w:name="results"/>
    <w:p>
      <w:pPr>
        <w:pStyle w:val="Heading1"/>
      </w:pPr>
      <w:r>
        <w:t xml:space="preserve">3. Results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3" w:name="X623e521be83114432db2f1c7d18ba665d67bdd5"/>
    <w:p>
      <w:pPr>
        <w:pStyle w:val="Heading2"/>
      </w:pPr>
      <w:r>
        <w:t xml:space="preserve">3.1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6" w:name="Xc5152bc0d8277c92f5b5561836317bc1f747dd2"/>
    <w:p>
      <w:pPr>
        <w:pStyle w:val="Heading3"/>
      </w:pPr>
      <w:r>
        <w:t xml:space="preserve">3.1.1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(0/0) of the coordinate system.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5" w:name="cell-fig-linearized-model"/>
    <w:tbl>
      <w:tblPr>
        <w:tblStyle w:val="Table"/>
        <w:tblW w:type="pct" w:w="5000"/>
        <w:tblLayout w:type="fixed"/>
        <w:tblLook w:firstRow="0" w:lastRow="0" w:firstColumn="0" w:lastColumn="0" w:noHBand="0" w:noVBand="0" w:val="0000"/>
      </w:tblPr>
      <w:tblGrid>
        <w:gridCol w:w="7920"/>
      </w:tblGrid>
      <w:tr>
        <w:tc>
          <w:tcPr/>
          <w:bookmarkStart w:id="44" w:name="fig-linearized-model"/>
          <w:p>
            <w:pPr>
              <w:pStyle w:val="Compact"/>
              <w:jc w:val="center"/>
            </w:pPr>
            <w:r>
              <w:drawing>
                <wp:inline>
                  <wp:extent cx="4620126" cy="4620126"/>
                  <wp:effectExtent b="0" l="0" r="0" t="0"/>
                  <wp:docPr descr="" title="" id="42" name="Picture"/>
                  <a:graphic>
                    <a:graphicData uri="http://schemas.openxmlformats.org/drawingml/2006/picture">
                      <pic:pic>
                        <pic:nvPicPr>
                          <pic:cNvPr descr="index_files/figure-docx/fig-linearized-model-1.png" id="43"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left"/>
              <w:spacing w:before="200"/>
              <w:pStyle w:val="ImageCaption"/>
            </w:pPr>
            <w:r>
              <w:t xml:space="preserve">Figure 1: Test of the linearized first-order kinetic model. The plot visually supports the statistical finding that many intercepts are not zero.</w:t>
            </w:r>
          </w:p>
          <w:bookmarkEnd w:id="44"/>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5"/>
    <w:bookmarkEnd w:id="46"/>
    <w:bookmarkStart w:id="52" w:name="Xa1f48741cc3a88a20671852547ba1fa19b477bc"/>
    <w:p>
      <w:pPr>
        <w:pStyle w:val="Heading3"/>
      </w:pPr>
      <w:r>
        <w:t xml:space="preserve">3.1.2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w:t>
      </w:r>
      <w:hyperlink w:anchor="fig-nonlinear-model">
        <w:r>
          <w:rPr>
            <w:rStyle w:val="Hyperlink"/>
          </w:rPr>
          <w:t xml:space="preserve">Figure 2</w:t>
        </w:r>
      </w:hyperlink>
      <w:r>
        <w:t xml:space="preserve">).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1" w:name="cell-fig-nonlinear-model"/>
    <w:tbl>
      <w:tblPr>
        <w:tblStyle w:val="Table"/>
        <w:tblW w:type="pct" w:w="5000"/>
        <w:tblLayout w:type="fixed"/>
        <w:tblLook w:firstRow="0" w:lastRow="0" w:firstColumn="0" w:lastColumn="0" w:noHBand="0" w:noVBand="0" w:val="0000"/>
      </w:tblPr>
      <w:tblGrid>
        <w:gridCol w:w="7920"/>
      </w:tblGrid>
      <w:tr>
        <w:tc>
          <w:tcPr/>
          <w:bookmarkStart w:id="50" w:name="fig-nonlinear-model"/>
          <w:p>
            <w:pPr>
              <w:pStyle w:val="Compact"/>
              <w:jc w:val="center"/>
            </w:pPr>
            <w:r>
              <w:drawing>
                <wp:inline>
                  <wp:extent cx="4620126" cy="5544151"/>
                  <wp:effectExtent b="0" l="0" r="0" t="0"/>
                  <wp:docPr descr="" title="" id="48" name="Picture"/>
                  <a:graphic>
                    <a:graphicData uri="http://schemas.openxmlformats.org/drawingml/2006/picture">
                      <pic:pic>
                        <pic:nvPicPr>
                          <pic:cNvPr descr="index_files/figure-docx/fig-nonlinear-model-1.png" id="49" name="Picture"/>
                          <pic:cNvPicPr>
                            <a:picLocks noChangeArrowheads="1" noChangeAspect="1"/>
                          </pic:cNvPicPr>
                        </pic:nvPicPr>
                        <pic:blipFill>
                          <a:blip r:embed="rId47"/>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left"/>
              <w:spacing w:before="200"/>
              <w:pStyle w:val="ImageCaption"/>
            </w:pPr>
            <w:r>
              <w:t xml:space="preserve">Figure 2: Non-linear first-order kinetic model fits for P desorption over time. Points represent measured data and solid lines represent the fitted model for each replicate.</w:t>
            </w:r>
          </w:p>
          <w:bookmarkEnd w:id="50"/>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1"/>
    <w:bookmarkEnd w:id="52"/>
    <w:bookmarkEnd w:id="53"/>
    <w:bookmarkStart w:id="63" w:name="X57c0e16474e0112c1b66bc31d7fcfca02c450f3"/>
    <w:p>
      <w:pPr>
        <w:pStyle w:val="Heading2"/>
      </w:pPr>
      <w:r>
        <w:t xml:space="preserve">3.2 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2"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7" w:name="fig-iek-comparison-1"/>
                <w:p>
                  <w:pPr>
                    <w:pStyle w:val="Compact"/>
                    <w:jc w:val="center"/>
                    <w:jc w:val="left"/>
                  </w:pPr>
                  <w:r>
                    <w:drawing>
                      <wp:inline>
                        <wp:extent cx="2971800" cy="2377440"/>
                        <wp:effectExtent b="0" l="0" r="0" t="0"/>
                        <wp:docPr descr="" title="" id="55" name="Picture"/>
                        <a:graphic>
                          <a:graphicData uri="http://schemas.openxmlformats.org/drawingml/2006/picture">
                            <pic:pic>
                              <pic:nvPicPr>
                                <pic:cNvPr descr="index_files/figure-docx/fig-iek-comparison-1.png" id="56" name="Picture"/>
                                <pic:cNvPicPr>
                                  <a:picLocks noChangeArrowheads="1" noChangeAspect="1"/>
                                </pic:cNvPicPr>
                              </pic:nvPicPr>
                              <pic:blipFill>
                                <a:blip r:embed="rId5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57"/>
              </w:tc>
            </w:tr>
          </w:tbl>
          <w:p/>
        </w:tc>
        <w:tc>
          <w:tcPr/>
          <w:tbl>
            <w:tblPr>
              <w:tblStyle w:val="Table"/>
              <w:tblW w:type="pct" w:w="4900"/>
              <w:tblLayout w:type="fixed"/>
              <w:tblLook w:firstRow="0" w:lastRow="0" w:firstColumn="0" w:lastColumn="0" w:noHBand="0" w:noVBand="0" w:val="0000"/>
            </w:tblPr>
            <w:tblGrid>
              <w:gridCol w:w="7761"/>
            </w:tblGrid>
            <w:tr>
              <w:tc>
                <w:tcPr/>
                <w:bookmarkStart w:id="61" w:name="fig-iek-comparison-2"/>
                <w:p>
                  <w:pPr>
                    <w:pStyle w:val="Compact"/>
                    <w:jc w:val="center"/>
                    <w:jc w:val="left"/>
                  </w:pPr>
                  <w:r>
                    <w:drawing>
                      <wp:inline>
                        <wp:extent cx="2971800" cy="2377440"/>
                        <wp:effectExtent b="0" l="0" r="0" t="0"/>
                        <wp:docPr descr="" title="" id="59" name="Picture"/>
                        <a:graphic>
                          <a:graphicData uri="http://schemas.openxmlformats.org/drawingml/2006/picture">
                            <pic:pic>
                              <pic:nvPicPr>
                                <pic:cNvPr descr="index_files/figure-docx/fig-iek-comparison-2.png" id="60" name="Picture"/>
                                <pic:cNvPicPr>
                                  <a:picLocks noChangeArrowheads="1" noChangeAspect="1"/>
                                </pic:cNvPicPr>
                              </pic:nvPicPr>
                              <pic:blipFill>
                                <a:blip r:embed="rId5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Kinetics: k vs</w:t>
                  </w:r>
                  <w:r>
                    <w:t xml:space="preserve"> </w:t>
                  </w:r>
                  <m:oMath>
                    <m:sSub>
                      <m:e>
                        <m:r>
                          <m:t>n</m:t>
                        </m:r>
                      </m:e>
                      <m:sub>
                        <m:r>
                          <m:rPr>
                            <m:nor/>
                            <m:sty m:val="p"/>
                          </m:rPr>
                          <m:t>1d</m:t>
                        </m:r>
                      </m:sub>
                    </m:sSub>
                  </m:oMath>
                </w:p>
                <w:bookmarkEnd w:id="61"/>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2"/>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w:t>
      </w:r>
      <w:hyperlink w:anchor="fig-iek-comparison">
        <w:r>
          <w:rPr>
            <w:rStyle w:val="Hyperlink"/>
          </w:rPr>
          <w:t xml:space="preserve">Figure 3</w:t>
        </w:r>
      </w:hyperlink>
      <w:r>
        <w:t xml:space="preserve">). The Spearman’s rank correlation coefficient was 0.41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w:t>
      </w:r>
      <w:hyperlink w:anchor="fig-iek-comparison">
        <w:r>
          <w:rPr>
            <w:rStyle w:val="Hyperlink"/>
          </w:rPr>
          <w:t xml:space="preserve">Figure 3</w:t>
        </w:r>
      </w:hyperlink>
      <w:r>
        <w:t xml:space="preserve">). The Spearman’s rank correlation coefficient was 0.37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w:t>
      </w:r>
      <w:r>
        <w:t xml:space="preserve"> </w:t>
      </w:r>
      <w:r>
        <w:t xml:space="preserve">(Demaria et al., 2013)</w:t>
      </w:r>
      <w:r>
        <w:t xml:space="preserve">.</w:t>
      </w:r>
    </w:p>
    <w:bookmarkEnd w:id="63"/>
    <w:bookmarkStart w:id="76" w:name="Xecaf9e4ead9471844934973fdc01e77ea889a2e"/>
    <w:p>
      <w:pPr>
        <w:pStyle w:val="Heading2"/>
      </w:pPr>
      <w:r>
        <w:t xml:space="preserve">3.3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69" w:name="X7766650a521c07025d9048e5b46ef5cbb460559"/>
    <w:p>
      <w:pPr>
        <w:pStyle w:val="Heading3"/>
      </w:pPr>
      <w:r>
        <w:t xml:space="preserve">3.3.1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68" w:name="cell-fig-agronomic-responses"/>
    <w:tbl>
      <w:tblPr>
        <w:tblStyle w:val="Table"/>
        <w:tblW w:type="pct" w:w="5000"/>
        <w:tblLayout w:type="fixed"/>
        <w:tblLook w:firstRow="0" w:lastRow="0" w:firstColumn="0" w:lastColumn="0" w:noHBand="0" w:noVBand="0" w:val="0000"/>
      </w:tblPr>
      <w:tblGrid>
        <w:gridCol w:w="7920"/>
      </w:tblGrid>
      <w:tr>
        <w:tc>
          <w:tcPr/>
          <w:bookmarkStart w:id="67" w:name="fig-agronomic-responses"/>
          <w:p>
            <w:pPr>
              <w:pStyle w:val="Compact"/>
              <w:jc w:val="center"/>
            </w:pPr>
            <w:r>
              <w:drawing>
                <wp:inline>
                  <wp:extent cx="4620126" cy="6468176"/>
                  <wp:effectExtent b="0" l="0" r="0" t="0"/>
                  <wp:docPr descr="" title="" id="65" name="Picture"/>
                  <a:graphic>
                    <a:graphicData uri="http://schemas.openxmlformats.org/drawingml/2006/picture">
                      <pic:pic>
                        <pic:nvPicPr>
                          <pic:cNvPr descr="index_files/figure-docx/fig-agronomic-responses-1.png" id="66" name="Picture"/>
                          <pic:cNvPicPr>
                            <a:picLocks noChangeArrowheads="1" noChangeAspect="1"/>
                          </pic:cNvPicPr>
                        </pic:nvPicPr>
                        <pic:blipFill>
                          <a:blip r:embed="rId6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left"/>
              <w:spacing w:before="200"/>
              <w:pStyle w:val="ImageCaption"/>
            </w:pPr>
            <w:r>
              <w:t xml:space="preserve">Figure 4: Agronomic response variables across six P fertilization treatments and six experimental sites. Data from 2017-2022.</w:t>
            </w:r>
          </w:p>
          <w:bookmarkEnd w:id="67"/>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68"/>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69"/>
    <w:bookmarkStart w:id="75" w:name="Xf1b1c7e5b0bdd9bd952a6bec2c8d4ca508e5273"/>
    <w:p>
      <w:pPr>
        <w:pStyle w:val="Heading3"/>
      </w:pPr>
      <w:r>
        <w:t xml:space="preserve">3.3.2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4" w:name="cell-fig-soil-parameters"/>
    <w:tbl>
      <w:tblPr>
        <w:tblStyle w:val="Table"/>
        <w:tblW w:type="pct" w:w="5000"/>
        <w:tblLayout w:type="fixed"/>
        <w:tblLook w:firstRow="0" w:lastRow="0" w:firstColumn="0" w:lastColumn="0" w:noHBand="0" w:noVBand="0" w:val="0000"/>
      </w:tblPr>
      <w:tblGrid>
        <w:gridCol w:w="7920"/>
      </w:tblGrid>
      <w:tr>
        <w:tc>
          <w:tcPr/>
          <w:bookmarkStart w:id="73" w:name="fig-soil-parameters"/>
          <w:p>
            <w:pPr>
              <w:pStyle w:val="Compact"/>
              <w:jc w:val="center"/>
            </w:pPr>
            <w:r>
              <w:drawing>
                <wp:inline>
                  <wp:extent cx="4620126" cy="6468176"/>
                  <wp:effectExtent b="0" l="0" r="0" t="0"/>
                  <wp:docPr descr="" title="" id="71" name="Picture"/>
                  <a:graphic>
                    <a:graphicData uri="http://schemas.openxmlformats.org/drawingml/2006/picture">
                      <pic:pic>
                        <pic:nvPicPr>
                          <pic:cNvPr descr="index_files/figure-docx/fig-soil-parameters-1.png" id="72" name="Picture"/>
                          <pic:cNvPicPr>
                            <a:picLocks noChangeArrowheads="1" noChangeAspect="1"/>
                          </pic:cNvPicPr>
                        </pic:nvPicPr>
                        <pic:blipFill>
                          <a:blip r:embed="rId70"/>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left"/>
              <w:spacing w:before="200"/>
              <w:pStyle w:val="ImageCaption"/>
            </w:pPr>
            <w:r>
              <w:t xml:space="preserve">Figure 5: Soil P parameters across six P fertilization treatments and six experimental sites.</w:t>
            </w:r>
          </w:p>
          <w:bookmarkEnd w:id="73"/>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74"/>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w:t>
      </w:r>
      <w:r>
        <w:br/>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the static tests P-CO2 and P-AAE10 alone. The next section will use formal statistical models to test these relationships.</w:t>
      </w:r>
    </w:p>
    <w:bookmarkEnd w:id="75"/>
    <w:bookmarkEnd w:id="76"/>
    <w:bookmarkStart w:id="78" w:name="sec-p-params-soil-props"/>
    <w:p>
      <w:pPr>
        <w:pStyle w:val="Heading2"/>
      </w:pPr>
      <w:r>
        <w:t xml:space="preserve">3.4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soil-prop-models"/>
          <w:p>
            <w:pPr>
              <w:jc w:val="center"/>
            </w:pPr>
            <w:pPr>
              <w:jc w:val="left"/>
              <w:spacing w:before="200"/>
              <w:pStyle w:val="ImageCaption"/>
            </w:pPr>
            <w:r>
              <w:t xml:space="preserve">Table 3: Results of linear mixed-effects models predicting P parameters from intrinsic soil properties</w:t>
            </w:r>
            <w:r>
              <w:t xml:space="preserve"> </w:t>
            </w:r>
            <w:hyperlink w:anchor="tbl-variables">
              <w:r>
                <w:rPr>
                  <w:rStyle w:val="Hyperlink"/>
                </w:rPr>
                <w:t xml:space="preserve">Table 2</w:t>
              </w:r>
            </w:hyperlink>
            <w:r>
              <w:t xml:space="preserve">.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200"/>
              <w:gridCol w:w="1560"/>
              <w:gridCol w:w="1200"/>
              <w:gridCol w:w="1200"/>
              <w:gridCol w:w="1320"/>
              <w:gridCol w:w="1440"/>
            </w:tblGrid>
            <w:tr>
              <w:trPr>
                <w:tblHeader w:val="on"/>
              </w:trPr>
              <w:tc>
                <w:tcPr/>
                <w:p>
                  <w:pPr>
                    <w:pStyle w:val="Compact"/>
                    <w:jc w:val="left"/>
                    <w:jc w:val="center"/>
                  </w:pPr>
                  <w:r>
                    <w:t xml:space="preserve">Predictor</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21.185</w:t>
                  </w:r>
                </w:p>
              </w:tc>
              <w:tc>
                <w:tcPr/>
                <w:p>
                  <w:pPr>
                    <w:pStyle w:val="Compact"/>
                    <w:jc w:val="left"/>
                    <w:jc w:val="center"/>
                  </w:pPr>
                  <w:r>
                    <w:t xml:space="preserve">8.973</w:t>
                  </w:r>
                </w:p>
              </w:tc>
              <w:tc>
                <w:tcPr/>
                <w:p>
                  <w:pPr>
                    <w:pStyle w:val="Compact"/>
                    <w:jc w:val="left"/>
                    <w:jc w:val="center"/>
                  </w:pPr>
                  <w:r>
                    <w:t xml:space="preserve">16.581</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-8.630***</w:t>
                  </w:r>
                </w:p>
              </w:tc>
              <w:tc>
                <w:tcPr/>
                <w:p>
                  <w:pPr>
                    <w:pStyle w:val="Compact"/>
                    <w:jc w:val="left"/>
                    <w:jc w:val="center"/>
                  </w:pPr>
                  <w:r>
                    <w:t xml:space="preserve">-3.637***</w:t>
                  </w:r>
                </w:p>
              </w:tc>
              <w:tc>
                <w:tcPr/>
                <w:p>
                  <w:pPr>
                    <w:pStyle w:val="Compact"/>
                    <w:jc w:val="left"/>
                    <w:jc w:val="center"/>
                  </w:pPr>
                  <w:r>
                    <w:t xml:space="preserve">-5.881***</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-0.634***</w:t>
                  </w:r>
                </w:p>
              </w:tc>
              <w:tc>
                <w:tcPr/>
                <w:p>
                  <w:pPr>
                    <w:pStyle w:val="Compact"/>
                    <w:jc w:val="left"/>
                    <w:jc w:val="center"/>
                  </w:pPr>
                  <w:r>
                    <w:t xml:space="preserve">-0.658***</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0.026</w:t>
                  </w:r>
                </w:p>
              </w:tc>
              <w:tc>
                <w:tcPr/>
                <w:p>
                  <w:pPr>
                    <w:pStyle w:val="Compact"/>
                    <w:jc w:val="left"/>
                    <w:jc w:val="center"/>
                  </w:pPr>
                  <w:r>
                    <w:t xml:space="preserve">0.014</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0.146</w:t>
                  </w:r>
                </w:p>
              </w:tc>
              <w:tc>
                <w:tcPr/>
                <w:p>
                  <w:pPr>
                    <w:pStyle w:val="Compact"/>
                    <w:jc w:val="left"/>
                    <w:jc w:val="center"/>
                  </w:pPr>
                  <w:r>
                    <w:t xml:space="preserve">0.310</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0.180</w:t>
                  </w:r>
                </w:p>
              </w:tc>
              <w:tc>
                <w:tcPr/>
                <w:p>
                  <w:pPr>
                    <w:pStyle w:val="Compact"/>
                    <w:jc w:val="left"/>
                    <w:jc w:val="center"/>
                  </w:pPr>
                  <w:r>
                    <w:t xml:space="preserve">0.137</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0.014</w:t>
                  </w:r>
                </w:p>
              </w:tc>
              <w:tc>
                <w:tcPr/>
                <w:p>
                  <w:pPr>
                    <w:pStyle w:val="Compact"/>
                    <w:jc w:val="left"/>
                    <w:jc w:val="center"/>
                  </w:pPr>
                  <w:r>
                    <w:t xml:space="preserve">0.021</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0.369</w:t>
                  </w:r>
                </w:p>
              </w:tc>
              <w:tc>
                <w:tcPr/>
                <w:p>
                  <w:pPr>
                    <w:pStyle w:val="Compact"/>
                    <w:jc w:val="left"/>
                    <w:jc w:val="center"/>
                  </w:pPr>
                  <w:r>
                    <w:t xml:space="preserve">0.333</w:t>
                  </w:r>
                </w:p>
              </w:tc>
              <w:tc>
                <w:tcPr/>
                <w:p>
                  <w:pPr>
                    <w:pStyle w:val="Compact"/>
                    <w:jc w:val="left"/>
                    <w:jc w:val="center"/>
                  </w:pPr>
                  <w:r>
                    <w:t xml:space="preserve">0.467</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0.942</w:t>
                  </w:r>
                </w:p>
              </w:tc>
              <w:tc>
                <w:tcPr/>
                <w:p>
                  <w:pPr>
                    <w:pStyle w:val="Compact"/>
                    <w:jc w:val="left"/>
                    <w:jc w:val="center"/>
                  </w:pPr>
                  <w:r>
                    <w:t xml:space="preserve">0.975</w:t>
                  </w:r>
                </w:p>
              </w:tc>
            </w:tr>
          </w:tbl>
          <w:bookmarkEnd w:id="77"/>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t xml:space="preserve">) 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78"/>
    <w:bookmarkStart w:id="99" w:name="sec-agronomic-modeling"/>
    <w:p>
      <w:pPr>
        <w:pStyle w:val="Heading2"/>
      </w:pPr>
      <w:r>
        <w:t xml:space="preserve">3.5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m:oMath>
        <m:sSub>
          <m:e>
            <m:r>
              <m:t>P</m:t>
            </m:r>
          </m:e>
          <m:sub>
            <m:r>
              <m:t>C</m:t>
            </m:r>
            <m:sSub>
              <m:e>
                <m:r>
                  <m:t>O</m:t>
                </m:r>
              </m:e>
              <m:sub>
                <m:r>
                  <m:t>2</m:t>
                </m:r>
              </m:sub>
            </m:sSub>
          </m:sub>
        </m:sSub>
      </m:oMath>
      <w:r>
        <w:t xml:space="preserve"> </w:t>
      </w:r>
      <w:r>
        <w:t xml:space="preserve">Model: Used the standard water-soluble P test as the sole predictor.</w:t>
      </w:r>
      <w:r>
        <w:t xml:space="preserve"> </w:t>
      </w:r>
      <m:oMath>
        <m:sSub>
          <m:e>
            <m:r>
              <m:t>P</m:t>
            </m:r>
          </m:e>
          <m:sub>
            <m:r>
              <m:t>A</m:t>
            </m:r>
            <m:r>
              <m:t>A</m:t>
            </m:r>
            <m:r>
              <m:t>E</m:t>
            </m:r>
            <m:r>
              <m:t>10</m:t>
            </m:r>
          </m:sub>
        </m:sSub>
      </m:oMath>
      <w:r>
        <w:t xml:space="preserve"> </w:t>
      </w:r>
      <w:r>
        <w:t xml:space="preserve">Model: Used the standard chelate-extractable P test as the sole predictor.</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89" w:name="anomaly-in-the-cadenazzo-yield-data"/>
    <w:p>
      <w:pPr>
        <w:pStyle w:val="Heading3"/>
      </w:pPr>
      <w:r>
        <w:t xml:space="preserve">3.5.1 Anomaly in the Cadenazzo Yield Data</w:t>
      </w:r>
    </w:p>
    <w:p>
      <w:pPr>
        <w:pStyle w:val="FirstParagraph"/>
      </w:pPr>
      <w:r>
        <w:t xml:space="preserve">A preliminary visual analysis of the agronomic data revealed a significant anomaly at the Cadenazzo (CAD) site. As shown in</w:t>
      </w:r>
      <w:r>
        <w:t xml:space="preserve"> </w:t>
      </w:r>
      <w:hyperlink w:anchor="fig-yield-comparison">
        <w:r>
          <w:rPr>
            <w:rStyle w:val="Hyperlink"/>
          </w:rPr>
          <w:t xml:space="preserve">Figure 6</w:t>
        </w:r>
      </w:hyperlink>
      <w:r>
        <w:t xml:space="preserve">, the Cadenazzo site exhibited substantially higher overall yields than all other locations. More critically, the yield response to P fertilization did not follow the expected agronomic trend. The zero-fertilizer treatment (</w:t>
      </w:r>
      <w:r>
        <w:rPr>
          <w:rStyle w:val="VerbatimChar"/>
        </w:rPr>
        <w:t xml:space="preserve">P0</w:t>
      </w:r>
      <w:r>
        <w:t xml:space="preserve">) showed the highest median yield, while the surplus treatment (</w:t>
      </w:r>
      <w:r>
        <w:rPr>
          <w:rStyle w:val="VerbatimChar"/>
        </w:rPr>
        <w:t xml:space="preserve">P166</w:t>
      </w:r>
      <w:r>
        <w:t xml:space="preserve">) was among the lowest.</w:t>
      </w:r>
    </w:p>
    <w:p>
      <w:pPr>
        <w:pStyle w:val="BodyText"/>
      </w:pPr>
      <w:r>
        <w:t xml:space="preserve">A simple label swap between</w:t>
      </w:r>
      <w:r>
        <w:t xml:space="preserve"> </w:t>
      </w:r>
      <w:r>
        <w:rPr>
          <w:rStyle w:val="VerbatimChar"/>
        </w:rPr>
        <w:t xml:space="preserve">P0</w:t>
      </w:r>
      <w:r>
        <w:t xml:space="preserve"> </w:t>
      </w:r>
      <w:r>
        <w:t xml:space="preserve">and</w:t>
      </w:r>
      <w:r>
        <w:t xml:space="preserve"> </w:t>
      </w:r>
      <w:r>
        <w:rPr>
          <w:rStyle w:val="VerbatimChar"/>
        </w:rPr>
        <w:t xml:space="preserve">P166</w:t>
      </w:r>
      <w:r>
        <w:t xml:space="preserve"> </w:t>
      </w:r>
      <w:r>
        <w:t xml:space="preserve">was hypothesized and tested (</w:t>
      </w:r>
      <w:hyperlink w:anchor="fig-yield-cadenazzo-fix">
        <w:r>
          <w:rPr>
            <w:rStyle w:val="Hyperlink"/>
          </w:rPr>
          <w:t xml:space="preserve">Figure 7</w:t>
        </w:r>
      </w:hyperlink>
      <w:r>
        <w:t xml:space="preserve">). While this correction established a more monotonic trend, the resulting pattern remained questionable, with the corrected</w:t>
      </w:r>
      <w:r>
        <w:t xml:space="preserve"> </w:t>
      </w:r>
      <w:r>
        <w:rPr>
          <w:rStyle w:val="VerbatimChar"/>
        </w:rPr>
        <w:t xml:space="preserve">P166</w:t>
      </w:r>
      <w:r>
        <w:t xml:space="preserve"> </w:t>
      </w:r>
      <w:r>
        <w:t xml:space="preserve">yield being inexplicably higher than the</w:t>
      </w:r>
      <w:r>
        <w:t xml:space="preserve"> </w:t>
      </w:r>
      <w:r>
        <w:rPr>
          <w:rStyle w:val="VerbatimChar"/>
        </w:rPr>
        <w:t xml:space="preserve">P100</w:t>
      </w:r>
      <w:r>
        <w:t xml:space="preserve"> </w:t>
      </w:r>
      <w:r>
        <w:t xml:space="preserve">and</w:t>
      </w:r>
      <w:r>
        <w:t xml:space="preserve"> </w:t>
      </w:r>
      <w:r>
        <w:rPr>
          <w:rStyle w:val="VerbatimChar"/>
        </w:rPr>
        <w:t xml:space="preserve">P133</w:t>
      </w:r>
      <w:r>
        <w:t xml:space="preserve"> </w:t>
      </w:r>
      <w:r>
        <w:t xml:space="preserve">treatments, which is not a typical biological response.</w:t>
      </w:r>
    </w:p>
    <w:p>
      <w:pPr>
        <w:pStyle w:val="BodyText"/>
      </w:pPr>
      <w:r>
        <w:t xml:space="preserve">Unfortunately, a deeper investigation into the cause of this anomaly was impossible, as the corresponding soil analysis data (STPs, organic carbon, etc.) for the Cadenazzo site were unavailable due to sample loss. Without this data, it cannot be determined whether the issue stems from a persistent micro-site anomaly, a more complex data recording error, or other unknown factors. Given these unresolved inconsistencies and the site’s unusually high productivity, the Cadenazzo data was retained in the models but is recognized as a significant source of unexplained variance that likely contributed to the poor predictive performance of all models for yield-related metrics like</w:t>
      </w:r>
      <w:r>
        <w:t xml:space="preserve">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w:t>
      </w:r>
    </w:p>
    <w:bookmarkStart w:id="83" w:name="cell-fig-yield-comparison"/>
    <w:tbl>
      <w:tblPr>
        <w:tblStyle w:val="Table"/>
        <w:tblW w:type="pct" w:w="5000"/>
        <w:tblLayout w:type="fixed"/>
        <w:tblLook w:firstRow="0" w:lastRow="0" w:firstColumn="0" w:lastColumn="0" w:noHBand="0" w:noVBand="0" w:val="0000"/>
      </w:tblPr>
      <w:tblGrid>
        <w:gridCol w:w="7920"/>
      </w:tblGrid>
      <w:tr>
        <w:tc>
          <w:tcPr/>
          <w:bookmarkStart w:id="82" w:name="fig-yield-comparison"/>
          <w:p>
            <w:pPr>
              <w:pStyle w:val="Compact"/>
              <w:jc w:val="center"/>
            </w:pPr>
            <w:r>
              <w:drawing>
                <wp:inline>
                  <wp:extent cx="4620126" cy="3696101"/>
                  <wp:effectExtent b="0" l="0" r="0" t="0"/>
                  <wp:docPr descr="" title="" id="80" name="Picture"/>
                  <a:graphic>
                    <a:graphicData uri="http://schemas.openxmlformats.org/drawingml/2006/picture">
                      <pic:pic>
                        <pic:nvPicPr>
                          <pic:cNvPr descr="index_files/figure-docx/fig-yield-comparison-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6: Annual dry matter yield across P fertilization treatments, faceted by experimental site, highlighting the anomalous pattern at Cadenazzo (CAD).</w:t>
            </w:r>
          </w:p>
          <w:bookmarkEnd w:id="82"/>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83"/>
    <w:bookmarkStart w:id="88" w:name="cell-fig-yield-cadenazzo-fix"/>
    <w:tbl>
      <w:tblPr>
        <w:tblStyle w:val="Table"/>
        <w:tblW w:type="pct" w:w="5000"/>
        <w:tblLayout w:type="fixed"/>
        <w:tblLook w:firstRow="0" w:lastRow="0" w:firstColumn="0" w:lastColumn="0" w:noHBand="0" w:noVBand="0" w:val="0000"/>
      </w:tblPr>
      <w:tblGrid>
        <w:gridCol w:w="7920"/>
      </w:tblGrid>
      <w:tr>
        <w:tc>
          <w:tcPr/>
          <w:bookmarkStart w:id="87" w:name="fig-yield-cadenazzo-fix"/>
          <w:p>
            <w:pPr>
              <w:pStyle w:val="Compact"/>
              <w:jc w:val="center"/>
            </w:pPr>
            <w:r>
              <w:drawing>
                <wp:inline>
                  <wp:extent cx="4620126" cy="3696101"/>
                  <wp:effectExtent b="0" l="0" r="0" t="0"/>
                  <wp:docPr descr="" title="" id="85" name="Picture"/>
                  <a:graphic>
                    <a:graphicData uri="http://schemas.openxmlformats.org/drawingml/2006/picture">
                      <pic:pic>
                        <pic:nvPicPr>
                          <pic:cNvPr descr="index_files/figure-docx/fig-yield-cadenazzo-fix-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7: Comparison of Cadenazzo yields with original and swapped (P0 &lt;&gt; P166) treatment labels.</w:t>
            </w:r>
          </w:p>
          <w:bookmarkEnd w:id="87"/>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88"/>
    <w:bookmarkEnd w:id="89"/>
    <w:bookmarkStart w:id="91" w:name="predicting-site-normalized-yield-y_norm"/>
    <w:p>
      <w:pPr>
        <w:pStyle w:val="Heading3"/>
      </w:pPr>
      <w:r>
        <w:t xml:space="preserve">3.5.2 Predicting Site-Normalized Yield (</w:t>
      </w:r>
      <m:oMath>
        <m:sSub>
          <m:e>
            <m:r>
              <m:t>Y</m:t>
            </m:r>
          </m:e>
          <m:sub>
            <m:r>
              <m:t>n</m:t>
            </m:r>
            <m:r>
              <m:t>o</m:t>
            </m:r>
            <m:r>
              <m:t>r</m:t>
            </m:r>
            <m:r>
              <m:t>m</m:t>
            </m:r>
          </m:sub>
        </m:sSub>
      </m:oMath>
      <w:r>
        <w:t xml:space="preserve">)</w:t>
      </w:r>
    </w:p>
    <w:p>
      <w:pPr>
        <w:pStyle w:val="FirstParagraph"/>
      </w:pPr>
      <w:r>
        <w:t xml:space="preserve">The analysis reveals a clear and striking difference between the predictive power of the standard STP methods and the kinetic parameters for site-normalized yield, as seen in</w:t>
      </w:r>
      <w:r>
        <w:t xml:space="preserve"> </w:t>
      </w:r>
      <w:hyperlink w:anchor="tbl-ynorm-models">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0" w:name="tbl-ynorm-models"/>
          <w:p>
            <w:pPr>
              <w:jc w:val="center"/>
            </w:pPr>
            <w:pPr>
              <w:jc w:val="lef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56"/>
              <w:gridCol w:w="1161"/>
              <w:gridCol w:w="1267"/>
              <w:gridCol w:w="1689"/>
              <w:gridCol w:w="844"/>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1.038***</w:t>
                  </w:r>
                </w:p>
              </w:tc>
              <w:tc>
                <w:tcPr/>
                <w:p>
                  <w:pPr>
                    <w:pStyle w:val="Compact"/>
                    <w:jc w:val="left"/>
                    <w:jc w:val="center"/>
                  </w:pPr>
                  <w:r>
                    <w:t xml:space="preserve">0.463***</w:t>
                  </w:r>
                </w:p>
              </w:tc>
              <w:tc>
                <w:tcPr/>
                <w:p>
                  <w:pPr>
                    <w:pStyle w:val="Compact"/>
                    <w:jc w:val="left"/>
                    <w:jc w:val="center"/>
                  </w:pPr>
                  <w:r>
                    <w:t xml:space="preserve">0.970***</w:t>
                  </w:r>
                </w:p>
              </w:tc>
              <w:tc>
                <w:tcPr/>
                <w:p>
                  <w:pPr>
                    <w:pStyle w:val="Compact"/>
                    <w:jc w:val="left"/>
                    <w:jc w:val="center"/>
                  </w:pPr>
                  <w:r>
                    <w:t xml:space="preserve">0.993*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1.913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0.805</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0.140***</w:t>
                  </w:r>
                </w:p>
              </w:tc>
              <w:tc>
                <w:tcPr/>
                <w:p>
                  <w:pPr>
                    <w:pStyle w:val="Compact"/>
                    <w:jc w:val="left"/>
                    <w:jc w:val="center"/>
                  </w:pPr>
                  <w:r>
                    <w:t xml:space="preserve">0.020</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0.163***</w:t>
                  </w:r>
                </w:p>
              </w:tc>
              <w:tc>
                <w:tcPr/>
                <w:p>
                  <w:pPr>
                    <w:pStyle w:val="Compact"/>
                  </w:pPr>
                </w:p>
              </w:tc>
              <w:tc>
                <w:tcPr/>
                <w:p>
                  <w:pPr>
                    <w:pStyle w:val="Compact"/>
                    <w:jc w:val="left"/>
                    <w:jc w:val="center"/>
                  </w:pPr>
                  <w:r>
                    <w:t xml:space="preserve">0.095</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0.021</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0.226</w:t>
                  </w:r>
                </w:p>
              </w:tc>
              <w:tc>
                <w:tcPr/>
                <w:p>
                  <w:pPr>
                    <w:pStyle w:val="Compact"/>
                    <w:jc w:val="left"/>
                    <w:jc w:val="center"/>
                  </w:pPr>
                  <w:r>
                    <w:t xml:space="preserve">0.203</w:t>
                  </w:r>
                </w:p>
              </w:tc>
              <w:tc>
                <w:tcPr/>
                <w:p>
                  <w:pPr>
                    <w:pStyle w:val="Compact"/>
                    <w:jc w:val="left"/>
                    <w:jc w:val="center"/>
                  </w:pPr>
                  <w:r>
                    <w:t xml:space="preserve">0.224</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0.432</w:t>
                  </w:r>
                </w:p>
              </w:tc>
              <w:tc>
                <w:tcPr/>
                <w:p>
                  <w:pPr>
                    <w:pStyle w:val="Compact"/>
                    <w:jc w:val="left"/>
                    <w:jc w:val="center"/>
                  </w:pPr>
                  <w:r>
                    <w:t xml:space="preserve">0.445</w:t>
                  </w:r>
                </w:p>
              </w:tc>
              <w:tc>
                <w:tcPr/>
                <w:p>
                  <w:pPr>
                    <w:pStyle w:val="Compact"/>
                    <w:jc w:val="left"/>
                    <w:jc w:val="center"/>
                  </w:pPr>
                  <w:r>
                    <w:t xml:space="preserve">0.439</w:t>
                  </w:r>
                </w:p>
              </w:tc>
              <w:tc>
                <w:tcPr/>
                <w:p>
                  <w:pPr>
                    <w:pStyle w:val="Compact"/>
                    <w:jc w:val="left"/>
                    <w:jc w:val="center"/>
                  </w:pPr>
                  <w:r>
                    <w:t xml:space="preserve">0.321</w:t>
                  </w:r>
                </w:p>
              </w:tc>
            </w:tr>
          </w:tbl>
          <w:bookmarkEnd w:id="90"/>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for site-normalized yield showed that both the</w:t>
      </w:r>
      <w:r>
        <w:t xml:space="preserve"> </w:t>
      </w:r>
      <w:r>
        <w:rPr>
          <w:rStyle w:val="VerbatimChar"/>
        </w:rPr>
        <w:t xml:space="preserve">$P_{CO_2}$</w:t>
      </w:r>
      <w:r>
        <w:t xml:space="preserve"> </w:t>
      </w:r>
      <w:r>
        <w:t xml:space="preserve">and</w:t>
      </w:r>
      <w:r>
        <w:t xml:space="preserve"> </w:t>
      </w:r>
      <w:r>
        <w:rPr>
          <w:rStyle w:val="VerbatimChar"/>
        </w:rPr>
        <w:t xml:space="preserve">$P_{AAE10}$</w:t>
      </w:r>
      <w:r>
        <w:t xml:space="preserve"> </w:t>
      </w:r>
      <w:r>
        <w:t xml:space="preserve">models had highly significant coefficients and explained 21.8% and 19.8% of the variance, respectively. The combined STP-interaction model performed best, explaining 22% of the variance. In contrast, the kinetic model had a marginal R² of only 1.4%, and none of its parameters were statistically significant.</w:t>
      </w:r>
    </w:p>
    <w:bookmarkEnd w:id="91"/>
    <w:bookmarkStart w:id="94" w:name="Xe0b402b7183f6a3d6df8442ac2834a5544132c5"/>
    <w:p>
      <w:pPr>
        <w:pStyle w:val="Heading3"/>
      </w:pPr>
      <w:r>
        <w:t xml:space="preserve">3.5.3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92" w:name="tbl-yrel-models"/>
          <w:p>
            <w:pPr>
              <w:jc w:val="center"/>
            </w:pPr>
            <w:pPr>
              <w:jc w:val="lef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917"/>
              <w:gridCol w:w="1146"/>
              <w:gridCol w:w="1250"/>
              <w:gridCol w:w="1667"/>
              <w:gridCol w:w="937"/>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104.177***</w:t>
                  </w:r>
                </w:p>
              </w:tc>
              <w:tc>
                <w:tcPr/>
                <w:p>
                  <w:pPr>
                    <w:pStyle w:val="Compact"/>
                    <w:jc w:val="left"/>
                    <w:jc w:val="center"/>
                  </w:pPr>
                  <w:r>
                    <w:t xml:space="preserve">65.643***</w:t>
                  </w:r>
                </w:p>
              </w:tc>
              <w:tc>
                <w:tcPr/>
                <w:p>
                  <w:pPr>
                    <w:pStyle w:val="Compact"/>
                    <w:jc w:val="left"/>
                    <w:jc w:val="center"/>
                  </w:pPr>
                  <w:r>
                    <w:t xml:space="preserve">86.797***</w:t>
                  </w:r>
                </w:p>
              </w:tc>
              <w:tc>
                <w:tcPr/>
                <w:p>
                  <w:pPr>
                    <w:pStyle w:val="Compact"/>
                    <w:jc w:val="left"/>
                    <w:jc w:val="center"/>
                  </w:pPr>
                  <w:r>
                    <w:t xml:space="preserve">82.385**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294.257*</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131.381*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-18.957*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9.963***</w:t>
                  </w:r>
                </w:p>
              </w:tc>
              <w:tc>
                <w:tcPr/>
                <w:p>
                  <w:pPr>
                    <w:pStyle w:val="Compact"/>
                    <w:jc w:val="left"/>
                    <w:jc w:val="center"/>
                  </w:pPr>
                  <w:r>
                    <w:t xml:space="preserve">4.593</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8.623***</w:t>
                  </w:r>
                </w:p>
              </w:tc>
              <w:tc>
                <w:tcPr/>
                <w:p>
                  <w:pPr>
                    <w:pStyle w:val="Compact"/>
                  </w:pPr>
                </w:p>
              </w:tc>
              <w:tc>
                <w:tcPr/>
                <w:p>
                  <w:pPr>
                    <w:pStyle w:val="Compact"/>
                    <w:jc w:val="left"/>
                    <w:jc w:val="center"/>
                  </w:pPr>
                  <w:r>
                    <w:t xml:space="preserve">17.430</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-4.372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0.066</w:t>
                  </w:r>
                </w:p>
              </w:tc>
              <w:tc>
                <w:tcPr/>
                <w:p>
                  <w:pPr>
                    <w:pStyle w:val="Compact"/>
                    <w:jc w:val="left"/>
                    <w:jc w:val="center"/>
                  </w:pPr>
                  <w:r>
                    <w:t xml:space="preserve">0.092</w:t>
                  </w:r>
                </w:p>
              </w:tc>
              <w:tc>
                <w:tcPr/>
                <w:p>
                  <w:pPr>
                    <w:pStyle w:val="Compact"/>
                    <w:jc w:val="left"/>
                    <w:jc w:val="center"/>
                  </w:pPr>
                  <w:r>
                    <w:t xml:space="preserve">0.099</w:t>
                  </w:r>
                </w:p>
              </w:tc>
              <w:tc>
                <w:tcPr/>
                <w:p>
                  <w:pPr>
                    <w:pStyle w:val="Compact"/>
                    <w:jc w:val="left"/>
                    <w:jc w:val="center"/>
                  </w:pPr>
                  <w:r>
                    <w:t xml:space="preserve">0.015</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0.573</w:t>
                  </w:r>
                </w:p>
              </w:tc>
              <w:tc>
                <w:tcPr/>
                <w:p>
                  <w:pPr>
                    <w:pStyle w:val="Compact"/>
                    <w:jc w:val="left"/>
                    <w:jc w:val="center"/>
                  </w:pPr>
                  <w:r>
                    <w:t xml:space="preserve">0.576</w:t>
                  </w:r>
                </w:p>
              </w:tc>
              <w:tc>
                <w:tcPr/>
                <w:p>
                  <w:pPr>
                    <w:pStyle w:val="Compact"/>
                    <w:jc w:val="left"/>
                    <w:jc w:val="center"/>
                  </w:pPr>
                  <w:r>
                    <w:t xml:space="preserve">0.579</w:t>
                  </w:r>
                </w:p>
              </w:tc>
              <w:tc>
                <w:tcPr/>
                <w:p>
                  <w:pPr>
                    <w:pStyle w:val="Compact"/>
                    <w:jc w:val="left"/>
                    <w:jc w:val="center"/>
                  </w:pPr>
                  <w:r>
                    <w:t xml:space="preserve">0.512</w:t>
                  </w:r>
                </w:p>
              </w:tc>
            </w:tr>
          </w:tbl>
          <w:bookmarkEnd w:id="92"/>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93" w:name="performance-of-standard-stp-methods"/>
    <w:p>
      <w:pPr>
        <w:pStyle w:val="Heading4"/>
      </w:pPr>
      <w:r>
        <w:t xml:space="preserve">3.5.3.1 Performance of Standard STP Methods</w:t>
      </w:r>
    </w:p>
    <w:p>
      <w:pPr>
        <w:pStyle w:val="FirstParagraph"/>
      </w:pPr>
      <w:r>
        <w:t xml:space="preserve">The models based on standard soil tests,</w:t>
      </w:r>
      <w:r>
        <w:t xml:space="preserve"> </w:t>
      </w:r>
      <w:r>
        <w:rPr>
          <w:rStyle w:val="VerbatimChar"/>
        </w:rPr>
        <w:t xml:space="preserve">$P_{CO_2}$</w:t>
      </w:r>
      <w:r>
        <w:t xml:space="preserve"> </w:t>
      </w:r>
      <w:r>
        <w:t xml:space="preserve">and</w:t>
      </w:r>
      <w:r>
        <w:t xml:space="preserve"> </w:t>
      </w:r>
      <w:r>
        <w:rPr>
          <w:rStyle w:val="VerbatimChar"/>
        </w:rPr>
        <w:t xml:space="preserve">$P_{AAE10}$</w:t>
      </w:r>
      <w:r>
        <w:t xml:space="preserve">, were significant predictors, explaining 7.4% and 6.3% of the variance in yield, respectively. The model including their interaction term performed slightly better, explaining 7.8% of the variance. The model based on kinetic parameters demonstrated lower predictive power, with a marginal R² of 2.2%. A critical observation across all models is the large discrepancy between the marginal R² (</w:t>
      </w:r>
      <m:oMath>
        <m:sSubSup>
          <m:e>
            <m:r>
              <m:t>R</m:t>
            </m:r>
          </m:e>
          <m:sub>
            <m:r>
              <m:t>m</m:t>
            </m:r>
          </m:sub>
          <m:sup>
            <m:r>
              <m:t>2</m:t>
            </m:r>
          </m:sup>
        </m:sSubSup>
      </m:oMath>
      <w:r>
        <w:t xml:space="preserve">) and the conditional R² (</w:t>
      </w:r>
      <m:oMath>
        <m:sSubSup>
          <m:e>
            <m:r>
              <m:t>R</m:t>
            </m:r>
          </m:e>
          <m:sub>
            <m:r>
              <m:t>c</m:t>
            </m:r>
          </m:sub>
          <m:sup>
            <m:r>
              <m:t>2</m:t>
            </m:r>
          </m:sup>
        </m:sSubSup>
      </m:oMath>
      <w:r>
        <w:t xml:space="preserve">). For instance, in the best-performing STP model, the marginal R² is only 0.078, but the conditional R² is 0.596.</w:t>
      </w:r>
    </w:p>
    <w:bookmarkEnd w:id="93"/>
    <w:bookmarkEnd w:id="94"/>
    <w:bookmarkStart w:id="96" w:name="predicting-p-uptake-p_up"/>
    <w:p>
      <w:pPr>
        <w:pStyle w:val="Heading3"/>
      </w:pPr>
      <w:r>
        <w:t xml:space="preserve">3.5.4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95" w:name="tbl-pexport-models"/>
          <w:p>
            <w:pPr>
              <w:jc w:val="center"/>
            </w:pPr>
            <w:pPr>
              <w:jc w:val="lef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27.439***</w:t>
                  </w:r>
                </w:p>
              </w:tc>
              <w:tc>
                <w:tcPr/>
                <w:p>
                  <w:pPr>
                    <w:pStyle w:val="Compact"/>
                    <w:jc w:val="left"/>
                    <w:jc w:val="center"/>
                  </w:pPr>
                  <w:r>
                    <w:t xml:space="preserve">4.653</w:t>
                  </w:r>
                </w:p>
              </w:tc>
              <w:tc>
                <w:tcPr/>
                <w:p>
                  <w:pPr>
                    <w:pStyle w:val="Compact"/>
                    <w:jc w:val="left"/>
                    <w:jc w:val="center"/>
                  </w:pPr>
                  <w:r>
                    <w:t xml:space="preserve">30.629**</w:t>
                  </w:r>
                </w:p>
              </w:tc>
              <w:tc>
                <w:tcPr/>
                <w:p>
                  <w:pPr>
                    <w:pStyle w:val="Compact"/>
                    <w:jc w:val="left"/>
                    <w:jc w:val="center"/>
                  </w:pPr>
                  <w:r>
                    <w:t xml:space="preserve">38.072***</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23.502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10.549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2.608</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5.806***</w:t>
                  </w:r>
                </w:p>
              </w:tc>
              <w:tc>
                <w:tcPr/>
                <w:p>
                  <w:pPr>
                    <w:pStyle w:val="Compact"/>
                    <w:jc w:val="left"/>
                    <w:jc w:val="center"/>
                  </w:pPr>
                  <w:r>
                    <w:t xml:space="preserve">-0.810</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5.815***</w:t>
                  </w:r>
                </w:p>
              </w:tc>
              <w:tc>
                <w:tcPr/>
                <w:p>
                  <w:pPr>
                    <w:pStyle w:val="Compact"/>
                  </w:pPr>
                </w:p>
              </w:tc>
              <w:tc>
                <w:tcPr/>
                <w:p>
                  <w:pPr>
                    <w:pStyle w:val="Compact"/>
                    <w:jc w:val="left"/>
                    <w:jc w:val="center"/>
                  </w:pPr>
                  <w:r>
                    <w:t xml:space="preserve">9.821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-1.165</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0.076</w:t>
                  </w:r>
                </w:p>
              </w:tc>
              <w:tc>
                <w:tcPr/>
                <w:p>
                  <w:pPr>
                    <w:pStyle w:val="Compact"/>
                    <w:jc w:val="left"/>
                    <w:jc w:val="center"/>
                  </w:pPr>
                  <w:r>
                    <w:t xml:space="preserve">0.080</w:t>
                  </w:r>
                </w:p>
              </w:tc>
              <w:tc>
                <w:tcPr/>
                <w:p>
                  <w:pPr>
                    <w:pStyle w:val="Compact"/>
                    <w:jc w:val="left"/>
                    <w:jc w:val="center"/>
                  </w:pPr>
                  <w:r>
                    <w:t xml:space="preserve">0.077</w:t>
                  </w:r>
                </w:p>
              </w:tc>
              <w:tc>
                <w:tcPr/>
                <w:p>
                  <w:pPr>
                    <w:pStyle w:val="Compact"/>
                    <w:jc w:val="left"/>
                    <w:jc w:val="center"/>
                  </w:pPr>
                  <w:r>
                    <w:t xml:space="preserve">0.040</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0.654</w:t>
                  </w:r>
                </w:p>
              </w:tc>
              <w:tc>
                <w:tcPr/>
                <w:p>
                  <w:pPr>
                    <w:pStyle w:val="Compact"/>
                    <w:jc w:val="left"/>
                    <w:jc w:val="center"/>
                  </w:pPr>
                  <w:r>
                    <w:t xml:space="preserve">0.620</w:t>
                  </w:r>
                </w:p>
              </w:tc>
              <w:tc>
                <w:tcPr/>
                <w:p>
                  <w:pPr>
                    <w:pStyle w:val="Compact"/>
                    <w:jc w:val="left"/>
                    <w:jc w:val="center"/>
                  </w:pPr>
                  <w:r>
                    <w:t xml:space="preserve">0.649</w:t>
                  </w:r>
                </w:p>
              </w:tc>
              <w:tc>
                <w:tcPr/>
                <w:p>
                  <w:pPr>
                    <w:pStyle w:val="Compact"/>
                    <w:jc w:val="left"/>
                    <w:jc w:val="center"/>
                  </w:pPr>
                  <w:r>
                    <w:t xml:space="preserve">0.776</w:t>
                  </w:r>
                </w:p>
              </w:tc>
            </w:tr>
          </w:tbl>
          <w:bookmarkEnd w:id="95"/>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When predicting P-uptake, the individual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were significant positive predictors, explaining 6.4% and 7.3% of the variance, respectively. The interaction model did not improve the explained variance. The kinetic model performed on par with the standard individual tests, explaining 6.4% of the variance, though none of its parameters were individually significant. As with yield, a large difference between the marginal and conditional R² values was observed across all models.</w:t>
      </w:r>
    </w:p>
    <w:bookmarkEnd w:id="96"/>
    <w:bookmarkStart w:id="98" w:name="predicting-p-balance-p_bal"/>
    <w:p>
      <w:pPr>
        <w:pStyle w:val="Heading3"/>
      </w:pPr>
      <w:r>
        <w:t xml:space="preserve">3.5.5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97" w:name="tbl-pbalance-models"/>
          <w:p>
            <w:pPr>
              <w:jc w:val="center"/>
            </w:pPr>
            <w:pPr>
              <w:jc w:val="lef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2.055</w:t>
                  </w:r>
                </w:p>
              </w:tc>
              <w:tc>
                <w:tcPr/>
                <w:p>
                  <w:pPr>
                    <w:pStyle w:val="Compact"/>
                    <w:jc w:val="left"/>
                    <w:jc w:val="center"/>
                  </w:pPr>
                  <w:r>
                    <w:t xml:space="preserve">14.589</w:t>
                  </w:r>
                </w:p>
              </w:tc>
              <w:tc>
                <w:tcPr/>
                <w:p>
                  <w:pPr>
                    <w:pStyle w:val="Compact"/>
                    <w:jc w:val="left"/>
                    <w:jc w:val="center"/>
                  </w:pPr>
                  <w:r>
                    <w:t xml:space="preserve">-5.502</w:t>
                  </w:r>
                </w:p>
              </w:tc>
              <w:tc>
                <w:tcPr/>
                <w:p>
                  <w:pPr>
                    <w:pStyle w:val="Compact"/>
                    <w:jc w:val="left"/>
                    <w:jc w:val="center"/>
                  </w:pPr>
                  <w:r>
                    <w:t xml:space="preserve">59.223***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42.436</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17.933</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21.577***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-2.873</w:t>
                  </w:r>
                </w:p>
              </w:tc>
              <w:tc>
                <w:tcPr/>
                <w:p>
                  <w:pPr>
                    <w:pStyle w:val="Compact"/>
                    <w:jc w:val="left"/>
                    <w:jc w:val="center"/>
                  </w:pPr>
                  <w:r>
                    <w:t xml:space="preserve">1.981</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-4.892*</w:t>
                  </w:r>
                </w:p>
              </w:tc>
              <w:tc>
                <w:tcPr/>
                <w:p>
                  <w:pPr>
                    <w:pStyle w:val="Compact"/>
                  </w:pPr>
                </w:p>
              </w:tc>
              <w:tc>
                <w:tcPr/>
                <w:p>
                  <w:pPr>
                    <w:pStyle w:val="Compact"/>
                    <w:jc w:val="left"/>
                    <w:jc w:val="center"/>
                  </w:pPr>
                  <w:r>
                    <w:t xml:space="preserve">-10.403</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1.417</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0.014</w:t>
                  </w:r>
                </w:p>
              </w:tc>
              <w:tc>
                <w:tcPr/>
                <w:p>
                  <w:pPr>
                    <w:pStyle w:val="Compact"/>
                    <w:jc w:val="left"/>
                    <w:jc w:val="center"/>
                  </w:pPr>
                  <w:r>
                    <w:t xml:space="preserve">0.005</w:t>
                  </w:r>
                </w:p>
              </w:tc>
              <w:tc>
                <w:tcPr/>
                <w:p>
                  <w:pPr>
                    <w:pStyle w:val="Compact"/>
                    <w:jc w:val="left"/>
                    <w:jc w:val="center"/>
                  </w:pPr>
                  <w:r>
                    <w:t xml:space="preserve">0.013</w:t>
                  </w:r>
                </w:p>
              </w:tc>
              <w:tc>
                <w:tcPr/>
                <w:p>
                  <w:pPr>
                    <w:pStyle w:val="Compact"/>
                    <w:jc w:val="left"/>
                    <w:jc w:val="center"/>
                  </w:pPr>
                  <w:r>
                    <w:t xml:space="preserve">0.490</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0.842</w:t>
                  </w:r>
                </w:p>
              </w:tc>
              <w:tc>
                <w:tcPr/>
                <w:p>
                  <w:pPr>
                    <w:pStyle w:val="Compact"/>
                    <w:jc w:val="left"/>
                    <w:jc w:val="center"/>
                  </w:pPr>
                  <w:r>
                    <w:t xml:space="preserve">0.822</w:t>
                  </w:r>
                </w:p>
              </w:tc>
              <w:tc>
                <w:tcPr/>
                <w:p>
                  <w:pPr>
                    <w:pStyle w:val="Compact"/>
                    <w:jc w:val="left"/>
                    <w:jc w:val="center"/>
                  </w:pPr>
                  <w:r>
                    <w:t xml:space="preserve">0.841</w:t>
                  </w:r>
                </w:p>
              </w:tc>
              <w:tc>
                <w:tcPr/>
                <w:p>
                  <w:pPr>
                    <w:pStyle w:val="Compact"/>
                    <w:jc w:val="left"/>
                    <w:jc w:val="center"/>
                  </w:pPr>
                  <w:r>
                    <w:t xml:space="preserve">0.746</w:t>
                  </w:r>
                </w:p>
              </w:tc>
            </w:tr>
          </w:tbl>
          <w:bookmarkEnd w:id="97"/>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kinetic model emerged as a strong predictor of the P-Balance, explaining 57.2% of the variance, with the desorbable P pool (</w:t>
      </w:r>
      <m:oMath>
        <m:sSub>
          <m:e>
            <m:r>
              <m:t>P</m:t>
            </m:r>
          </m:e>
          <m:sub>
            <m:r>
              <m:t>d</m:t>
            </m:r>
            <m:r>
              <m:t>e</m:t>
            </m:r>
            <m:r>
              <m:t>s</m:t>
            </m:r>
            <m:r>
              <m:t>o</m:t>
            </m:r>
            <m:r>
              <m:t>r</m:t>
            </m:r>
            <m:r>
              <m:t>b</m:t>
            </m:r>
          </m:sub>
        </m:sSub>
      </m:oMath>
      <w:r>
        <w:t xml:space="preserve">) being a highly significant predictor. In contrast, all models based on the standard STP methods had marginal R² values of 0.1% and no significant predictors. The conditional R² for the STP models was high (around 0.81), while the kinetic model had both a high marginal R² (0.572) and a high conditional R² (0.744).</w:t>
      </w:r>
    </w:p>
    <w:p>
      <w:r>
        <w:br w:type="page"/>
      </w:r>
    </w:p>
    <w:bookmarkEnd w:id="98"/>
    <w:bookmarkEnd w:id="99"/>
    <w:bookmarkEnd w:id="100"/>
    <w:bookmarkStart w:id="110" w:name="discussion"/>
    <w:p>
      <w:pPr>
        <w:pStyle w:val="Heading1"/>
      </w:pPr>
      <w:r>
        <w:t xml:space="preserve">4. Discussion</w:t>
      </w:r>
    </w:p>
    <w:p>
      <w:pPr>
        <w:pStyle w:val="FirstParagraph"/>
      </w:pPr>
      <w:r>
        <w:t xml:space="preserve">Before addressing the individual hypotheses, it is crucial to first evaluate the overall feasibility of the experimental results and the integrity of the underlying data. A critical examination of the agronomic data revealed a significant and implausible anomaly at the Cadenazzo (CAD) site. Across multiple years, the zero-fertilizer treatment (</w:t>
      </w:r>
      <w:r>
        <w:rPr>
          <w:rStyle w:val="VerbatimChar"/>
        </w:rPr>
        <w:t xml:space="preserve">P0</w:t>
      </w:r>
      <w:r>
        <w:t xml:space="preserve">), which has not received P for nearly 40 years, consistently showed higher median yields than the optimally fertilized treatments. This contradicts fundamental agronomic principles and stands in contrast to previous findings from the same long-term experiment</w:t>
      </w:r>
      <w:r>
        <w:t xml:space="preserve"> </w:t>
      </w:r>
      <w:r>
        <w:t xml:space="preserve">(Hirte, Richner, et al., 2021)</w:t>
      </w:r>
      <w:r>
        <w:t xml:space="preserve">, suggesting a systematic issue with the data from this specific site. As the corresponding soil analysis data for Cadenazzo was unavailable, a definitive explanation for this anomaly could not be found. This unresolved issue, combined with the site’s uniquely high productivity, introduces significant unexplained variance and must be considered when interpreting the performance of the predictive models, particularly for yield-based metrics.</w:t>
      </w:r>
    </w:p>
    <w:p>
      <w:pPr>
        <w:pStyle w:val="BodyText"/>
      </w:pPr>
      <w:r>
        <w:t xml:space="preserve">A second key observation is the consistent, large discrepancy between the marginal R-squared (</w:t>
      </w:r>
      <m:oMath>
        <m:sSubSup>
          <m:e>
            <m:r>
              <m:t>R</m:t>
            </m:r>
          </m:e>
          <m:sub>
            <m:r>
              <m:t>m</m:t>
            </m:r>
          </m:sub>
          <m:sup>
            <m:r>
              <m:t>2</m:t>
            </m:r>
          </m:sup>
        </m:sSubSup>
      </m:oMath>
      <w:r>
        <w:t xml:space="preserve">) and conditional R-squared (</w:t>
      </w:r>
      <m:oMath>
        <m:sSubSup>
          <m:e>
            <m:r>
              <m:t>R</m:t>
            </m:r>
          </m:e>
          <m:sub>
            <m:r>
              <m:t>c</m:t>
            </m:r>
          </m:sub>
          <m:sup>
            <m:r>
              <m:t>2</m:t>
            </m:r>
          </m:sup>
        </m:sSubSup>
      </m:oMath>
      <w:r>
        <w:t xml:space="preserve">) values in the models for yield and P-uptake. This finding is plausible and expected, as it underscores that in P-sufficient Swiss soils, crop yield is primarily co-limited by overarching pedoclimatic factors rather than P availability alone. The Swiss fertilization guidelines (GRUD), on which the</w:t>
      </w:r>
      <w:r>
        <w:t xml:space="preserve"> </w:t>
      </w:r>
      <w:r>
        <w:rPr>
          <w:rStyle w:val="VerbatimChar"/>
        </w:rPr>
        <w:t xml:space="preserve">P100</w:t>
      </w:r>
      <w:r>
        <w:t xml:space="preserve"> </w:t>
      </w:r>
      <w:r>
        <w:t xml:space="preserve">treatment is based, were designed to ensure P is never limiting, which over decades has led to a widespread accumulation of</w:t>
      </w:r>
      <w:r>
        <w:t xml:space="preserve"> </w:t>
      </w:r>
      <w:r>
        <w:t xml:space="preserve">“legacy P”</w:t>
      </w:r>
      <w:r>
        <w:t xml:space="preserve"> </w:t>
      </w:r>
      <w:r>
        <w:t xml:space="preserve">in many agricultural soils</w:t>
      </w:r>
      <w:r>
        <w:t xml:space="preserve"> </w:t>
      </w:r>
      <w:r>
        <w:t xml:space="preserve">(Hirte et al., 2018)</w:t>
      </w:r>
      <w:r>
        <w:t xml:space="preserve">. Consequently, the</w:t>
      </w:r>
      <w:r>
        <w:t xml:space="preserve"> </w:t>
      </w:r>
      <w:r>
        <w:rPr>
          <w:rStyle w:val="VerbatimChar"/>
        </w:rPr>
        <w:t xml:space="preserve">P100</w:t>
      </w:r>
      <w:r>
        <w:t xml:space="preserve"> </w:t>
      </w:r>
      <w:r>
        <w:t xml:space="preserve">and</w:t>
      </w:r>
      <w:r>
        <w:t xml:space="preserve"> </w:t>
      </w:r>
      <w:r>
        <w:rPr>
          <w:rStyle w:val="VerbatimChar"/>
        </w:rPr>
        <w:t xml:space="preserve">P166</w:t>
      </w:r>
      <w:r>
        <w:t xml:space="preserve"> </w:t>
      </w:r>
      <w:r>
        <w:t xml:space="preserve">treatments in this study were likely operating in a P-surplus range, well above the critical threshold for a yield response. This lack of P-limitation means the experiment was not designed to effectively test the sensitivity of different soil P metrics for predicting yield, which fundamentally influences the size and significance of the effects we could detect.</w:t>
      </w:r>
    </w:p>
    <w:p>
      <w:pPr>
        <w:pStyle w:val="BodyText"/>
      </w:pPr>
      <w:r>
        <w:t xml:space="preserve">Therefore, a marginal R² of around 8% for a model predicting national-normalized yield based on a single soil P metric should not be considered low. In fact, it is arguably higher than expected, demonstrating that despite the overwhelming influence of climate and the general P-sufficiency of the soils, both static and kinetic P tests can still capture a statistically significant, albeit small, portion of the variance in crop productivity. With this context established, we can proceed to a detailed evaluation of the specific hypotheses.</w:t>
      </w:r>
    </w:p>
    <w:bookmarkStart w:id="101" w:name="X2be6dfad3d423d878672cb793cc807af4a34ac3"/>
    <w:p>
      <w:pPr>
        <w:pStyle w:val="Heading2"/>
      </w:pPr>
      <w:r>
        <w:t xml:space="preserve">4.1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w:t>
      </w:r>
      <w:r>
        <w:t xml:space="preserve"> </w:t>
      </w:r>
      <m:oMath>
        <m:sSup>
          <m:e>
            <m:r>
              <m:t>R</m:t>
            </m:r>
          </m:e>
          <m:sup>
            <m:r>
              <m:t>2</m:t>
            </m:r>
          </m:sup>
        </m:sSup>
      </m:oMath>
      <w:r>
        <w:t xml:space="preserve"> </w:t>
      </w:r>
      <w:r>
        <w:t xml:space="preserve">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01"/>
    <w:bookmarkStart w:id="107" w:name="X1b4f439ca95cf2ff1d299d4f1dc1937990b01b8"/>
    <w:p>
      <w:pPr>
        <w:pStyle w:val="Heading2"/>
      </w:pPr>
      <w:r>
        <w:t xml:space="preserve">4.2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w:t>
      </w:r>
    </w:p>
    <w:p>
      <w:pPr>
        <w:pStyle w:val="BodyText"/>
      </w:pPr>
      <w:r>
        <w:t xml:space="preserve">This statistical failure has a fundamental chemical basis. The linearized model requires an</w:t>
      </w:r>
      <w:r>
        <w:t xml:space="preserve"> </w:t>
      </w:r>
      <w:r>
        <w:rPr>
          <w:i/>
          <w:iCs/>
        </w:rPr>
        <w:t xml:space="preserve">a priori</w:t>
      </w:r>
      <w:r>
        <w:t xml:space="preserve"> </w:t>
      </w:r>
      <w:r>
        <w:t xml:space="preserve">estimate of the maximum desorbable P pool (</w:t>
      </w:r>
      <m:oMath>
        <m:sSub>
          <m:e>
            <m:r>
              <m:t>P</m:t>
            </m:r>
          </m:e>
          <m:sub>
            <m:r>
              <m:t>d</m:t>
            </m:r>
            <m:r>
              <m:t>e</m:t>
            </m:r>
            <m:r>
              <m:t>s</m:t>
            </m:r>
            <m:r>
              <m:t>o</m:t>
            </m:r>
            <m:r>
              <m:t>r</m:t>
            </m:r>
            <m:r>
              <m:t>b</m:t>
            </m:r>
          </m:sub>
        </m:sSub>
      </m:oMath>
      <w:r>
        <w:t xml:space="preserve">), which Flossmann and Richter approximated by subtracting a water-soluble P measurement from a stronger chemical extractant (e.g.,</w:t>
      </w:r>
      <w:r>
        <w:t xml:space="preserve"> </w:t>
      </w:r>
      <m:oMath>
        <m:sSub>
          <m:e>
            <m:r>
              <m:t>P</m:t>
            </m:r>
          </m:e>
          <m:sub>
            <m:r>
              <m:t>d</m:t>
            </m:r>
            <m:r>
              <m:t>e</m:t>
            </m:r>
            <m:r>
              <m:t>s</m:t>
            </m:r>
            <m:r>
              <m:t>o</m:t>
            </m:r>
            <m:r>
              <m:t>r</m:t>
            </m:r>
            <m:r>
              <m:t>b</m:t>
            </m:r>
          </m:sub>
        </m:sSub>
        <m:r>
          <m:rPr>
            <m:sty m:val="p"/>
          </m:rPr>
          <m:t>≈</m:t>
        </m:r>
        <m:sSub>
          <m:e>
            <m:r>
              <m:t>P</m:t>
            </m:r>
          </m:e>
          <m:sub>
            <m:r>
              <m:t>C</m:t>
            </m:r>
            <m:r>
              <m:t>A</m:t>
            </m:r>
            <m:r>
              <m:t>L</m:t>
            </m:r>
          </m:sub>
        </m:sSub>
        <m:r>
          <m:rPr>
            <m:sty m:val="p"/>
          </m:rPr>
          <m:t>−</m:t>
        </m:r>
        <m:sSub>
          <m:e>
            <m:r>
              <m:t>P</m:t>
            </m:r>
          </m:e>
          <m:sub>
            <m:r>
              <m:t>H</m:t>
            </m:r>
            <m:r>
              <m:t>2</m:t>
            </m:r>
            <m:r>
              <m:t>O</m:t>
            </m:r>
          </m:sub>
        </m:sSub>
      </m:oMath>
      <w:r>
        <w:t xml:space="preserve">). However, in all but the most severely depleted soils, the P value from the stronger extractant is orders of magnitude greater than that from water (</w:t>
      </w:r>
      <m:oMath>
        <m:sSub>
          <m:e>
            <m:r>
              <m:t>P</m:t>
            </m:r>
          </m:e>
          <m:sub>
            <m:r>
              <m:t>C</m:t>
            </m:r>
            <m:r>
              <m:t>A</m:t>
            </m:r>
            <m:r>
              <m:t>L</m:t>
            </m:r>
          </m:sub>
        </m:sSub>
        <m:r>
          <m:rPr>
            <m:sty m:val="p"/>
          </m:rPr>
          <m:t>&gt;</m:t>
        </m:r>
        <m:r>
          <m:rPr>
            <m:sty m:val="p"/>
          </m:rPr>
          <m:t>&gt;</m:t>
        </m:r>
        <m:sSub>
          <m:e>
            <m:r>
              <m:t>P</m:t>
            </m:r>
          </m:e>
          <m:sub>
            <m:r>
              <m:t>H</m:t>
            </m:r>
            <m:r>
              <m:t>2</m:t>
            </m:r>
            <m:r>
              <m:t>O</m:t>
            </m:r>
          </m:sub>
        </m:sSub>
      </m:oMath>
      <w:r>
        <w:t xml:space="preserve">). This leads to an estimated</w:t>
      </w:r>
      <w:r>
        <w:t xml:space="preserve"> </w:t>
      </w:r>
      <m:oMath>
        <m:sSub>
          <m:e>
            <m:r>
              <m:t>P</m:t>
            </m:r>
          </m:e>
          <m:sub>
            <m:r>
              <m:t>d</m:t>
            </m:r>
            <m:r>
              <m:t>e</m:t>
            </m:r>
            <m:r>
              <m:t>s</m:t>
            </m:r>
            <m:r>
              <m:t>o</m:t>
            </m:r>
            <m:r>
              <m:t>r</m:t>
            </m:r>
            <m:r>
              <m:t>b</m:t>
            </m:r>
          </m:sub>
        </m:sSub>
      </m:oMath>
      <w:r>
        <w:t xml:space="preserve"> </w:t>
      </w:r>
      <w:r>
        <w:t xml:space="preserve">that is vastly higher than the actual solubility limit of phosphate in the soil solution. A kinetic desorption curve in water can physically only plateau at the concentration dictated by mineral solubility; by providing the model with a theoretical maximum that is chemically unattainable, the linearization becomes mathematically invalid. This explains why the linearized approach failed and underscores the necessity of a method that does not rely on such flawed assumptions.</w:t>
      </w:r>
    </w:p>
    <w:p>
      <w:pPr>
        <w:pStyle w:val="BodyText"/>
      </w:pPr>
      <w:r>
        <w:t xml:space="preserve">In contrast, the direct application of a non-linear mixed-effects model successfully captured the curvilinear nature of P release for nearly all samples by estimating</w:t>
      </w:r>
      <w:r>
        <w:t xml:space="preserve"> </w:t>
      </w:r>
      <m:oMath>
        <m:sSub>
          <m:e>
            <m:r>
              <m:t>P</m:t>
            </m:r>
          </m:e>
          <m:sub>
            <m:r>
              <m:t>d</m:t>
            </m:r>
            <m:r>
              <m:t>e</m:t>
            </m:r>
            <m:r>
              <m:t>s</m:t>
            </m:r>
            <m:r>
              <m:t>o</m:t>
            </m:r>
            <m:r>
              <m:t>r</m:t>
            </m:r>
            <m:r>
              <m:t>b</m:t>
            </m:r>
          </m:sub>
        </m:sSub>
      </m:oMath>
      <w:r>
        <w:t xml:space="preserve"> </w:t>
      </w:r>
      <w:r>
        <w:t xml:space="preserve">directly from the kinetic data itself.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8</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w:t>
      </w:r>
      <w:r>
        <w:t xml:space="preserve"> </w:t>
      </w:r>
      <w:r>
        <w:t xml:space="preserve">(Fisher, 1925)</w:t>
      </w:r>
      <w:r>
        <w:t xml:space="preserve">.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 [</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06" w:name="cell-fig-ell-outlier-check-dual-axis"/>
    <w:tbl>
      <w:tblPr>
        <w:tblStyle w:val="Table"/>
        <w:tblW w:type="pct" w:w="5000"/>
        <w:tblLayout w:type="fixed"/>
        <w:tblLook w:firstRow="0" w:lastRow="0" w:firstColumn="0" w:lastColumn="0" w:noHBand="0" w:noVBand="0" w:val="0000"/>
      </w:tblPr>
      <w:tblGrid>
        <w:gridCol w:w="7920"/>
      </w:tblGrid>
      <w:tr>
        <w:tc>
          <w:tcPr/>
          <w:bookmarkStart w:id="105" w:name="fig-ell-outlier-check-dual-axis"/>
          <w:p>
            <w:pPr>
              <w:pStyle w:val="Compact"/>
              <w:jc w:val="center"/>
            </w:pPr>
            <w:r>
              <w:drawing>
                <wp:inline>
                  <wp:extent cx="4620126" cy="3696101"/>
                  <wp:effectExtent b="0" l="0" r="0" t="0"/>
                  <wp:docPr descr="" title="" id="103" name="Picture"/>
                  <a:graphic>
                    <a:graphicData uri="http://schemas.openxmlformats.org/drawingml/2006/picture">
                      <pic:pic>
                        <pic:nvPicPr>
                          <pic:cNvPr descr="index_files/figure-docx/fig-ell-outlier-check-dual-axis-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8: Diagnostic plot for</w:t>
            </w:r>
            <w:r>
              <w:t xml:space="preserve"> </w:t>
            </w:r>
            <m:oMath>
              <m:sSub>
                <m:e>
                  <m:r>
                    <m:t>P</m:t>
                  </m:r>
                </m:e>
                <m:sub>
                  <m:r>
                    <m:rPr>
                      <m:nor/>
                      <m:sty m:val="p"/>
                    </m:rPr>
                    <m:t>AAE10</m:t>
                  </m:r>
                </m:sub>
              </m:sSub>
            </m:oMath>
            <w:r>
              <w:t xml:space="preserve"> </w:t>
            </w:r>
            <w:r>
              <w:t xml:space="preserve">(left axis) and</w:t>
            </w:r>
            <w:r>
              <w:t xml:space="preserve"> </w:t>
            </w:r>
            <m:oMath>
              <m:sSub>
                <m:e>
                  <m:r>
                    <m:t>P</m:t>
                  </m:r>
                </m:e>
                <m:sub>
                  <m:r>
                    <m:rPr>
                      <m:nor/>
                      <m:sty m:val="p"/>
                    </m:rPr>
                    <m:t>CO2</m:t>
                  </m:r>
                </m:sub>
              </m:sSub>
            </m:oMath>
            <w:r>
              <w:t xml:space="preserve"> </w:t>
            </w:r>
            <w:r>
              <w:t xml:space="preserve">(right axis) for all replicates at the Ellighausen (ELL) site, faceted by P fertilization treatment.</w:t>
            </w:r>
          </w:p>
          <w:bookmarkEnd w:id="10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106"/>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07"/>
    <w:bookmarkStart w:id="109" w:name="X2bcc4bfc211ba9abec9a74e664b2fca0cf81079"/>
    <w:p>
      <w:pPr>
        <w:pStyle w:val="Heading2"/>
      </w:pPr>
      <w:r>
        <w:t xml:space="preserve">4.3 Hypothesis 3: The Context-Dependent Power of Kinetic Parameters</w:t>
      </w:r>
    </w:p>
    <w:p>
      <w:pPr>
        <w:pStyle w:val="FirstParagraph"/>
      </w:pPr>
      <w:r>
        <w:t xml:space="preserve">The central hypothesis of this thesis predicted that a model incorporating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would explain a significantly greater proportion of the variance in agronomic outcomes compared to models based on standard, static STP measurements. The results provide a nuanced verdict: the hypothesis was strongly supported in one context, but clearly refuted in others, revealing that the utility of kinetic parameters is highly dependent on the specific agronomic question being addressed.</w:t>
      </w:r>
    </w:p>
    <w:p>
      <w:pPr>
        <w:pStyle w:val="BodyText"/>
      </w:pPr>
      <w:r>
        <w:t xml:space="preserve">The most compelling support for</w:t>
      </w:r>
      <w:r>
        <w:t xml:space="preserve"> </w:t>
      </w:r>
      <w:r>
        <w:rPr>
          <w:b/>
          <w:bCs/>
        </w:rPr>
        <w:t xml:space="preserve">Hypothesis 3</w:t>
      </w:r>
      <w:r>
        <w:t xml:space="preserve"> </w:t>
      </w:r>
      <w:r>
        <w:t xml:space="preserve">came from the prediction of the</w:t>
      </w:r>
      <w:r>
        <w:t xml:space="preserve"> </w:t>
      </w:r>
      <w:r>
        <w:rPr>
          <w:b/>
          <w:bCs/>
        </w:rPr>
        <w:t xml:space="preserve">P-Balance (</w:t>
      </w:r>
      <m:oMath>
        <m:sSub>
          <m:e>
            <m:r>
              <m:t>P</m:t>
            </m:r>
          </m:e>
          <m:sub>
            <m:r>
              <m:t>b</m:t>
            </m:r>
            <m:r>
              <m:t>a</m:t>
            </m:r>
            <m:r>
              <m:t>l</m:t>
            </m:r>
          </m:sub>
        </m:sSub>
      </m:oMath>
      <w:r>
        <w:t xml:space="preserve">). In this analysis, the kinetic model, driven by the desorbable P pool (</w:t>
      </w:r>
      <m:oMath>
        <m:sSub>
          <m:e>
            <m:r>
              <m:t>P</m:t>
            </m:r>
          </m:e>
          <m:sub>
            <m:r>
              <m:t>d</m:t>
            </m:r>
            <m:r>
              <m:t>e</m:t>
            </m:r>
            <m:r>
              <m:t>s</m:t>
            </m:r>
            <m:r>
              <m:t>o</m:t>
            </m:r>
            <m:r>
              <m:t>r</m:t>
            </m:r>
            <m:r>
              <m:t>b</m:t>
            </m:r>
          </m:sub>
        </m:sSub>
      </m:oMath>
      <w:r>
        <w:t xml:space="preserve">), was exceptionally powerful, explaining over 57% of the variance. In stark contrast, the standard STP models had zero predictive power. This is the most significant finding of this study. The P-Balance represents the long-term integration of nutrient inputs and outputs, and the fact that a kinetic capacity parameter (</w:t>
      </w:r>
      <m:oMath>
        <m:sSub>
          <m:e>
            <m:r>
              <m:t>P</m:t>
            </m:r>
          </m:e>
          <m:sub>
            <m:r>
              <m:t>d</m:t>
            </m:r>
            <m:r>
              <m:t>e</m:t>
            </m:r>
            <m:r>
              <m:t>s</m:t>
            </m:r>
            <m:r>
              <m:t>o</m:t>
            </m:r>
            <m:r>
              <m:t>r</m:t>
            </m:r>
            <m:r>
              <m:t>b</m:t>
            </m:r>
          </m:sub>
        </m:sSub>
      </m:oMath>
      <w:r>
        <w:t xml:space="preserve">) so perfectly captures this state demonstrates its superiority for assessing the cumulative effects of soil management. It suggests that while standard tests reflect the immediate chemical environment,</w:t>
      </w:r>
      <w:r>
        <w:t xml:space="preserve"> </w:t>
      </w:r>
      <m:oMath>
        <m:sSub>
          <m:e>
            <m:r>
              <m:t>P</m:t>
            </m:r>
          </m:e>
          <m:sub>
            <m:r>
              <m:t>d</m:t>
            </m:r>
            <m:r>
              <m:t>e</m:t>
            </m:r>
            <m:r>
              <m:t>s</m:t>
            </m:r>
            <m:r>
              <m:t>o</m:t>
            </m:r>
            <m:r>
              <m:t>r</m:t>
            </m:r>
            <m:r>
              <m:t>b</m:t>
            </m:r>
          </m:sub>
        </m:sSub>
      </m:oMath>
      <w:r>
        <w:t xml:space="preserve"> </w:t>
      </w:r>
      <w:r>
        <w:t xml:space="preserve">provides a more holistic measure of the soil’s P supply capacity and its legacy from past fertilization.</w:t>
      </w:r>
    </w:p>
    <w:p>
      <w:pPr>
        <w:pStyle w:val="BodyText"/>
      </w:pPr>
      <w:r>
        <w:t xml:space="preserve">However, when predicting yield and P-uptake, the hypothesis was not supported. The reasons for this are likely multifaceted and highlight several limitations of the current study. A primary factor is that the P fertilization levels analyzed (0%, 100%, and 167%) may not have created conditions where P was the primary limiting factor for yield. The standard 100% fertilization rate in the STYCS trial is already designed for optimal yield, and decades of application at this level have likely led to significant</w:t>
      </w:r>
      <w:r>
        <w:t xml:space="preserve"> </w:t>
      </w:r>
      <w:r>
        <w:t xml:space="preserve">“legacy P”</w:t>
      </w:r>
      <w:r>
        <w:t xml:space="preserve"> </w:t>
      </w:r>
      <w:r>
        <w:t xml:space="preserve">accumulation</w:t>
      </w:r>
      <w:r>
        <w:t xml:space="preserve"> </w:t>
      </w:r>
      <w:r>
        <w:t xml:space="preserve">(Hirte et al., 2018)</w:t>
      </w:r>
      <w:r>
        <w:t xml:space="preserve">. Consequently, the 167% treatment would only add to this surplus, while the 0% treatment represents an extreme deficiency. A direct comparison between kinetic and static tests would be far more powerful if intermediate levels (e.g., 33% and 67%) were included, as this is the range where the</w:t>
      </w:r>
      <w:r>
        <w:t xml:space="preserve"> </w:t>
      </w:r>
      <w:r>
        <w:rPr>
          <w:i/>
          <w:iCs/>
        </w:rPr>
        <w:t xml:space="preserve">rate</w:t>
      </w:r>
      <w:r>
        <w:t xml:space="preserve"> </w:t>
      </w:r>
      <w:r>
        <w:t xml:space="preserve">of P supply is most likely to be a yield-limiting factor.</w:t>
      </w:r>
    </w:p>
    <w:p>
      <w:pPr>
        <w:pStyle w:val="BodyText"/>
      </w:pPr>
      <w:r>
        <w:t xml:space="preserve">Furthermore, the linear mixed-effects models used, while appropriate for the data structure, could not account for two major sources of variation. First, as seen in the exploratory analysis in with the mlr3-model-comparisons, weather variables alone were often strong predictors of yield. The</w:t>
      </w:r>
      <w:r>
        <w:t xml:space="preserve"> </w:t>
      </w:r>
      <w:r>
        <w:rPr>
          <w:rStyle w:val="VerbatimChar"/>
        </w:rPr>
        <w:t xml:space="preserve">(1|year)</w:t>
      </w:r>
      <w:r>
        <w:t xml:space="preserve"> </w:t>
      </w:r>
      <w:r>
        <w:t xml:space="preserve">and</w:t>
      </w:r>
      <w:r>
        <w:t xml:space="preserve"> </w:t>
      </w:r>
      <w:r>
        <w:rPr>
          <w:rStyle w:val="VerbatimChar"/>
        </w:rPr>
        <w:t xml:space="preserve">(1|Site)</w:t>
      </w:r>
      <w:r>
        <w:t xml:space="preserve"> </w:t>
      </w:r>
      <w:r>
        <w:t xml:space="preserve">random effects in our models are proxies for this, bundling complex pedoclimatic information—such as growing degree days, soil moisture patterns, and soil textural differences—into single terms. These effects were so large that they overshadowed the more subtle influence of soil P status. Future studies could improve predictive power by incorporating specific weather covariates as fixed effects, allowing for a clearer isolation of the soil P signal.</w:t>
      </w:r>
    </w:p>
    <w:p>
      <w:pPr>
        <w:pStyle w:val="BodyText"/>
      </w:pPr>
      <w:r>
        <w:t xml:space="preserve">Second, the assumption of a linear P response is a simplification. As shown by</w:t>
      </w:r>
      <w:r>
        <w:t xml:space="preserve"> </w:t>
      </w:r>
      <w:r>
        <w:rPr>
          <w:b/>
          <w:bCs/>
        </w:rPr>
        <w:t xml:space="preserve">Hirte et al. (2021)</w:t>
      </w:r>
      <w:r>
        <w:t xml:space="preserve">, crop yield response to P is non-linear and best described by a saturation curve. This is particularly relevant given the high yields observed at some sites, such as Cadenazzo, where relative yields reached up to 300% in some years, a level far beyond any plausible linear response to P. A more robust modeling approach would involve fitting non-linear models, though this would, as previously noted, require data from the full spectrum of fertilization treatments.</w:t>
      </w:r>
    </w:p>
    <w:p>
      <w:r>
        <w:br w:type="page"/>
      </w:r>
    </w:p>
    <w:bookmarkStart w:id="108" w:name="conclusion-and-outlook"/>
    <w:p>
      <w:pPr>
        <w:pStyle w:val="Heading3"/>
      </w:pPr>
      <w:r>
        <w:t xml:space="preserve">4.3.1 Conclusion and Outlook</w:t>
      </w:r>
    </w:p>
    <w:p>
      <w:pPr>
        <w:pStyle w:val="FirstParagraph"/>
      </w:pPr>
      <w:r>
        <w:t xml:space="preserve">This thesis set out to test the hypothesis that P desorption kinetics, grounded in the diffusion-limited reality of P uptake, would provide a superior prediction of agronomic outcomes compared to conventional static soil tests (STPs). The first step required a critical re-evaluation of the kinetic methodology itself. We successfully demonstrated that the original linearized approach of Flossmann &amp; Richter (1982) is based on a chemically flawed premise, where the estimated desorbable P pool (</w:t>
      </w:r>
      <m:oMath>
        <m:sSub>
          <m:e>
            <m:r>
              <m:t>P</m:t>
            </m:r>
          </m:e>
          <m:sub>
            <m:r>
              <m:t>d</m:t>
            </m:r>
            <m:r>
              <m:t>e</m:t>
            </m:r>
            <m:r>
              <m:t>s</m:t>
            </m:r>
            <m:r>
              <m:t>o</m:t>
            </m:r>
            <m:r>
              <m:t>r</m:t>
            </m:r>
            <m:r>
              <m:t>b</m:t>
            </m:r>
          </m:sub>
        </m:sSub>
      </m:oMath>
      <w:r>
        <w:t xml:space="preserve">) far exceeds the physical solubility of phosphate. By implementing a direct non-linear modeling approach, we derived robust kinetic parameters free from these assumptions. However, this refined method remains sensitive, as evidenced by outlier replicates that were ultimately attributed to the</w:t>
      </w:r>
      <w:r>
        <w:t xml:space="preserve"> </w:t>
      </w:r>
      <w:r>
        <w:t xml:space="preserve">“nugget effect”</w:t>
      </w:r>
      <w:r>
        <w:t xml:space="preserve"> </w:t>
      </w:r>
      <w:r>
        <w:t xml:space="preserve">of residual fertilizer granules, a persistent challenge in soil analysis.</w:t>
      </w:r>
    </w:p>
    <w:p>
      <w:pPr>
        <w:pStyle w:val="BodyText"/>
      </w:pPr>
      <w:r>
        <w:t xml:space="preserve">The comparative analysis of the predictive models yielded a nuanced picture. Contrary to our primary hypothesis, the kinetic parameters were not universally superior. For predicting site- and national-normalized yield (</w:t>
      </w:r>
      <m:oMath>
        <m:sSub>
          <m:e>
            <m:r>
              <m:t>Y</m:t>
            </m:r>
          </m:e>
          <m:sub>
            <m:r>
              <m:t>n</m:t>
            </m:r>
            <m:r>
              <m:t>o</m:t>
            </m:r>
            <m:r>
              <m:t>r</m:t>
            </m:r>
            <m:r>
              <m:t>m</m:t>
            </m:r>
          </m:sub>
        </m:sSub>
      </m:oMath>
      <w:r>
        <w:t xml:space="preserve">,</w:t>
      </w:r>
      <w:r>
        <w:t xml:space="preserve"> </w:t>
      </w:r>
      <m:oMath>
        <m:sSub>
          <m:e>
            <m:r>
              <m:t>Y</m:t>
            </m:r>
          </m:e>
          <m:sub>
            <m:r>
              <m:t>r</m:t>
            </m:r>
            <m:r>
              <m:t>e</m:t>
            </m:r>
            <m:r>
              <m:t>l</m:t>
            </m:r>
          </m:sub>
        </m:sSub>
      </m:oMath>
      <w:r>
        <w:t xml:space="preserve">) and P-uptake (</w:t>
      </w:r>
      <m:oMath>
        <m:sSub>
          <m:e>
            <m:r>
              <m:t>P</m:t>
            </m:r>
          </m:e>
          <m:sub>
            <m:r>
              <m:t>u</m:t>
            </m:r>
            <m:r>
              <m:t>p</m:t>
            </m:r>
          </m:sub>
        </m:sSub>
      </m:oMath>
      <w:r>
        <w:t xml:space="preserve">), the kinetic model offered no significant advantage and, in some cases, performed worse than standard STP methods. This strongly suggests that under the conditions of the STYCS trial, where P was likely not the primary limiting factor for yield due to a history of adequate fertilization, the subtle differences in P supply dynamics were overshadowed by larger environmental drivers.</w:t>
      </w:r>
    </w:p>
    <w:p>
      <w:pPr>
        <w:pStyle w:val="BodyText"/>
      </w:pPr>
      <w:r>
        <w:t xml:space="preserve">However, the most striking finding of this study was the exceptional success of the kinetic model in predicting the</w:t>
      </w:r>
      <w:r>
        <w:t xml:space="preserve"> </w:t>
      </w:r>
      <w:r>
        <w:rPr>
          <w:b/>
          <w:bCs/>
        </w:rPr>
        <w:t xml:space="preserve">P-Balance (</w:t>
      </w:r>
      <m:oMath>
        <m:sSub>
          <m:e>
            <m:r>
              <m:t>P</m:t>
            </m:r>
          </m:e>
          <m:sub>
            <m:r>
              <m:t>b</m:t>
            </m:r>
            <m:r>
              <m:t>a</m:t>
            </m:r>
            <m:r>
              <m:t>l</m:t>
            </m:r>
          </m:sub>
        </m:sSub>
      </m:oMath>
      <w:r>
        <w:rPr>
          <w:b/>
          <w:bCs/>
        </w:rPr>
        <w:t xml:space="preserve">)</w:t>
      </w:r>
      <w:r>
        <w:t xml:space="preserve">. While STP methods completely failed, the desorbable P pool (</w:t>
      </w:r>
      <m:oMath>
        <m:sSub>
          <m:e>
            <m:r>
              <m:t>P</m:t>
            </m:r>
          </m:e>
          <m:sub>
            <m:r>
              <m:t>d</m:t>
            </m:r>
            <m:r>
              <m:t>e</m:t>
            </m:r>
            <m:r>
              <m:t>s</m:t>
            </m:r>
            <m:r>
              <m:t>o</m:t>
            </m:r>
            <m:r>
              <m:t>r</m:t>
            </m:r>
            <m:r>
              <m:t>b</m:t>
            </m:r>
          </m:sub>
        </m:sSub>
      </m:oMath>
      <w:r>
        <w:t xml:space="preserve">) alone explained over 57% of the variance in the long-term nutrient budget. The interpretation of this is critical: the P-Balance is an indicator of nutrient stewardship and environmental risk. A soil with a highly positive P-Balance has a large store of</w:t>
      </w:r>
      <w:r>
        <w:t xml:space="preserve"> </w:t>
      </w:r>
      <w:r>
        <w:t xml:space="preserve">“legacy P,”</w:t>
      </w:r>
      <w:r>
        <w:t xml:space="preserve"> </w:t>
      </w:r>
      <w:r>
        <w:t xml:space="preserve">which can sustain future crops but also poses a risk of loss to the environment. The success of</w:t>
      </w:r>
      <w:r>
        <w:t xml:space="preserve"> </w:t>
      </w:r>
      <m:oMath>
        <m:sSub>
          <m:e>
            <m:r>
              <m:t>P</m:t>
            </m:r>
          </m:e>
          <m:sub>
            <m:r>
              <m:t>d</m:t>
            </m:r>
            <m:r>
              <m:t>e</m:t>
            </m:r>
            <m:r>
              <m:t>s</m:t>
            </m:r>
            <m:r>
              <m:t>o</m:t>
            </m:r>
            <m:r>
              <m:t>r</m:t>
            </m:r>
            <m:r>
              <m:t>b</m:t>
            </m:r>
          </m:sub>
        </m:sSub>
      </m:oMath>
      <w:r>
        <w:t xml:space="preserve"> </w:t>
      </w:r>
      <w:r>
        <w:t xml:space="preserve">as a predictor means it is a far superior metric for assessing this long-term soil P status and sustainability than conventional STPs.</w:t>
      </w:r>
    </w:p>
    <w:p>
      <w:pPr>
        <w:pStyle w:val="BodyText"/>
      </w:pPr>
      <w:r>
        <w:t xml:space="preserve">Furthermore, this study provides evidence questioning the concurrent use of multiple STP methods. While systems like GRUD and VDLUFA employ two tests to differentiate P-intensity and P-capacity, our models showed that</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contained largely redundant information for predicting agronomic outcomes. The non-significant interaction term indicated that combining them did not improve predictions. This is a crucial finding, suggesting that while these methods may extract chemically distinct P pools—as shown by the isotopic exchange data from Demaria et al.—this chemical difference does not translate into a functional difference for agronomic modeling in this context.</w:t>
      </w:r>
    </w:p>
    <w:p>
      <w:pPr>
        <w:pStyle w:val="BodyText"/>
      </w:pPr>
      <w:r>
        <w:t xml:space="preserve">Looking forward, this work should be seen as a successful</w:t>
      </w:r>
      <w:r>
        <w:t xml:space="preserve"> </w:t>
      </w:r>
      <w:r>
        <w:t xml:space="preserve">“beta-trial”</w:t>
      </w:r>
      <w:r>
        <w:t xml:space="preserve"> </w:t>
      </w:r>
      <w:r>
        <w:t xml:space="preserve">for a promising, mechanistically-grounded soil testing approach. The current kinetic protocol is in dire need of refinement to improve its robustness. The centrifugation step (4000 rpm for 15 minutes) created highly compact sediments, particularly in clay-rich soils. Consequently, the magnetic stir bar required considerable time (up to 10 minutes) to achieve full resuspension, meaning the reactive surface area was not constant at the beginning of the experiment, violating a key assumption of kinetic modeling. Furthermore, the decanting process left a residue of P-rich colloids on the sediment surface, which, upon resuspension, likely contributed to an immediate release of P, invalidating the assumption of P(t=0)=0 and necessitating a time correction in our model.</w:t>
      </w:r>
    </w:p>
    <w:p>
      <w:pPr>
        <w:pStyle w:val="BodyText"/>
      </w:pPr>
      <w:r>
        <w:t xml:space="preserve">More fundamentally, a soil suspension with a 1:20 soil-to-water ratio is a highly artificial system that does not reflect the conditions at an intact soil-matrix to soil-solution interface. The process of suspension creates new reactive surfaces while simultaneously diluting sorption sites, and it remains an open question how kinetic parameters derived from such a system translate to the processes occurring in a structured field soil. A crucial element missing from all such chemical extractions is the</w:t>
      </w:r>
      <w:r>
        <w:t xml:space="preserve"> </w:t>
      </w:r>
      <w:r>
        <w:rPr>
          <w:b/>
          <w:bCs/>
        </w:rPr>
        <w:t xml:space="preserve">active plant sink</w:t>
      </w:r>
      <w:r>
        <w:t xml:space="preserve">. A plant root constantly removes phosphate from the solution, fundamentally altering the chemical equilibrium. The rate of uptake is not a simple chemical reaction but is governed by biological Michaelis-Menten kinetics of membrane transporters. How the purely chemical rate constant (</w:t>
      </w:r>
      <w:r>
        <w:rPr>
          <w:i/>
          <w:iCs/>
        </w:rPr>
        <w:t xml:space="preserve">k</w:t>
      </w:r>
      <w:r>
        <w:t xml:space="preserve">) from a lab experiment corresponds to the biologically-driven P flux in the rhizosphere is unknown and represents a key knowledge gap that must be studied to understand how far these artificial results can be extrapolated to field conditions.</w:t>
      </w:r>
    </w:p>
    <w:p>
      <w:pPr>
        <w:pStyle w:val="BodyText"/>
      </w:pPr>
      <w:r>
        <w:t xml:space="preserve">The primary limitation of this study was the experimental context, which also informs the most promising directions for future research. A more robust approach would be to deconstruct composite response variables like</w:t>
      </w:r>
      <w:r>
        <w:t xml:space="preserve"> </w:t>
      </w:r>
      <m:oMath>
        <m:sSub>
          <m:e>
            <m:r>
              <m:t>P</m:t>
            </m:r>
          </m:e>
          <m:sub>
            <m:r>
              <m:t>u</m:t>
            </m:r>
            <m:r>
              <m:t>p</m:t>
            </m:r>
          </m:sub>
        </m:sSub>
      </m:oMath>
      <w:r>
        <w:t xml:space="preserve">. Future studies should model crop</w:t>
      </w:r>
      <w:r>
        <w:t xml:space="preserve"> </w:t>
      </w:r>
      <w:r>
        <w:rPr>
          <w:b/>
          <w:bCs/>
        </w:rPr>
        <w:t xml:space="preserve">yield</w:t>
      </w:r>
      <w:r>
        <w:t xml:space="preserve"> </w:t>
      </w:r>
      <w:r>
        <w:t xml:space="preserve">and plant P</w:t>
      </w:r>
      <w:r>
        <w:t xml:space="preserve"> </w:t>
      </w:r>
      <w:r>
        <w:rPr>
          <w:b/>
          <w:bCs/>
        </w:rPr>
        <w:t xml:space="preserve">concentration</w:t>
      </w:r>
      <w:r>
        <w:t xml:space="preserve"> </w:t>
      </w:r>
      <w:r>
        <w:t xml:space="preserve">separately. Yield should be predicted using the primary agronomic drivers (N supply, climate variables like temperature and precipitation, soil texture), while the P concentration in plant tissue should be modeled as a direct function of soil P availability metrics like the kinetic parameters. The product of these two independent models would provide a more mechanistically sound prediction of P-uptake. To properly test this, future experiments must include intermediate fertilization levels (P33, P66) to capture the P-responsive range and allow for non-linear modeling. By refining both the experimental protocol and the modeling strategy in this way, P desorption kinetics holds the potential to evolve into a powerful tool that provides not just a number, but a true understanding of a soil’s capacity to supply phosphorus over time.</w:t>
      </w:r>
    </w:p>
    <w:p>
      <w:r>
        <w:br w:type="page"/>
      </w:r>
    </w:p>
    <w:bookmarkEnd w:id="108"/>
    <w:bookmarkEnd w:id="109"/>
    <w:bookmarkEnd w:id="110"/>
    <w:bookmarkStart w:id="111" w:name="acknowledgments"/>
    <w:p>
      <w:pPr>
        <w:pStyle w:val="Heading1"/>
      </w:pPr>
      <w:r>
        <w:t xml:space="preserve">5. Acknowledgments</w:t>
      </w:r>
    </w:p>
    <w:p>
      <w:pPr>
        <w:pStyle w:val="FirstParagraph"/>
      </w:pPr>
      <w:r>
        <w:t xml:space="preserve">Without my wife I could not have again and again found the energy and time to work on my deeply personally motivated thesis. While she gave me the space to work, she tended to our little son, who in return with his intruiging way of demanding and negotiating play-time, attention and proximity, constantly earthed and reminded me of our dependence on others. The idea for this thesis came from many lengthy discussions with Frank Liebisch, where he, although being so busy, invested so much time in my development to an agronomist during my internship. He endured over and over my harsh critique on the nature and issues of agronomic research, and understood my drustration on the limitations posed on agronomic researchers, while still giving me hope in the possibility of progress and knowledge gain. It is not common, that a master student can choose his own topic and methodology for his master thesis, Emmanuel Frossard agreed immediately upon hearing from my idea. He knew that the task I set myself was difficult and extensive, but he not only showed confidence in my ability to grow on the pitfalls and issues, he would always remind me with his charactersitic words.</w:t>
      </w:r>
      <w:r>
        <w:t xml:space="preserve"> </w:t>
      </w:r>
      <w:r>
        <w:t xml:space="preserve">“Il faut avoir le courage”</w:t>
      </w:r>
      <w:r>
        <w:t xml:space="preserve">, that acknowloding one’s own limitation and ignorance and simultaneously making falsifiable claims and to stand for them, is a cardinal attitude I can grow into. The support of Frank and Emmanuel went beyond their responsibility as specialists, I will never forget the kindness and patience shown to me, knowing that I behaved often spiky and frustrated, when my abstract and often idealistic considerations met the hard reality of soil-chemisty-measurements. Gratiously Emmanuel Frossard provided me access to the group’s laboratory, where Laurie Schönholzer supported me heavily, developing the protocol for my experiments. She not only shared her professional knowledge, but would also educate me on the code how to properly prepare and clean a lab. My wife reports, that I behave differently since then when it comes to our household. I benefited increadibly from this thesis. Lukas Graz introduced me to Quarto and helped me setting up a workflow, that is both safe in terms of data-loss and reproducible. He relentlessly explained me the pitfalls when using hierarchical models, aided in the selection of the effect-structure and taught me both as a friend and specialist invaluable lessons, how to structure and effiently write R-code, approaching complex real data. He encouraged me over and over, this thesis would not have been possible without him. I would also like to acknowledge the use of Google’s Gemini language model in the preparation of this thesis. It served as a valuable programming assistant for debugging R and LaTeX code, and as an editorial tool for improving language, formatting, and the overall structure of the manuscript, particularly in the discussion and conclusion sections.</w:t>
      </w:r>
    </w:p>
    <w:p>
      <w:r>
        <w:br w:type="page"/>
      </w:r>
    </w:p>
    <w:bookmarkEnd w:id="111"/>
    <w:bookmarkStart w:id="188" w:name="references"/>
    <w:p>
      <w:pPr>
        <w:pStyle w:val="Heading1"/>
      </w:pPr>
      <w:r>
        <w:t xml:space="preserve">6. References</w:t>
      </w:r>
    </w:p>
    <w:bookmarkStart w:id="187" w:name="refs"/>
    <w:bookmarkStart w:id="113" w:name="ref-Abelson1999Dilemma"/>
    <w:p>
      <w:pPr>
        <w:pStyle w:val="Bibliography"/>
      </w:pPr>
      <w:r>
        <w:t xml:space="preserve">Abelson, P. H. (1999). A potential phosphate crisis.</w:t>
      </w:r>
      <w:r>
        <w:t xml:space="preserve"> </w:t>
      </w:r>
      <w:r>
        <w:rPr>
          <w:i/>
          <w:iCs/>
        </w:rPr>
        <w:t xml:space="preserve">Science</w:t>
      </w:r>
      <w:r>
        <w:t xml:space="preserve">,</w:t>
      </w:r>
      <w:r>
        <w:t xml:space="preserve"> </w:t>
      </w:r>
      <w:r>
        <w:rPr>
          <w:i/>
          <w:iCs/>
        </w:rPr>
        <w:t xml:space="preserve">283</w:t>
      </w:r>
      <w:r>
        <w:t xml:space="preserve">(5410), 2015–2015.</w:t>
      </w:r>
      <w:r>
        <w:t xml:space="preserve"> </w:t>
      </w:r>
      <w:hyperlink r:id="rId112">
        <w:r>
          <w:rPr>
            <w:rStyle w:val="Hyperlink"/>
          </w:rPr>
          <w:t xml:space="preserve">https://doi.org/10.1126/science.283.5410.2015</w:t>
        </w:r>
      </w:hyperlink>
    </w:p>
    <w:bookmarkEnd w:id="113"/>
    <w:bookmarkStart w:id="115"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14">
        <w:r>
          <w:rPr>
            <w:rStyle w:val="Hyperlink"/>
          </w:rPr>
          <w:t xml:space="preserve">https://doi.org/10.18637/jss.v067.i01</w:t>
        </w:r>
      </w:hyperlink>
    </w:p>
    <w:bookmarkEnd w:id="115"/>
    <w:bookmarkStart w:id="117"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16">
        <w:r>
          <w:rPr>
            <w:rStyle w:val="Hyperlink"/>
          </w:rPr>
          <w:t xml:space="preserve">https://doi.org/10.1071/CP13019</w:t>
        </w:r>
      </w:hyperlink>
    </w:p>
    <w:bookmarkEnd w:id="117"/>
    <w:bookmarkStart w:id="118"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18"/>
    <w:bookmarkStart w:id="119"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19"/>
    <w:bookmarkStart w:id="120"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20"/>
    <w:bookmarkStart w:id="122" w:name="ref-demariaSoilPropertiesPhosphorus2013"/>
    <w:p>
      <w:pPr>
        <w:pStyle w:val="Bibliography"/>
      </w:pPr>
      <w:r>
        <w:t xml:space="preserve">Demaria, P., Sinaj, S., Flisch, R., &amp; Frossard, E. (2013). Soil</w:t>
      </w:r>
      <w:r>
        <w:t xml:space="preserve"> </w:t>
      </w:r>
      <w:r>
        <w:t xml:space="preserve">Properties</w:t>
      </w:r>
      <w:r>
        <w:t xml:space="preserve"> </w:t>
      </w:r>
      <w:r>
        <w:t xml:space="preserve">and</w:t>
      </w:r>
      <w:r>
        <w:t xml:space="preserve"> </w:t>
      </w:r>
      <w:r>
        <w:t xml:space="preserve">Phosphorus Isotopic Exchangeability</w:t>
      </w:r>
      <w:r>
        <w:t xml:space="preserve"> </w:t>
      </w:r>
      <w:r>
        <w:t xml:space="preserve">in</w:t>
      </w:r>
      <w:r>
        <w:t xml:space="preserve"> </w:t>
      </w:r>
      <w:r>
        <w:t xml:space="preserve">Cropped Temperate Soils</w:t>
      </w:r>
      <w:r>
        <w:t xml:space="preserve">.</w:t>
      </w:r>
      <w:r>
        <w:t xml:space="preserve"> </w:t>
      </w:r>
      <w:r>
        <w:rPr>
          <w:i/>
          <w:iCs/>
        </w:rPr>
        <w:t xml:space="preserve">Communications in Soil Science and Plant Analysis</w:t>
      </w:r>
      <w:r>
        <w:t xml:space="preserve">,</w:t>
      </w:r>
      <w:r>
        <w:t xml:space="preserve"> </w:t>
      </w:r>
      <w:r>
        <w:rPr>
          <w:i/>
          <w:iCs/>
        </w:rPr>
        <w:t xml:space="preserve">44</w:t>
      </w:r>
      <w:r>
        <w:t xml:space="preserve">(1–4), 287–300.</w:t>
      </w:r>
      <w:r>
        <w:t xml:space="preserve"> </w:t>
      </w:r>
      <w:hyperlink r:id="rId121">
        <w:r>
          <w:rPr>
            <w:rStyle w:val="Hyperlink"/>
          </w:rPr>
          <w:t xml:space="preserve">https://doi.org/10.1080/00103624.2013.741896</w:t>
        </w:r>
      </w:hyperlink>
    </w:p>
    <w:bookmarkEnd w:id="122"/>
    <w:bookmarkStart w:id="124"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23">
        <w:r>
          <w:rPr>
            <w:rStyle w:val="Hyperlink"/>
          </w:rPr>
          <w:t xml:space="preserve">https://doi.org/10.1051/agro:19910908</w:t>
        </w:r>
      </w:hyperlink>
    </w:p>
    <w:bookmarkEnd w:id="124"/>
    <w:bookmarkStart w:id="125" w:name="ref-Fisher1925"/>
    <w:p>
      <w:pPr>
        <w:pStyle w:val="Bibliography"/>
      </w:pPr>
      <w:r>
        <w:t xml:space="preserve">Fisher, R. A. (1925).</w:t>
      </w:r>
      <w:r>
        <w:t xml:space="preserve"> </w:t>
      </w:r>
      <w:r>
        <w:rPr>
          <w:i/>
          <w:iCs/>
        </w:rPr>
        <w:t xml:space="preserve">Statistical methods for research workers</w:t>
      </w:r>
      <w:r>
        <w:t xml:space="preserve">. Oliver; Boyd.</w:t>
      </w:r>
    </w:p>
    <w:bookmarkEnd w:id="125"/>
    <w:bookmarkStart w:id="127"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26">
        <w:r>
          <w:rPr>
            <w:rStyle w:val="Hyperlink"/>
          </w:rPr>
          <w:t xml:space="preserve">https://doi.org/10.2136/sssabookser3.2ed.c11</w:t>
        </w:r>
      </w:hyperlink>
    </w:p>
    <w:bookmarkEnd w:id="127"/>
    <w:bookmarkStart w:id="128"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28"/>
    <w:bookmarkStart w:id="129"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29"/>
    <w:bookmarkStart w:id="131" w:name="ref-Frossard2000Processes"/>
    <w:p>
      <w:pPr>
        <w:pStyle w:val="Bibliography"/>
      </w:pPr>
      <w:r>
        <w:t xml:space="preserve">Frossard, E., Condron, L. M., Oberson, A., Sinaj, S., &amp; Fardeau, J.-C.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30">
        <w:r>
          <w:rPr>
            <w:rStyle w:val="Hyperlink"/>
          </w:rPr>
          <w:t xml:space="preserve">https://doi.org/10.2134/jeq2000.00472425002900010003x</w:t>
        </w:r>
      </w:hyperlink>
    </w:p>
    <w:bookmarkEnd w:id="131"/>
    <w:bookmarkStart w:id="133"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32">
        <w:r>
          <w:rPr>
            <w:rStyle w:val="Hyperlink"/>
          </w:rPr>
          <w:t xml:space="preserve">https://doi.org/10.1097/SS.0b013e3181f26a1d</w:t>
        </w:r>
      </w:hyperlink>
    </w:p>
    <w:bookmarkEnd w:id="133"/>
    <w:bookmarkStart w:id="135"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34">
        <w:r>
          <w:rPr>
            <w:rStyle w:val="Hyperlink"/>
          </w:rPr>
          <w:t xml:space="preserve">https://doi.org/10.1023/A:1013339317511</w:t>
        </w:r>
      </w:hyperlink>
    </w:p>
    <w:bookmarkEnd w:id="135"/>
    <w:bookmarkStart w:id="137"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36">
        <w:r>
          <w:rPr>
            <w:rStyle w:val="Hyperlink"/>
          </w:rPr>
          <w:t xml:space="preserve">https://doi.org/10.1007/s13280-017-0987-9</w:t>
        </w:r>
      </w:hyperlink>
    </w:p>
    <w:bookmarkEnd w:id="137"/>
    <w:bookmarkStart w:id="139"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38">
        <w:r>
          <w:rPr>
            <w:rStyle w:val="Hyperlink"/>
          </w:rPr>
          <w:t xml:space="preserve">https://doi.org/10.1016/j.scitotenv.2020.143453</w:t>
        </w:r>
      </w:hyperlink>
    </w:p>
    <w:bookmarkEnd w:id="139"/>
    <w:bookmarkStart w:id="141"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40">
        <w:r>
          <w:rPr>
            <w:rStyle w:val="Hyperlink"/>
          </w:rPr>
          <w:t xml:space="preserve">https://doi.org/10.1016/j.agee.2020.107270</w:t>
        </w:r>
      </w:hyperlink>
    </w:p>
    <w:bookmarkEnd w:id="141"/>
    <w:bookmarkStart w:id="143"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42">
        <w:r>
          <w:rPr>
            <w:rStyle w:val="Hyperlink"/>
          </w:rPr>
          <w:t xml:space="preserve">https://doi.org/10.1071/S96047</w:t>
        </w:r>
      </w:hyperlink>
    </w:p>
    <w:bookmarkEnd w:id="143"/>
    <w:bookmarkStart w:id="145"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44">
        <w:r>
          <w:rPr>
            <w:rStyle w:val="Hyperlink"/>
          </w:rPr>
          <w:t xml:space="preserve">https://doi.org/10.1100/tsw.2001.272</w:t>
        </w:r>
      </w:hyperlink>
    </w:p>
    <w:bookmarkEnd w:id="145"/>
    <w:bookmarkStart w:id="147"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46">
        <w:r>
          <w:rPr>
            <w:rStyle w:val="Hyperlink"/>
          </w:rPr>
          <w:t xml:space="preserve">https://doi.org/10.1007/s11368-012-0498-8</w:t>
        </w:r>
      </w:hyperlink>
    </w:p>
    <w:bookmarkEnd w:id="147"/>
    <w:bookmarkStart w:id="149"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48">
        <w:r>
          <w:rPr>
            <w:rStyle w:val="Hyperlink"/>
          </w:rPr>
          <w:t xml:space="preserve">https://doi.org/10.18637/jss.v082.i13</w:t>
        </w:r>
      </w:hyperlink>
    </w:p>
    <w:bookmarkEnd w:id="149"/>
    <w:bookmarkStart w:id="151"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50">
        <w:r>
          <w:rPr>
            <w:rStyle w:val="Hyperlink"/>
          </w:rPr>
          <w:t xml:space="preserve">https://doi.org/10.21105/joss.01903</w:t>
        </w:r>
      </w:hyperlink>
    </w:p>
    <w:bookmarkEnd w:id="151"/>
    <w:bookmarkStart w:id="153"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52">
        <w:r>
          <w:rPr>
            <w:rStyle w:val="Hyperlink"/>
          </w:rPr>
          <w:t xml:space="preserve">https://doi.org/10.2134/jeq2001.302508x</w:t>
        </w:r>
      </w:hyperlink>
    </w:p>
    <w:bookmarkEnd w:id="153"/>
    <w:bookmarkStart w:id="154"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54"/>
    <w:bookmarkStart w:id="156"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55">
        <w:r>
          <w:rPr>
            <w:rStyle w:val="Hyperlink"/>
          </w:rPr>
          <w:t xml:space="preserve">https://ods.od.nih.gov/factsheets/Phosphorus-HealthProfessional/</w:t>
        </w:r>
      </w:hyperlink>
    </w:p>
    <w:bookmarkEnd w:id="156"/>
    <w:bookmarkStart w:id="157"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57"/>
    <w:bookmarkStart w:id="158"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58"/>
    <w:bookmarkStart w:id="159" w:name="ref-Olsen1954"/>
    <w:p>
      <w:pPr>
        <w:pStyle w:val="Bibliography"/>
      </w:pPr>
      <w:r>
        <w:t xml:space="preserve">Olsen, S. R., Cole, C. V., Watanabe, F. S., &amp; Dean, L. A. (1954). Estimation of available phosphorus in soils by extraction with sodium bicarbonate.</w:t>
      </w:r>
      <w:r>
        <w:t xml:space="preserve"> </w:t>
      </w:r>
      <w:r>
        <w:rPr>
          <w:i/>
          <w:iCs/>
        </w:rPr>
        <w:t xml:space="preserve">US Department of Agriculture Circular</w:t>
      </w:r>
      <w:r>
        <w:t xml:space="preserve">,</w:t>
      </w:r>
      <w:r>
        <w:t xml:space="preserve"> </w:t>
      </w:r>
      <w:r>
        <w:rPr>
          <w:i/>
          <w:iCs/>
        </w:rPr>
        <w:t xml:space="preserve">939</w:t>
      </w:r>
      <w:r>
        <w:t xml:space="preserve">, 1–19.</w:t>
      </w:r>
    </w:p>
    <w:bookmarkEnd w:id="159"/>
    <w:bookmarkStart w:id="161"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60">
        <w:r>
          <w:rPr>
            <w:rStyle w:val="Hyperlink"/>
          </w:rPr>
          <w:t xml:space="preserve">https://CRAN.R-project.org/package=nlme</w:t>
        </w:r>
      </w:hyperlink>
    </w:p>
    <w:bookmarkEnd w:id="161"/>
    <w:bookmarkStart w:id="163"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62">
        <w:r>
          <w:rPr>
            <w:rStyle w:val="Hyperlink"/>
          </w:rPr>
          <w:t xml:space="preserve">https://www.R-project.org/</w:t>
        </w:r>
      </w:hyperlink>
    </w:p>
    <w:bookmarkEnd w:id="163"/>
    <w:bookmarkStart w:id="165" w:name="ref-Rast1996Eutrophication"/>
    <w:p>
      <w:pPr>
        <w:pStyle w:val="Bibliography"/>
      </w:pPr>
      <w:r>
        <w:t xml:space="preserve">Rast, W., &amp; Thornton, J. A. (1996). Trends in eutrophication research and control.</w:t>
      </w:r>
      <w:r>
        <w:t xml:space="preserve"> </w:t>
      </w:r>
      <w:r>
        <w:rPr>
          <w:i/>
          <w:iCs/>
        </w:rPr>
        <w:t xml:space="preserve">Hydrological Processes</w:t>
      </w:r>
      <w:r>
        <w:t xml:space="preserve">,</w:t>
      </w:r>
      <w:r>
        <w:t xml:space="preserve"> </w:t>
      </w:r>
      <w:r>
        <w:rPr>
          <w:i/>
          <w:iCs/>
        </w:rPr>
        <w:t xml:space="preserve">10</w:t>
      </w:r>
      <w:r>
        <w:t xml:space="preserve">(2), 295–313.</w:t>
      </w:r>
      <w:r>
        <w:t xml:space="preserve"> </w:t>
      </w:r>
      <w:hyperlink r:id="rId164">
        <w:r>
          <w:rPr>
            <w:rStyle w:val="Hyperlink"/>
          </w:rPr>
          <w:t xml:space="preserve">https://doi.org/10.1002/(SICI)1099-1085(199602)10:2&lt;295::AID-HYP360&gt;3.0.CO;2-F</w:t>
        </w:r>
      </w:hyperlink>
    </w:p>
    <w:bookmarkEnd w:id="165"/>
    <w:bookmarkStart w:id="167"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66">
        <w:r>
          <w:rPr>
            <w:rStyle w:val="Hyperlink"/>
          </w:rPr>
          <w:t xml:space="preserve">https://doi.org/10.1007/s10705-015-9726-1</w:t>
        </w:r>
      </w:hyperlink>
    </w:p>
    <w:bookmarkEnd w:id="167"/>
    <w:bookmarkStart w:id="169"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68">
        <w:r>
          <w:rPr>
            <w:rStyle w:val="Hyperlink"/>
          </w:rPr>
          <w:t xml:space="preserve">https://doi.org/10.1051/agro:2002018</w:t>
        </w:r>
      </w:hyperlink>
    </w:p>
    <w:bookmarkEnd w:id="169"/>
    <w:bookmarkStart w:id="170"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70"/>
    <w:bookmarkStart w:id="172"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71">
        <w:r>
          <w:rPr>
            <w:rStyle w:val="Hyperlink"/>
          </w:rPr>
          <w:t xml:space="preserve">https://doi.org/10.2134/jeq2000.00472425002900010001x</w:t>
        </w:r>
      </w:hyperlink>
    </w:p>
    <w:bookmarkEnd w:id="172"/>
    <w:bookmarkStart w:id="174"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73">
        <w:r>
          <w:rPr>
            <w:rStyle w:val="Hyperlink"/>
          </w:rPr>
          <w:t xml:space="preserve">https://doi.org/10.2134/jeq2003.4210</w:t>
        </w:r>
      </w:hyperlink>
    </w:p>
    <w:bookmarkEnd w:id="174"/>
    <w:bookmarkStart w:id="176"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75">
        <w:r>
          <w:rPr>
            <w:rStyle w:val="Hyperlink"/>
          </w:rPr>
          <w:t xml:space="preserve">https://doi.org/10.2134/agronmonogr46</w:t>
        </w:r>
      </w:hyperlink>
    </w:p>
    <w:bookmarkEnd w:id="176"/>
    <w:bookmarkStart w:id="178"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77">
        <w:r>
          <w:rPr>
            <w:rStyle w:val="Hyperlink"/>
          </w:rPr>
          <w:t xml:space="preserve">https://doi.org/10.2135/cropsci1998.0011183X003800030002x</w:t>
        </w:r>
      </w:hyperlink>
    </w:p>
    <w:bookmarkEnd w:id="178"/>
    <w:bookmarkStart w:id="180"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79">
        <w:r>
          <w:rPr>
            <w:rStyle w:val="Hyperlink"/>
          </w:rPr>
          <w:t xml:space="preserve">https://doi.org/10.1016/B978-0-12-656446-4.50001-X</w:t>
        </w:r>
      </w:hyperlink>
    </w:p>
    <w:bookmarkEnd w:id="180"/>
    <w:bookmarkStart w:id="181"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81"/>
    <w:bookmarkStart w:id="182"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82"/>
    <w:bookmarkStart w:id="184"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83">
        <w:r>
          <w:rPr>
            <w:rStyle w:val="Hyperlink"/>
          </w:rPr>
          <w:t xml:space="preserve">https://doi.org/10.2134/agronj2002.2830</w:t>
        </w:r>
      </w:hyperlink>
    </w:p>
    <w:bookmarkEnd w:id="184"/>
    <w:bookmarkStart w:id="185"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85"/>
    <w:bookmarkStart w:id="186"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86"/>
    <w:bookmarkEnd w:id="187"/>
    <w:p>
      <w:r>
        <w:br w:type="page"/>
      </w:r>
    </w:p>
    <w:p>
      <w:r>
        <w:br w:type="page"/>
      </w:r>
    </w:p>
    <w:bookmarkEnd w:id="188"/>
    <w:bookmarkStart w:id="192" w:name="appendix"/>
    <w:p>
      <w:pPr>
        <w:pStyle w:val="Heading1"/>
      </w:pPr>
      <w:r>
        <w:t xml:space="preserve">7. Appendix</w:t>
      </w:r>
    </w:p>
    <w:bookmarkStart w:id="191" w:name="X5a320362c19fbb9a0d497031784de26d114bb0f"/>
    <w:p>
      <w:pPr>
        <w:pStyle w:val="Heading2"/>
      </w:pPr>
      <w:r>
        <w:t xml:space="preserve">7.1 Supplementary Materials and Reproducibility</w:t>
      </w:r>
    </w:p>
    <w:p>
      <w:pPr>
        <w:pStyle w:val="FirstParagraph"/>
      </w:pPr>
      <w:r>
        <w:t xml:space="preserve">This Master’s thesis was produced using a fully reproducible workflow with the</w:t>
      </w:r>
      <w:r>
        <w:t xml:space="preserve"> </w:t>
      </w:r>
      <w:r>
        <w:rPr>
          <w:b/>
          <w:bCs/>
        </w:rPr>
        <w:t xml:space="preserve">Quarto</w:t>
      </w:r>
      <w:r>
        <w:t xml:space="preserve"> </w:t>
      </w:r>
      <w:r>
        <w:t xml:space="preserve">publishing system. All data, R scripts, and analytical notebooks used to generate the figures, tables, and results presented in this work are openly available.</w:t>
      </w:r>
    </w:p>
    <w:p>
      <w:pPr>
        <w:pStyle w:val="BodyText"/>
      </w:pPr>
      <w:r>
        <w:t xml:space="preserve">The complete project can be cloned from the author’s GitHub repository, which contains the raw data, the R code for the kinetic and statistical models, and the Quarto source files.</w:t>
      </w:r>
    </w:p>
    <w:p>
      <w:pPr>
        <w:pStyle w:val="BodyText"/>
      </w:pPr>
      <w:r>
        <w:rPr>
          <w:b/>
          <w:bCs/>
        </w:rPr>
        <w:t xml:space="preserve">GitHub Repository URL:</w:t>
      </w:r>
      <w:r>
        <w:t xml:space="preserve"> </w:t>
      </w:r>
      <w:hyperlink r:id="rId189">
        <w:r>
          <w:rPr>
            <w:rStyle w:val="Hyperlink"/>
            <w:b/>
            <w:bCs/>
          </w:rPr>
          <w:t xml:space="preserve">[https://github.com/Andrapodon/Master-Thesis-P-kinetics]</w:t>
        </w:r>
      </w:hyperlink>
    </w:p>
    <w:p>
      <w:pPr>
        <w:pStyle w:val="BodyText"/>
      </w:pPr>
      <w:r>
        <w:t xml:space="preserve">A rendered version of the full project, including the analytical notebooks that document the development process, is also available as a GitHub Pages website at the following URL:</w:t>
      </w:r>
    </w:p>
    <w:p>
      <w:pPr>
        <w:pStyle w:val="BodyText"/>
      </w:pPr>
      <w:r>
        <w:rPr>
          <w:b/>
          <w:bCs/>
        </w:rPr>
        <w:t xml:space="preserve">GitHub Pages Site URL:</w:t>
      </w:r>
      <w:r>
        <w:t xml:space="preserve"> </w:t>
      </w:r>
      <w:hyperlink r:id="rId190">
        <w:r>
          <w:rPr>
            <w:rStyle w:val="Hyperlink"/>
            <w:b/>
            <w:bCs/>
          </w:rPr>
          <w:t xml:space="preserve">[https://andrapodon.github.io/Master-Thesis-P-kinetics/]</w:t>
        </w:r>
      </w:hyperlink>
    </w:p>
    <w:p>
      <w:pPr>
        <w:pStyle w:val="BodyText"/>
      </w:pPr>
      <w:r>
        <w:t xml:space="preserve">This approach ensures full transparency and allows for the complete replication of the findings presented in this thesis.</w:t>
      </w:r>
    </w:p>
    <w:bookmarkEnd w:id="191"/>
    <w:bookmarkEnd w:id="1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102" Target="media/rId10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70" Target="media/rId70.png" /><Relationship Type="http://schemas.openxmlformats.org/officeDocument/2006/relationships/image" Id="rId84" Target="media/rId84.png" /><Relationship Type="http://schemas.openxmlformats.org/officeDocument/2006/relationships/image" Id="rId79" Target="media/rId79.png" /><Relationship Type="http://schemas.openxmlformats.org/officeDocument/2006/relationships/hyperlink" Id="rId27" Target="https://Andrapodon.github.io/Master-Thesis-P-kinetics/index.qmd.html" TargetMode="External" /><Relationship Type="http://schemas.openxmlformats.org/officeDocument/2006/relationships/hyperlink" Id="rId160" Target="https://CRAN.R-project.org/package=nlme" TargetMode="External" /><Relationship Type="http://schemas.openxmlformats.org/officeDocument/2006/relationships/hyperlink" Id="rId190" Target="https://andrapodon.github.io/Master-Thesis-P-kinetics/" TargetMode="External" /><Relationship Type="http://schemas.openxmlformats.org/officeDocument/2006/relationships/hyperlink" Id="rId164" Target="https://doi.org/10.1002/(SICI)1099-1085(199602)10:2&lt;295::AID-HYP360&gt;3.0.CO;2-F" TargetMode="External" /><Relationship Type="http://schemas.openxmlformats.org/officeDocument/2006/relationships/hyperlink" Id="rId166" Target="https://doi.org/10.1007/s10705-015-9726-1" TargetMode="External" /><Relationship Type="http://schemas.openxmlformats.org/officeDocument/2006/relationships/hyperlink" Id="rId146" Target="https://doi.org/10.1007/s11368-012-0498-8" TargetMode="External" /><Relationship Type="http://schemas.openxmlformats.org/officeDocument/2006/relationships/hyperlink" Id="rId136" Target="https://doi.org/10.1007/s13280-017-0987-9" TargetMode="External" /><Relationship Type="http://schemas.openxmlformats.org/officeDocument/2006/relationships/hyperlink" Id="rId179" Target="https://doi.org/10.1016/B978-0-12-656446-4.50001-X" TargetMode="External" /><Relationship Type="http://schemas.openxmlformats.org/officeDocument/2006/relationships/hyperlink" Id="rId140" Target="https://doi.org/10.1016/j.agee.2020.107270" TargetMode="External" /><Relationship Type="http://schemas.openxmlformats.org/officeDocument/2006/relationships/hyperlink" Id="rId138" Target="https://doi.org/10.1016/j.scitotenv.2020.143453" TargetMode="External" /><Relationship Type="http://schemas.openxmlformats.org/officeDocument/2006/relationships/hyperlink" Id="rId134" Target="https://doi.org/10.1023/A:1013339317511" TargetMode="External" /><Relationship Type="http://schemas.openxmlformats.org/officeDocument/2006/relationships/hyperlink" Id="rId123" Target="https://doi.org/10.1051/agro:19910908" TargetMode="External" /><Relationship Type="http://schemas.openxmlformats.org/officeDocument/2006/relationships/hyperlink" Id="rId168" Target="https://doi.org/10.1051/agro:2002018" TargetMode="External" /><Relationship Type="http://schemas.openxmlformats.org/officeDocument/2006/relationships/hyperlink" Id="rId116" Target="https://doi.org/10.1071/CP13019" TargetMode="External" /><Relationship Type="http://schemas.openxmlformats.org/officeDocument/2006/relationships/hyperlink" Id="rId142" Target="https://doi.org/10.1071/S96047" TargetMode="External" /><Relationship Type="http://schemas.openxmlformats.org/officeDocument/2006/relationships/hyperlink" Id="rId121" Target="https://doi.org/10.1080/00103624.2013.741896" TargetMode="External" /><Relationship Type="http://schemas.openxmlformats.org/officeDocument/2006/relationships/hyperlink" Id="rId132" Target="https://doi.org/10.1097/SS.0b013e3181f26a1d" TargetMode="External" /><Relationship Type="http://schemas.openxmlformats.org/officeDocument/2006/relationships/hyperlink" Id="rId144" Target="https://doi.org/10.1100/tsw.2001.272" TargetMode="External" /><Relationship Type="http://schemas.openxmlformats.org/officeDocument/2006/relationships/hyperlink" Id="rId112" Target="https://doi.org/10.1126/science.283.5410.2015" TargetMode="External" /><Relationship Type="http://schemas.openxmlformats.org/officeDocument/2006/relationships/hyperlink" Id="rId114" Target="https://doi.org/10.18637/jss.v067.i01" TargetMode="External" /><Relationship Type="http://schemas.openxmlformats.org/officeDocument/2006/relationships/hyperlink" Id="rId148" Target="https://doi.org/10.18637/jss.v082.i13" TargetMode="External" /><Relationship Type="http://schemas.openxmlformats.org/officeDocument/2006/relationships/hyperlink" Id="rId150" Target="https://doi.org/10.21105/joss.01903" TargetMode="External" /><Relationship Type="http://schemas.openxmlformats.org/officeDocument/2006/relationships/hyperlink" Id="rId183" Target="https://doi.org/10.2134/agronj2002.2830" TargetMode="External" /><Relationship Type="http://schemas.openxmlformats.org/officeDocument/2006/relationships/hyperlink" Id="rId175" Target="https://doi.org/10.2134/agronmonogr46" TargetMode="External" /><Relationship Type="http://schemas.openxmlformats.org/officeDocument/2006/relationships/hyperlink" Id="rId171" Target="https://doi.org/10.2134/jeq2000.00472425002900010001x" TargetMode="External" /><Relationship Type="http://schemas.openxmlformats.org/officeDocument/2006/relationships/hyperlink" Id="rId130" Target="https://doi.org/10.2134/jeq2000.00472425002900010003x" TargetMode="External" /><Relationship Type="http://schemas.openxmlformats.org/officeDocument/2006/relationships/hyperlink" Id="rId152" Target="https://doi.org/10.2134/jeq2001.302508x" TargetMode="External" /><Relationship Type="http://schemas.openxmlformats.org/officeDocument/2006/relationships/hyperlink" Id="rId173" Target="https://doi.org/10.2134/jeq2003.4210" TargetMode="External" /><Relationship Type="http://schemas.openxmlformats.org/officeDocument/2006/relationships/hyperlink" Id="rId177" Target="https://doi.org/10.2135/cropsci1998.0011183X003800030002x" TargetMode="External" /><Relationship Type="http://schemas.openxmlformats.org/officeDocument/2006/relationships/hyperlink" Id="rId126" Target="https://doi.org/10.2136/sssabookser3.2ed.c11" TargetMode="External" /><Relationship Type="http://schemas.openxmlformats.org/officeDocument/2006/relationships/hyperlink" Id="rId189" Target="https://github.com/Andrapodon/Master-Thesis-P-kinetics" TargetMode="External" /><Relationship Type="http://schemas.openxmlformats.org/officeDocument/2006/relationships/hyperlink" Id="rId155" Target="https://ods.od.nih.gov/factsheets/Phosphorus-HealthProfessional/" TargetMode="External" /><Relationship Type="http://schemas.openxmlformats.org/officeDocument/2006/relationships/hyperlink" Id="rId16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160" Target="https://CRAN.R-project.org/package=nlme" TargetMode="External" /><Relationship Type="http://schemas.openxmlformats.org/officeDocument/2006/relationships/hyperlink" Id="rId190" Target="https://andrapodon.github.io/Master-Thesis-P-kinetics/" TargetMode="External" /><Relationship Type="http://schemas.openxmlformats.org/officeDocument/2006/relationships/hyperlink" Id="rId164" Target="https://doi.org/10.1002/(SICI)1099-1085(199602)10:2&lt;295::AID-HYP360&gt;3.0.CO;2-F" TargetMode="External" /><Relationship Type="http://schemas.openxmlformats.org/officeDocument/2006/relationships/hyperlink" Id="rId166" Target="https://doi.org/10.1007/s10705-015-9726-1" TargetMode="External" /><Relationship Type="http://schemas.openxmlformats.org/officeDocument/2006/relationships/hyperlink" Id="rId146" Target="https://doi.org/10.1007/s11368-012-0498-8" TargetMode="External" /><Relationship Type="http://schemas.openxmlformats.org/officeDocument/2006/relationships/hyperlink" Id="rId136" Target="https://doi.org/10.1007/s13280-017-0987-9" TargetMode="External" /><Relationship Type="http://schemas.openxmlformats.org/officeDocument/2006/relationships/hyperlink" Id="rId179" Target="https://doi.org/10.1016/B978-0-12-656446-4.50001-X" TargetMode="External" /><Relationship Type="http://schemas.openxmlformats.org/officeDocument/2006/relationships/hyperlink" Id="rId140" Target="https://doi.org/10.1016/j.agee.2020.107270" TargetMode="External" /><Relationship Type="http://schemas.openxmlformats.org/officeDocument/2006/relationships/hyperlink" Id="rId138" Target="https://doi.org/10.1016/j.scitotenv.2020.143453" TargetMode="External" /><Relationship Type="http://schemas.openxmlformats.org/officeDocument/2006/relationships/hyperlink" Id="rId134" Target="https://doi.org/10.1023/A:1013339317511" TargetMode="External" /><Relationship Type="http://schemas.openxmlformats.org/officeDocument/2006/relationships/hyperlink" Id="rId123" Target="https://doi.org/10.1051/agro:19910908" TargetMode="External" /><Relationship Type="http://schemas.openxmlformats.org/officeDocument/2006/relationships/hyperlink" Id="rId168" Target="https://doi.org/10.1051/agro:2002018" TargetMode="External" /><Relationship Type="http://schemas.openxmlformats.org/officeDocument/2006/relationships/hyperlink" Id="rId116" Target="https://doi.org/10.1071/CP13019" TargetMode="External" /><Relationship Type="http://schemas.openxmlformats.org/officeDocument/2006/relationships/hyperlink" Id="rId142" Target="https://doi.org/10.1071/S96047" TargetMode="External" /><Relationship Type="http://schemas.openxmlformats.org/officeDocument/2006/relationships/hyperlink" Id="rId121" Target="https://doi.org/10.1080/00103624.2013.741896" TargetMode="External" /><Relationship Type="http://schemas.openxmlformats.org/officeDocument/2006/relationships/hyperlink" Id="rId132" Target="https://doi.org/10.1097/SS.0b013e3181f26a1d" TargetMode="External" /><Relationship Type="http://schemas.openxmlformats.org/officeDocument/2006/relationships/hyperlink" Id="rId144" Target="https://doi.org/10.1100/tsw.2001.272" TargetMode="External" /><Relationship Type="http://schemas.openxmlformats.org/officeDocument/2006/relationships/hyperlink" Id="rId112" Target="https://doi.org/10.1126/science.283.5410.2015" TargetMode="External" /><Relationship Type="http://schemas.openxmlformats.org/officeDocument/2006/relationships/hyperlink" Id="rId114" Target="https://doi.org/10.18637/jss.v067.i01" TargetMode="External" /><Relationship Type="http://schemas.openxmlformats.org/officeDocument/2006/relationships/hyperlink" Id="rId148" Target="https://doi.org/10.18637/jss.v082.i13" TargetMode="External" /><Relationship Type="http://schemas.openxmlformats.org/officeDocument/2006/relationships/hyperlink" Id="rId150" Target="https://doi.org/10.21105/joss.01903" TargetMode="External" /><Relationship Type="http://schemas.openxmlformats.org/officeDocument/2006/relationships/hyperlink" Id="rId183" Target="https://doi.org/10.2134/agronj2002.2830" TargetMode="External" /><Relationship Type="http://schemas.openxmlformats.org/officeDocument/2006/relationships/hyperlink" Id="rId175" Target="https://doi.org/10.2134/agronmonogr46" TargetMode="External" /><Relationship Type="http://schemas.openxmlformats.org/officeDocument/2006/relationships/hyperlink" Id="rId171" Target="https://doi.org/10.2134/jeq2000.00472425002900010001x" TargetMode="External" /><Relationship Type="http://schemas.openxmlformats.org/officeDocument/2006/relationships/hyperlink" Id="rId130" Target="https://doi.org/10.2134/jeq2000.00472425002900010003x" TargetMode="External" /><Relationship Type="http://schemas.openxmlformats.org/officeDocument/2006/relationships/hyperlink" Id="rId152" Target="https://doi.org/10.2134/jeq2001.302508x" TargetMode="External" /><Relationship Type="http://schemas.openxmlformats.org/officeDocument/2006/relationships/hyperlink" Id="rId173" Target="https://doi.org/10.2134/jeq2003.4210" TargetMode="External" /><Relationship Type="http://schemas.openxmlformats.org/officeDocument/2006/relationships/hyperlink" Id="rId177" Target="https://doi.org/10.2135/cropsci1998.0011183X003800030002x" TargetMode="External" /><Relationship Type="http://schemas.openxmlformats.org/officeDocument/2006/relationships/hyperlink" Id="rId126" Target="https://doi.org/10.2136/sssabookser3.2ed.c11" TargetMode="External" /><Relationship Type="http://schemas.openxmlformats.org/officeDocument/2006/relationships/hyperlink" Id="rId189" Target="https://github.com/Andrapodon/Master-Thesis-P-kinetics" TargetMode="External" /><Relationship Type="http://schemas.openxmlformats.org/officeDocument/2006/relationships/hyperlink" Id="rId155" Target="https://ods.od.nih.gov/factsheets/Phosphorus-HealthProfessional/" TargetMode="External" /><Relationship Type="http://schemas.openxmlformats.org/officeDocument/2006/relationships/hyperlink" Id="rId16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Swiss cropping systems</dc:title>
  <dc:creator/>
  <cp:keywords/>
  <dcterms:created xsi:type="dcterms:W3CDTF">2025-10-20T07:35:13Z</dcterms:created>
  <dcterms:modified xsi:type="dcterms:W3CDTF">2025-10-20T07:35:13Z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Traditional static soil tests (STPs) for phosphorus (P) often fail to predict agronomic outcomes because they do not account for the kinetic nature of P supply to plant roots. This thesis investigated whether P desorption kinetic parameters could serve as more effective predictors. Using soils from the long-term Swiss agricultural experiment (STYCS), a sequential extraction method was refined and modeled with a non-linear approach to derive the desorbable P pool (P_{desorb}) and a rate constant (k). The predictive power of these kinetic parameters was compared against standard Swiss STPs (P_{CO_2} and P_{AAE10}) for various agronomic outcomes using linear mixed-effects models. The results revealed a highly context-dependent performance. For predicting site-normalized yield, STPs were superior, while for national-normalized yield and P-uptake, both methods performed poorly, with their predictive signals being overshadowed by dominant pedoclimatic factors. Furthermore, the two STP methods provided largely redundant information, as their combination did not improve predictive power. The most significant finding was the exceptional success of the kinetic model in predicting the long-term P-Balance, a key indicator of nutrient stewardship. The P_{desorb} parameter alone explained 57% of the variance, whereas STP models showed no predictive power. This study concludes that the ideal soil P test is purpose-dependent: while traditional STPs remain adequate for within-field fertility management, kinetic parameters are a vastly superior tool for assessing the long-term P status and sustainability of agricultural soils.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2025-09-12</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of">
    <vt:lpwstr>True</vt:lpwstr>
  </property>
  <property fmtid="{D5CDD505-2E9C-101B-9397-08002B2CF9AE}" pid="19" name="lot">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