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微软雅黑" w:hAnsi="微软雅黑"/>
          <w:b/>
          <w:color w:val="1A3C6D"/>
          <w:sz w:val="56"/>
        </w:rPr>
        <w:t>能源可信数据空间</w:t>
      </w:r>
    </w:p>
    <w:p>
      <w:pPr>
        <w:jc w:val="center"/>
      </w:pPr>
      <w:r>
        <w:rPr>
          <w:rFonts w:ascii="微软雅黑" w:hAnsi="微软雅黑"/>
          <w:color w:val="2B579A"/>
          <w:sz w:val="44"/>
        </w:rPr>
        <w:t>完整技术方案报告</w:t>
      </w:r>
    </w:p>
    <w:p/>
    <w:p>
      <w:pPr>
        <w:jc w:val="center"/>
      </w:pPr>
      <w:r>
        <w:rPr>
          <w:rFonts w:ascii="微软雅黑" w:hAnsi="微软雅黑"/>
          <w:color w:val="666666"/>
          <w:sz w:val="28"/>
        </w:rPr>
        <w:t>Energy Trusted Data Space — Technical Solution Report</w:t>
      </w:r>
    </w:p>
    <w:p/>
    <w:p/>
    <w:p/>
    <w:p>
      <w:pPr>
        <w:jc w:val="center"/>
      </w:pPr>
      <w:r>
        <w:rPr>
          <w:rFonts w:ascii="微软雅黑" w:hAnsi="微软雅黑"/>
          <w:sz w:val="24"/>
        </w:rPr>
        <w:t>版本：V2.0</w:t>
      </w:r>
    </w:p>
    <w:p>
      <w:pPr>
        <w:jc w:val="center"/>
      </w:pPr>
      <w:r>
        <w:rPr>
          <w:rFonts w:ascii="微软雅黑" w:hAnsi="微软雅黑"/>
          <w:sz w:val="24"/>
        </w:rPr>
        <w:t>日期：2026年05月21日</w:t>
      </w:r>
    </w:p>
    <w:p>
      <w:pPr>
        <w:jc w:val="center"/>
      </w:pPr>
      <w:r>
        <w:rPr>
          <w:rFonts w:ascii="微软雅黑" w:hAnsi="微软雅黑"/>
          <w:sz w:val="24"/>
        </w:rPr>
        <w:t>密级：内部</w:t>
      </w:r>
    </w:p>
    <w:p>
      <w:pPr>
        <w:jc w:val="center"/>
      </w:pPr>
      <w:r>
        <w:rPr>
          <w:rFonts w:ascii="微软雅黑" w:hAnsi="微软雅黑"/>
          <w:sz w:val="24"/>
        </w:rPr>
        <w:t>状态：终稿</w:t>
      </w:r>
    </w:p>
    <w:p>
      <w:r>
        <w:br w:type="page"/>
      </w:r>
    </w:p>
    <w:p>
      <w:pPr>
        <w:pStyle w:val="Heading1"/>
      </w:pPr>
      <w:r>
        <w:rPr>
          <w:rFonts w:ascii="微软雅黑" w:hAnsi="微软雅黑" w:eastAsia="微软雅黑"/>
        </w:rPr>
        <w:t>摘要</w:t>
      </w:r>
    </w:p>
    <w:p>
      <w:pPr>
        <w:spacing w:line="360" w:lineRule="auto" w:after="120"/>
        <w:ind w:firstLine="420"/>
      </w:pPr>
      <w:r>
        <w:rPr>
          <w:rFonts w:ascii="微软雅黑" w:hAnsi="微软雅黑" w:eastAsia="微软雅黑"/>
          <w:b w:val="0"/>
          <w:sz w:val="21"/>
        </w:rPr>
        <w:t>在数字经济时代，数据已成为与土地、劳动力、资本、技术并列的第五大生产要素。能源行业作为国民经济的基础性行业，数据资源体量巨大、价值密度高，但由于数据孤岛、隐私泄露风险、权属不清等问题，能源数据的流通共享和价值释放面临重大挑战。国家数据局于2024年11月印发《可信数据空间发展行动计划（2024-2028年）》，明确提出建设可信数据空间的战略目标。</w:t>
      </w:r>
    </w:p>
    <w:p>
      <w:pPr>
        <w:spacing w:line="360" w:lineRule="auto" w:after="120"/>
        <w:ind w:firstLine="420"/>
      </w:pPr>
      <w:r>
        <w:rPr>
          <w:rFonts w:ascii="微软雅黑" w:hAnsi="微软雅黑" w:eastAsia="微软雅黑"/>
          <w:b w:val="0"/>
          <w:sz w:val="21"/>
        </w:rPr>
        <w:t>本报告提出了"能源可信数据空间"（Energy Trusted Data Space, ETDS）的完整技术方案。该方案以"一门户五中心"为核心架构，融合了联邦学习（Federated Learning）、可信执行环境（TEE）、安全多方计算（MPC）、同态加密（HE）、区块链存证、分布式数字身份（DID）、可验证凭证（VC）等前沿隐私计算与数据安全技术，构建了覆盖"数据供给—数据流通—数据使用—数据监管"全生命周期的可信数据空间。</w:t>
      </w:r>
    </w:p>
    <w:p>
      <w:pPr>
        <w:spacing w:line="360" w:lineRule="auto" w:after="120"/>
        <w:ind w:firstLine="420"/>
      </w:pPr>
      <w:r>
        <w:rPr>
          <w:rFonts w:ascii="微软雅黑" w:hAnsi="微软雅黑" w:eastAsia="微软雅黑"/>
          <w:b w:val="0"/>
          <w:sz w:val="21"/>
        </w:rPr>
        <w:t>本报告从项目背景、技术需求分析、总体架构设计、核心技术创新点、关键技术实现细节、实验验证方案、性能测试结果、应用价值分析、风险评估与应对措施等九个维度进行了全面深入的技术阐述。报告总字数超过50000字，包含架构图、流程图、技术对比表、性能测试数据等丰富的可视化内容。</w:t>
      </w:r>
    </w:p>
    <w:p>
      <w:pPr>
        <w:spacing w:line="360" w:lineRule="auto" w:after="120"/>
        <w:ind w:firstLine="420"/>
      </w:pPr>
      <w:r>
        <w:rPr>
          <w:rFonts w:ascii="微软雅黑" w:hAnsi="微软雅黑" w:eastAsia="微软雅黑"/>
          <w:b w:val="0"/>
          <w:sz w:val="21"/>
        </w:rPr>
        <w:t>关键词：可信数据空间；能源数据治理；隐私计算；联邦学习；区块链；分布式数字身份；数据要素</w:t>
      </w:r>
    </w:p>
    <w:p>
      <w:r>
        <w:br w:type="page"/>
      </w:r>
    </w:p>
    <w:p>
      <w:pPr>
        <w:pStyle w:val="Heading1"/>
      </w:pPr>
      <w:r>
        <w:rPr>
          <w:rFonts w:ascii="微软雅黑" w:hAnsi="微软雅黑" w:eastAsia="微软雅黑"/>
        </w:rPr>
        <w:t>第一章  项目背景</w:t>
      </w:r>
    </w:p>
    <w:p>
      <w:pPr>
        <w:pStyle w:val="Heading2"/>
      </w:pPr>
      <w:r>
        <w:rPr>
          <w:rFonts w:ascii="微软雅黑" w:hAnsi="微软雅黑" w:eastAsia="微软雅黑"/>
        </w:rPr>
        <w:t>1.1  数字经济发展与数据要素化</w:t>
      </w:r>
    </w:p>
    <w:p>
      <w:pPr>
        <w:spacing w:line="360" w:lineRule="auto" w:after="120"/>
        <w:ind w:firstLine="420"/>
      </w:pPr>
      <w:r>
        <w:rPr>
          <w:rFonts w:ascii="微软雅黑" w:hAnsi="微软雅黑" w:eastAsia="微软雅黑"/>
          <w:b w:val="0"/>
          <w:sz w:val="21"/>
        </w:rPr>
        <w:t>21世纪第三个十年，全球数字经济进入深度发展阶段。根据中国信息通信研究院《全球数字经济白皮书（2024）》数据，2023年全球47个主要经济体的数字经济增加值规模达到38.1万亿美元，占GDP比重超过45%。中国数字经济规模达到53.9万亿元人民币，占GDP比重约为42.8%，数字经济已成为推动国民经济高质量发展的核心引擎。</w:t>
      </w:r>
    </w:p>
    <w:p>
      <w:pPr>
        <w:spacing w:line="360" w:lineRule="auto" w:after="120"/>
        <w:ind w:firstLine="420"/>
      </w:pPr>
      <w:r>
        <w:rPr>
          <w:rFonts w:ascii="微软雅黑" w:hAnsi="微软雅黑" w:eastAsia="微软雅黑"/>
          <w:b w:val="0"/>
          <w:sz w:val="21"/>
        </w:rPr>
        <w:t>2019年，党的十九届四中全会首次将数据纳入生产要素范畴。2022年12月，中共中央、国务院发布《关于构建数据基础制度更好发挥数据要素作用的意见》（简称"数据二十条"），从数据产权、流通交易、收益分配、安全治理四个方面系统提出了数据基础制度体系的建设框架。2023年10月，国家数据局正式挂牌成立，标志着我国数据治理进入全新阶段。</w:t>
      </w:r>
    </w:p>
    <w:p>
      <w:pPr>
        <w:spacing w:line="360" w:lineRule="auto" w:after="120"/>
        <w:ind w:firstLine="420"/>
      </w:pPr>
      <w:r>
        <w:rPr>
          <w:rFonts w:ascii="微软雅黑" w:hAnsi="微软雅黑" w:eastAsia="微软雅黑"/>
          <w:b w:val="0"/>
          <w:sz w:val="21"/>
        </w:rPr>
        <w:t>2024年11月，国家数据局印发《可信数据空间发展行动计划（2024-2028年）》，明确提出到2028年建成100个以上可信数据空间的目标。行动计划指出，可信数据空间是基于共识规则，联接多方主体，实现数据资源共享共用的一种数据流通利用基础设施，是支撑构建全国一体化数据市场的重要载体。行动计划重点部署了企业可信数据空间、行业可信数据空间、城市可信数据空间、个人可信数据空间、跨境可信数据空间五类数据空间的建设任务。</w:t>
      </w:r>
    </w:p>
    <w:p>
      <w:pPr>
        <w:spacing w:line="360" w:lineRule="auto" w:after="120"/>
        <w:ind w:firstLine="420"/>
      </w:pPr>
      <w:r>
        <w:rPr>
          <w:rFonts w:ascii="微软雅黑" w:hAnsi="微软雅黑" w:eastAsia="微软雅黑"/>
          <w:b w:val="0"/>
          <w:sz w:val="21"/>
        </w:rPr>
        <w:t>从全球视角来看，欧盟于2020年发布《欧洲数据战略》，提出了建设欧洲共同数据空间的愿景，先后启动了GAIA-X项目和国际数据空间协会（IDSA）的参考架构标准制定。截至2025年，欧洲已在健康、能源、制造、农业、交通等九个战略领域启动了数据空间建设试点。美国通过《联邦数据战略》推动政府数据开放共享。日本、韩国、新加坡等亚洲国家也纷纷出台数据战略，积极布局可信数据流通基础设施。</w:t>
      </w:r>
    </w:p>
    <w:p>
      <w:pPr>
        <w:spacing w:line="360" w:lineRule="auto" w:after="120"/>
        <w:jc w:val="center"/>
      </w:pPr>
      <w:r>
        <w:rPr>
          <w:rFonts w:ascii="微软雅黑" w:hAnsi="微软雅黑" w:eastAsia="微软雅黑"/>
          <w:b/>
          <w:sz w:val="18"/>
        </w:rPr>
        <w:t>表1-1  全球主要国家和地区数据要素政策对比</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134"/>
            <w:shd w:fill="1A3C6D"/>
          </w:tcPr>
          <w:p>
            <w:pPr>
              <w:jc w:val="center"/>
            </w:pPr>
            <w:r/>
            <w:r>
              <w:rPr>
                <w:rFonts w:ascii="微软雅黑" w:hAnsi="微软雅黑"/>
                <w:b/>
                <w:color w:val="FFFFFF"/>
                <w:sz w:val="16"/>
              </w:rPr>
              <w:t>国家/地区</w:t>
            </w:r>
          </w:p>
        </w:tc>
        <w:tc>
          <w:tcPr>
            <w:tcW w:type="dxa" w:w="2268"/>
            <w:shd w:fill="1A3C6D"/>
          </w:tcPr>
          <w:p>
            <w:pPr>
              <w:jc w:val="center"/>
            </w:pPr>
            <w:r/>
            <w:r>
              <w:rPr>
                <w:rFonts w:ascii="微软雅黑" w:hAnsi="微软雅黑"/>
                <w:b/>
                <w:color w:val="FFFFFF"/>
                <w:sz w:val="16"/>
              </w:rPr>
              <w:t>核心政策文件</w:t>
            </w:r>
          </w:p>
        </w:tc>
        <w:tc>
          <w:tcPr>
            <w:tcW w:type="dxa" w:w="850"/>
            <w:shd w:fill="1A3C6D"/>
          </w:tcPr>
          <w:p>
            <w:pPr>
              <w:jc w:val="center"/>
            </w:pPr>
            <w:r/>
            <w:r>
              <w:rPr>
                <w:rFonts w:ascii="微软雅黑" w:hAnsi="微软雅黑"/>
                <w:b/>
                <w:color w:val="FFFFFF"/>
                <w:sz w:val="16"/>
              </w:rPr>
              <w:t>发布年份</w:t>
            </w:r>
          </w:p>
        </w:tc>
        <w:tc>
          <w:tcPr>
            <w:tcW w:type="dxa" w:w="1417"/>
            <w:shd w:fill="1A3C6D"/>
          </w:tcPr>
          <w:p>
            <w:pPr>
              <w:jc w:val="center"/>
            </w:pPr>
            <w:r/>
            <w:r>
              <w:rPr>
                <w:rFonts w:ascii="微软雅黑" w:hAnsi="微软雅黑"/>
                <w:b/>
                <w:color w:val="FFFFFF"/>
                <w:sz w:val="16"/>
              </w:rPr>
              <w:t>监管机构</w:t>
            </w:r>
          </w:p>
        </w:tc>
        <w:tc>
          <w:tcPr>
            <w:tcW w:type="dxa" w:w="1701"/>
            <w:shd w:fill="1A3C6D"/>
          </w:tcPr>
          <w:p>
            <w:pPr>
              <w:jc w:val="center"/>
            </w:pPr>
            <w:r/>
            <w:r>
              <w:rPr>
                <w:rFonts w:ascii="微软雅黑" w:hAnsi="微软雅黑"/>
                <w:b/>
                <w:color w:val="FFFFFF"/>
                <w:sz w:val="16"/>
              </w:rPr>
              <w:t>数据空间建设模式</w:t>
            </w:r>
          </w:p>
        </w:tc>
      </w:tr>
      <w:tr>
        <w:tc>
          <w:tcPr>
            <w:tcW w:type="dxa" w:w="1134"/>
          </w:tcPr>
          <w:p>
            <w:pPr>
              <w:jc w:val="center"/>
            </w:pPr>
            <w:r/>
            <w:r>
              <w:rPr>
                <w:rFonts w:ascii="微软雅黑" w:hAnsi="微软雅黑"/>
                <w:sz w:val="15"/>
              </w:rPr>
              <w:t>中国</w:t>
            </w:r>
          </w:p>
        </w:tc>
        <w:tc>
          <w:tcPr>
            <w:tcW w:type="dxa" w:w="2268"/>
          </w:tcPr>
          <w:p>
            <w:pPr>
              <w:jc w:val="center"/>
            </w:pPr>
            <w:r/>
            <w:r>
              <w:rPr>
                <w:rFonts w:ascii="微软雅黑" w:hAnsi="微软雅黑"/>
                <w:sz w:val="15"/>
              </w:rPr>
              <w:t>数据二十条、可信数据空间行动计划</w:t>
            </w:r>
          </w:p>
        </w:tc>
        <w:tc>
          <w:tcPr>
            <w:tcW w:type="dxa" w:w="850"/>
          </w:tcPr>
          <w:p>
            <w:pPr>
              <w:jc w:val="center"/>
            </w:pPr>
            <w:r/>
            <w:r>
              <w:rPr>
                <w:rFonts w:ascii="微软雅黑" w:hAnsi="微软雅黑"/>
                <w:sz w:val="15"/>
              </w:rPr>
              <w:t>2022-2024</w:t>
            </w:r>
          </w:p>
        </w:tc>
        <w:tc>
          <w:tcPr>
            <w:tcW w:type="dxa" w:w="1417"/>
          </w:tcPr>
          <w:p>
            <w:pPr>
              <w:jc w:val="center"/>
            </w:pPr>
            <w:r/>
            <w:r>
              <w:rPr>
                <w:rFonts w:ascii="微软雅黑" w:hAnsi="微软雅黑"/>
                <w:sz w:val="15"/>
              </w:rPr>
              <w:t>国家数据局</w:t>
            </w:r>
          </w:p>
        </w:tc>
        <w:tc>
          <w:tcPr>
            <w:tcW w:type="dxa" w:w="1701"/>
          </w:tcPr>
          <w:p>
            <w:pPr>
              <w:jc w:val="center"/>
            </w:pPr>
            <w:r/>
            <w:r>
              <w:rPr>
                <w:rFonts w:ascii="微软雅黑" w:hAnsi="微软雅黑"/>
                <w:sz w:val="15"/>
              </w:rPr>
              <w:t>政府主导+市场驱动</w:t>
            </w:r>
          </w:p>
        </w:tc>
      </w:tr>
      <w:tr>
        <w:tc>
          <w:tcPr>
            <w:tcW w:type="dxa" w:w="1134"/>
            <w:shd w:fill="F0F4FA"/>
          </w:tcPr>
          <w:p>
            <w:pPr>
              <w:jc w:val="center"/>
            </w:pPr>
            <w:r/>
            <w:r>
              <w:rPr>
                <w:rFonts w:ascii="微软雅黑" w:hAnsi="微软雅黑"/>
                <w:sz w:val="15"/>
              </w:rPr>
              <w:t>欧盟</w:t>
            </w:r>
          </w:p>
        </w:tc>
        <w:tc>
          <w:tcPr>
            <w:tcW w:type="dxa" w:w="2268"/>
            <w:shd w:fill="F0F4FA"/>
          </w:tcPr>
          <w:p>
            <w:pPr>
              <w:jc w:val="center"/>
            </w:pPr>
            <w:r/>
            <w:r>
              <w:rPr>
                <w:rFonts w:ascii="微软雅黑" w:hAnsi="微软雅黑"/>
                <w:sz w:val="15"/>
              </w:rPr>
              <w:t>欧洲数据战略、数据治理法案</w:t>
            </w:r>
          </w:p>
        </w:tc>
        <w:tc>
          <w:tcPr>
            <w:tcW w:type="dxa" w:w="850"/>
            <w:shd w:fill="F0F4FA"/>
          </w:tcPr>
          <w:p>
            <w:pPr>
              <w:jc w:val="center"/>
            </w:pPr>
            <w:r/>
            <w:r>
              <w:rPr>
                <w:rFonts w:ascii="微软雅黑" w:hAnsi="微软雅黑"/>
                <w:sz w:val="15"/>
              </w:rPr>
              <w:t>2020-2022</w:t>
            </w:r>
          </w:p>
        </w:tc>
        <w:tc>
          <w:tcPr>
            <w:tcW w:type="dxa" w:w="1417"/>
            <w:shd w:fill="F0F4FA"/>
          </w:tcPr>
          <w:p>
            <w:pPr>
              <w:jc w:val="center"/>
            </w:pPr>
            <w:r/>
            <w:r>
              <w:rPr>
                <w:rFonts w:ascii="微软雅黑" w:hAnsi="微软雅黑"/>
                <w:sz w:val="15"/>
              </w:rPr>
              <w:t>欧盟委员会</w:t>
            </w:r>
          </w:p>
        </w:tc>
        <w:tc>
          <w:tcPr>
            <w:tcW w:type="dxa" w:w="1701"/>
            <w:shd w:fill="F0F4FA"/>
          </w:tcPr>
          <w:p>
            <w:pPr>
              <w:jc w:val="center"/>
            </w:pPr>
            <w:r/>
            <w:r>
              <w:rPr>
                <w:rFonts w:ascii="微软雅黑" w:hAnsi="微软雅黑"/>
                <w:sz w:val="15"/>
              </w:rPr>
              <w:t>GAIA-X联邦架构</w:t>
            </w:r>
          </w:p>
        </w:tc>
      </w:tr>
      <w:tr>
        <w:tc>
          <w:tcPr>
            <w:tcW w:type="dxa" w:w="1134"/>
          </w:tcPr>
          <w:p>
            <w:pPr>
              <w:jc w:val="center"/>
            </w:pPr>
            <w:r/>
            <w:r>
              <w:rPr>
                <w:rFonts w:ascii="微软雅黑" w:hAnsi="微软雅黑"/>
                <w:sz w:val="15"/>
              </w:rPr>
              <w:t>美国</w:t>
            </w:r>
          </w:p>
        </w:tc>
        <w:tc>
          <w:tcPr>
            <w:tcW w:type="dxa" w:w="2268"/>
          </w:tcPr>
          <w:p>
            <w:pPr>
              <w:jc w:val="center"/>
            </w:pPr>
            <w:r/>
            <w:r>
              <w:rPr>
                <w:rFonts w:ascii="微软雅黑" w:hAnsi="微软雅黑"/>
                <w:sz w:val="15"/>
              </w:rPr>
              <w:t>联邦数据战略</w:t>
            </w:r>
          </w:p>
        </w:tc>
        <w:tc>
          <w:tcPr>
            <w:tcW w:type="dxa" w:w="850"/>
          </w:tcPr>
          <w:p>
            <w:pPr>
              <w:jc w:val="center"/>
            </w:pPr>
            <w:r/>
            <w:r>
              <w:rPr>
                <w:rFonts w:ascii="微软雅黑" w:hAnsi="微软雅黑"/>
                <w:sz w:val="15"/>
              </w:rPr>
              <w:t>2020</w:t>
            </w:r>
          </w:p>
        </w:tc>
        <w:tc>
          <w:tcPr>
            <w:tcW w:type="dxa" w:w="1417"/>
          </w:tcPr>
          <w:p>
            <w:pPr>
              <w:jc w:val="center"/>
            </w:pPr>
            <w:r/>
            <w:r>
              <w:rPr>
                <w:rFonts w:ascii="微软雅黑" w:hAnsi="微软雅黑"/>
                <w:sz w:val="15"/>
              </w:rPr>
              <w:t>OMB/OSTP</w:t>
            </w:r>
          </w:p>
        </w:tc>
        <w:tc>
          <w:tcPr>
            <w:tcW w:type="dxa" w:w="1701"/>
          </w:tcPr>
          <w:p>
            <w:pPr>
              <w:jc w:val="center"/>
            </w:pPr>
            <w:r/>
            <w:r>
              <w:rPr>
                <w:rFonts w:ascii="微软雅黑" w:hAnsi="微软雅黑"/>
                <w:sz w:val="15"/>
              </w:rPr>
              <w:t>市场驱动</w:t>
            </w:r>
          </w:p>
        </w:tc>
      </w:tr>
      <w:tr>
        <w:tc>
          <w:tcPr>
            <w:tcW w:type="dxa" w:w="1134"/>
            <w:shd w:fill="F0F4FA"/>
          </w:tcPr>
          <w:p>
            <w:pPr>
              <w:jc w:val="center"/>
            </w:pPr>
            <w:r/>
            <w:r>
              <w:rPr>
                <w:rFonts w:ascii="微软雅黑" w:hAnsi="微软雅黑"/>
                <w:sz w:val="15"/>
              </w:rPr>
              <w:t>日本</w:t>
            </w:r>
          </w:p>
        </w:tc>
        <w:tc>
          <w:tcPr>
            <w:tcW w:type="dxa" w:w="2268"/>
            <w:shd w:fill="F0F4FA"/>
          </w:tcPr>
          <w:p>
            <w:pPr>
              <w:jc w:val="center"/>
            </w:pPr>
            <w:r/>
            <w:r>
              <w:rPr>
                <w:rFonts w:ascii="微软雅黑" w:hAnsi="微软雅黑"/>
                <w:sz w:val="15"/>
              </w:rPr>
              <w:t>数据战略2025</w:t>
            </w:r>
          </w:p>
        </w:tc>
        <w:tc>
          <w:tcPr>
            <w:tcW w:type="dxa" w:w="850"/>
            <w:shd w:fill="F0F4FA"/>
          </w:tcPr>
          <w:p>
            <w:pPr>
              <w:jc w:val="center"/>
            </w:pPr>
            <w:r/>
            <w:r>
              <w:rPr>
                <w:rFonts w:ascii="微软雅黑" w:hAnsi="微软雅黑"/>
                <w:sz w:val="15"/>
              </w:rPr>
              <w:t>2021</w:t>
            </w:r>
          </w:p>
        </w:tc>
        <w:tc>
          <w:tcPr>
            <w:tcW w:type="dxa" w:w="1417"/>
            <w:shd w:fill="F0F4FA"/>
          </w:tcPr>
          <w:p>
            <w:pPr>
              <w:jc w:val="center"/>
            </w:pPr>
            <w:r/>
            <w:r>
              <w:rPr>
                <w:rFonts w:ascii="微软雅黑" w:hAnsi="微软雅黑"/>
                <w:sz w:val="15"/>
              </w:rPr>
              <w:t>数字厅</w:t>
            </w:r>
          </w:p>
        </w:tc>
        <w:tc>
          <w:tcPr>
            <w:tcW w:type="dxa" w:w="1701"/>
            <w:shd w:fill="F0F4FA"/>
          </w:tcPr>
          <w:p>
            <w:pPr>
              <w:jc w:val="center"/>
            </w:pPr>
            <w:r/>
            <w:r>
              <w:rPr>
                <w:rFonts w:ascii="微软雅黑" w:hAnsi="微软雅黑"/>
                <w:sz w:val="15"/>
              </w:rPr>
              <w:t>官民协作</w:t>
            </w:r>
          </w:p>
        </w:tc>
      </w:tr>
      <w:tr>
        <w:tc>
          <w:tcPr>
            <w:tcW w:type="dxa" w:w="1134"/>
          </w:tcPr>
          <w:p>
            <w:pPr>
              <w:jc w:val="center"/>
            </w:pPr>
            <w:r/>
            <w:r>
              <w:rPr>
                <w:rFonts w:ascii="微软雅黑" w:hAnsi="微软雅黑"/>
                <w:sz w:val="15"/>
              </w:rPr>
              <w:t>韩国</w:t>
            </w:r>
          </w:p>
        </w:tc>
        <w:tc>
          <w:tcPr>
            <w:tcW w:type="dxa" w:w="2268"/>
          </w:tcPr>
          <w:p>
            <w:pPr>
              <w:jc w:val="center"/>
            </w:pPr>
            <w:r/>
            <w:r>
              <w:rPr>
                <w:rFonts w:ascii="微软雅黑" w:hAnsi="微软雅黑"/>
                <w:sz w:val="15"/>
              </w:rPr>
              <w:t>数据产业振兴法</w:t>
            </w:r>
          </w:p>
        </w:tc>
        <w:tc>
          <w:tcPr>
            <w:tcW w:type="dxa" w:w="850"/>
          </w:tcPr>
          <w:p>
            <w:pPr>
              <w:jc w:val="center"/>
            </w:pPr>
            <w:r/>
            <w:r>
              <w:rPr>
                <w:rFonts w:ascii="微软雅黑" w:hAnsi="微软雅黑"/>
                <w:sz w:val="15"/>
              </w:rPr>
              <w:t>2021</w:t>
            </w:r>
          </w:p>
        </w:tc>
        <w:tc>
          <w:tcPr>
            <w:tcW w:type="dxa" w:w="1417"/>
          </w:tcPr>
          <w:p>
            <w:pPr>
              <w:jc w:val="center"/>
            </w:pPr>
            <w:r/>
            <w:r>
              <w:rPr>
                <w:rFonts w:ascii="微软雅黑" w:hAnsi="微软雅黑"/>
                <w:sz w:val="15"/>
              </w:rPr>
              <w:t>数据产业振兴院</w:t>
            </w:r>
          </w:p>
        </w:tc>
        <w:tc>
          <w:tcPr>
            <w:tcW w:type="dxa" w:w="1701"/>
          </w:tcPr>
          <w:p>
            <w:pPr>
              <w:jc w:val="center"/>
            </w:pPr>
            <w:r/>
            <w:r>
              <w:rPr>
                <w:rFonts w:ascii="微软雅黑" w:hAnsi="微软雅黑"/>
                <w:sz w:val="15"/>
              </w:rPr>
              <w:t>政府主导</w:t>
            </w:r>
          </w:p>
        </w:tc>
      </w:tr>
    </w:tbl>
    <w:p/>
    <w:p>
      <w:pPr>
        <w:pStyle w:val="Heading2"/>
      </w:pPr>
      <w:r>
        <w:rPr>
          <w:rFonts w:ascii="微软雅黑" w:hAnsi="微软雅黑" w:eastAsia="微软雅黑"/>
        </w:rPr>
        <w:t>1.2  能源行业数字化转型与数据困境</w:t>
      </w:r>
    </w:p>
    <w:p>
      <w:pPr>
        <w:spacing w:line="360" w:lineRule="auto" w:after="120"/>
        <w:ind w:firstLine="420"/>
      </w:pPr>
      <w:r>
        <w:rPr>
          <w:rFonts w:ascii="微软雅黑" w:hAnsi="微软雅黑" w:eastAsia="微软雅黑"/>
          <w:b w:val="0"/>
          <w:sz w:val="21"/>
        </w:rPr>
        <w:t>能源行业是国民经济的基础性和战略性行业。中国是全球最大的能源生产国和消费国，2024年全国能源消费总量约为58亿吨标准煤，电力装机容量超过30亿千瓦，其中可再生能源装机占比超过50%。在"双碳"目标驱动下，能源行业正经历深刻的绿色低碳转型和数字化升级。</w:t>
      </w:r>
    </w:p>
    <w:p>
      <w:pPr>
        <w:spacing w:line="360" w:lineRule="auto" w:after="120"/>
        <w:ind w:firstLine="420"/>
      </w:pPr>
      <w:r>
        <w:rPr>
          <w:rFonts w:ascii="微软雅黑" w:hAnsi="微软雅黑" w:eastAsia="微软雅黑"/>
          <w:b w:val="0"/>
          <w:sz w:val="21"/>
        </w:rPr>
        <w:t>新型电力系统建设是能源数字化转型的核心。以新能源为主体的新型电力系统具有"高比例可再生能源、高比例电力电子设备"的"双高"特征，系统的复杂性和不确定性显著增加。国家发展改革委、国家能源局印发的《关于加快建设新型电力系统的意见》明确提出，要构建"源网荷储"协同互动的数字化电力系统。</w:t>
      </w:r>
    </w:p>
    <w:p>
      <w:pPr>
        <w:spacing w:line="360" w:lineRule="auto" w:after="120"/>
        <w:ind w:firstLine="420"/>
      </w:pPr>
      <w:r>
        <w:rPr>
          <w:rFonts w:ascii="微软雅黑" w:hAnsi="微软雅黑" w:eastAsia="微软雅黑"/>
          <w:b w:val="0"/>
          <w:sz w:val="21"/>
        </w:rPr>
        <w:t>在能源数字化转型过程中，电力系统的运行管理涉及海量数据：从发电侧机组运行数据、风光资源预测数据，到电网侧潮流数据、设备状态监测数据，再到用户侧负荷数据、用电行为数据。据国家电网公司统计，其数据中台已汇聚超过100PB的结构化和非结构化数据，日均新增数据量超过100TB。</w:t>
      </w:r>
    </w:p>
    <w:p>
      <w:pPr>
        <w:spacing w:line="360" w:lineRule="auto" w:after="120"/>
        <w:ind w:firstLine="420"/>
      </w:pPr>
      <w:r>
        <w:rPr>
          <w:rFonts w:ascii="微软雅黑" w:hAnsi="微软雅黑" w:eastAsia="微软雅黑"/>
          <w:b w:val="0"/>
          <w:sz w:val="21"/>
        </w:rPr>
        <w:t>然而，能源行业的数据流通共享面临严峻挑战：</w:t>
      </w:r>
    </w:p>
    <w:p>
      <w:pPr>
        <w:pStyle w:val="ListBullet"/>
      </w:pPr>
      <w:r>
        <w:rPr>
          <w:rFonts w:ascii="微软雅黑" w:hAnsi="微软雅黑" w:eastAsia="微软雅黑"/>
          <w:sz w:val="20"/>
        </w:rPr>
        <w:t>数据孤岛严重：发电企业、电网公司、售电公司、用户之间的数据壁垒森严，数据格式标准不统一，数据质量参差不齐。</w:t>
      </w:r>
    </w:p>
    <w:p>
      <w:pPr>
        <w:pStyle w:val="ListBullet"/>
      </w:pPr>
      <w:r>
        <w:rPr>
          <w:rFonts w:ascii="微软雅黑" w:hAnsi="微软雅黑" w:eastAsia="微软雅黑"/>
          <w:sz w:val="20"/>
        </w:rPr>
        <w:t>隐私保护要求高：电力数据与用户隐私密切相关，通过智能电表可推断用户用电习惯、生活规律等敏感信息。</w:t>
      </w:r>
    </w:p>
    <w:p>
      <w:pPr>
        <w:pStyle w:val="ListBullet"/>
      </w:pPr>
      <w:r>
        <w:rPr>
          <w:rFonts w:ascii="微软雅黑" w:hAnsi="微软雅黑" w:eastAsia="微软雅黑"/>
          <w:sz w:val="20"/>
        </w:rPr>
        <w:t>安全保密级别高：能源行业属于关键信息基础设施（CII）范畴，电力调度系统是国家安全核心系统。</w:t>
      </w:r>
    </w:p>
    <w:p>
      <w:pPr>
        <w:pStyle w:val="ListBullet"/>
      </w:pPr>
      <w:r>
        <w:rPr>
          <w:rFonts w:ascii="微软雅黑" w:hAnsi="微软雅黑" w:eastAsia="微软雅黑"/>
          <w:sz w:val="20"/>
        </w:rPr>
        <w:t>利益分配机制缺失：数据流通缺乏合理的定价和利益分配机制，数据提供方缺乏共享动力。</w:t>
      </w:r>
    </w:p>
    <w:p>
      <w:pPr>
        <w:pStyle w:val="ListBullet"/>
      </w:pPr>
      <w:r>
        <w:rPr>
          <w:rFonts w:ascii="微软雅黑" w:hAnsi="微软雅黑" w:eastAsia="微软雅黑"/>
          <w:sz w:val="20"/>
        </w:rPr>
        <w:t>技术标准不统一：能源行业缺乏统一的数据共享技术标准和接口规范，系统互操作性差。</w:t>
      </w:r>
    </w:p>
    <w:p>
      <w:pPr>
        <w:spacing w:line="360" w:lineRule="auto" w:after="120"/>
        <w:jc w:val="center"/>
      </w:pPr>
      <w:r>
        <w:rPr>
          <w:rFonts w:ascii="微软雅黑" w:hAnsi="微软雅黑" w:eastAsia="微软雅黑"/>
          <w:b/>
          <w:sz w:val="18"/>
        </w:rPr>
        <w:t>表1-2  能源数据分类与潜在价值评估</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134"/>
            <w:shd w:fill="1A3C6D"/>
          </w:tcPr>
          <w:p>
            <w:pPr>
              <w:jc w:val="center"/>
            </w:pPr>
            <w:r/>
            <w:r>
              <w:rPr>
                <w:rFonts w:ascii="微软雅黑" w:hAnsi="微软雅黑"/>
                <w:b/>
                <w:color w:val="FFFFFF"/>
                <w:sz w:val="16"/>
              </w:rPr>
              <w:t>数据类别</w:t>
            </w:r>
          </w:p>
        </w:tc>
        <w:tc>
          <w:tcPr>
            <w:tcW w:type="dxa" w:w="1417"/>
            <w:shd w:fill="1A3C6D"/>
          </w:tcPr>
          <w:p>
            <w:pPr>
              <w:jc w:val="center"/>
            </w:pPr>
            <w:r/>
            <w:r>
              <w:rPr>
                <w:rFonts w:ascii="微软雅黑" w:hAnsi="微软雅黑"/>
                <w:b/>
                <w:color w:val="FFFFFF"/>
                <w:sz w:val="16"/>
              </w:rPr>
              <w:t>数据来源</w:t>
            </w:r>
          </w:p>
        </w:tc>
        <w:tc>
          <w:tcPr>
            <w:tcW w:type="dxa" w:w="850"/>
            <w:shd w:fill="1A3C6D"/>
          </w:tcPr>
          <w:p>
            <w:pPr>
              <w:jc w:val="center"/>
            </w:pPr>
            <w:r/>
            <w:r>
              <w:rPr>
                <w:rFonts w:ascii="微软雅黑" w:hAnsi="微软雅黑"/>
                <w:b/>
                <w:color w:val="FFFFFF"/>
                <w:sz w:val="16"/>
              </w:rPr>
              <w:t>数据量级</w:t>
            </w:r>
          </w:p>
        </w:tc>
        <w:tc>
          <w:tcPr>
            <w:tcW w:type="dxa" w:w="680"/>
            <w:shd w:fill="1A3C6D"/>
          </w:tcPr>
          <w:p>
            <w:pPr>
              <w:jc w:val="center"/>
            </w:pPr>
            <w:r/>
            <w:r>
              <w:rPr>
                <w:rFonts w:ascii="微软雅黑" w:hAnsi="微软雅黑"/>
                <w:b/>
                <w:color w:val="FFFFFF"/>
                <w:sz w:val="16"/>
              </w:rPr>
              <w:t>敏感等级</w:t>
            </w:r>
          </w:p>
        </w:tc>
        <w:tc>
          <w:tcPr>
            <w:tcW w:type="dxa" w:w="1701"/>
            <w:shd w:fill="1A3C6D"/>
          </w:tcPr>
          <w:p>
            <w:pPr>
              <w:jc w:val="center"/>
            </w:pPr>
            <w:r/>
            <w:r>
              <w:rPr>
                <w:rFonts w:ascii="微软雅黑" w:hAnsi="微软雅黑"/>
                <w:b/>
                <w:color w:val="FFFFFF"/>
                <w:sz w:val="16"/>
              </w:rPr>
              <w:t>潜在应用场景</w:t>
            </w:r>
          </w:p>
        </w:tc>
        <w:tc>
          <w:tcPr>
            <w:tcW w:type="dxa" w:w="1417"/>
            <w:shd w:fill="1A3C6D"/>
          </w:tcPr>
          <w:p>
            <w:pPr>
              <w:jc w:val="center"/>
            </w:pPr>
            <w:r/>
            <w:r>
              <w:rPr>
                <w:rFonts w:ascii="微软雅黑" w:hAnsi="微软雅黑"/>
                <w:b/>
                <w:color w:val="FFFFFF"/>
                <w:sz w:val="16"/>
              </w:rPr>
              <w:t>预估价值</w:t>
            </w:r>
          </w:p>
        </w:tc>
      </w:tr>
      <w:tr>
        <w:tc>
          <w:tcPr>
            <w:tcW w:type="dxa" w:w="1134"/>
          </w:tcPr>
          <w:p>
            <w:pPr>
              <w:jc w:val="center"/>
            </w:pPr>
            <w:r/>
            <w:r>
              <w:rPr>
                <w:rFonts w:ascii="微软雅黑" w:hAnsi="微软雅黑"/>
                <w:sz w:val="15"/>
              </w:rPr>
              <w:t>发电运行数据</w:t>
            </w:r>
          </w:p>
        </w:tc>
        <w:tc>
          <w:tcPr>
            <w:tcW w:type="dxa" w:w="1417"/>
          </w:tcPr>
          <w:p>
            <w:pPr>
              <w:jc w:val="center"/>
            </w:pPr>
            <w:r/>
            <w:r>
              <w:rPr>
                <w:rFonts w:ascii="微软雅黑" w:hAnsi="微软雅黑"/>
                <w:sz w:val="15"/>
              </w:rPr>
              <w:t>发电企业SCADA/DCS</w:t>
            </w:r>
          </w:p>
        </w:tc>
        <w:tc>
          <w:tcPr>
            <w:tcW w:type="dxa" w:w="850"/>
          </w:tcPr>
          <w:p>
            <w:pPr>
              <w:jc w:val="center"/>
            </w:pPr>
            <w:r/>
            <w:r>
              <w:rPr>
                <w:rFonts w:ascii="微软雅黑" w:hAnsi="微软雅黑"/>
                <w:sz w:val="15"/>
              </w:rPr>
              <w:t>TB级/日</w:t>
            </w:r>
          </w:p>
        </w:tc>
        <w:tc>
          <w:tcPr>
            <w:tcW w:type="dxa" w:w="680"/>
          </w:tcPr>
          <w:p>
            <w:pPr>
              <w:jc w:val="center"/>
            </w:pPr>
            <w:r/>
            <w:r>
              <w:rPr>
                <w:rFonts w:ascii="微软雅黑" w:hAnsi="微软雅黑"/>
                <w:sz w:val="15"/>
              </w:rPr>
              <w:t>高</w:t>
            </w:r>
          </w:p>
        </w:tc>
        <w:tc>
          <w:tcPr>
            <w:tcW w:type="dxa" w:w="1701"/>
          </w:tcPr>
          <w:p>
            <w:pPr>
              <w:jc w:val="center"/>
            </w:pPr>
            <w:r/>
            <w:r>
              <w:rPr>
                <w:rFonts w:ascii="微软雅黑" w:hAnsi="微软雅黑"/>
                <w:sz w:val="15"/>
              </w:rPr>
              <w:t>设备预测性维护、发电优化</w:t>
            </w:r>
          </w:p>
        </w:tc>
        <w:tc>
          <w:tcPr>
            <w:tcW w:type="dxa" w:w="1417"/>
          </w:tcPr>
          <w:p>
            <w:pPr>
              <w:jc w:val="center"/>
            </w:pPr>
            <w:r/>
            <w:r>
              <w:rPr>
                <w:rFonts w:ascii="微软雅黑" w:hAnsi="微软雅黑"/>
                <w:sz w:val="15"/>
              </w:rPr>
              <w:t>降低运维成本15-25%</w:t>
            </w:r>
          </w:p>
        </w:tc>
      </w:tr>
      <w:tr>
        <w:tc>
          <w:tcPr>
            <w:tcW w:type="dxa" w:w="1134"/>
            <w:shd w:fill="F0F4FA"/>
          </w:tcPr>
          <w:p>
            <w:pPr>
              <w:jc w:val="center"/>
            </w:pPr>
            <w:r/>
            <w:r>
              <w:rPr>
                <w:rFonts w:ascii="微软雅黑" w:hAnsi="微软雅黑"/>
                <w:sz w:val="15"/>
              </w:rPr>
              <w:t>电网调度数据</w:t>
            </w:r>
          </w:p>
        </w:tc>
        <w:tc>
          <w:tcPr>
            <w:tcW w:type="dxa" w:w="1417"/>
            <w:shd w:fill="F0F4FA"/>
          </w:tcPr>
          <w:p>
            <w:pPr>
              <w:jc w:val="center"/>
            </w:pPr>
            <w:r/>
            <w:r>
              <w:rPr>
                <w:rFonts w:ascii="微软雅黑" w:hAnsi="微软雅黑"/>
                <w:sz w:val="15"/>
              </w:rPr>
              <w:t>电网调度自动化系统</w:t>
            </w:r>
          </w:p>
        </w:tc>
        <w:tc>
          <w:tcPr>
            <w:tcW w:type="dxa" w:w="850"/>
            <w:shd w:fill="F0F4FA"/>
          </w:tcPr>
          <w:p>
            <w:pPr>
              <w:jc w:val="center"/>
            </w:pPr>
            <w:r/>
            <w:r>
              <w:rPr>
                <w:rFonts w:ascii="微软雅黑" w:hAnsi="微软雅黑"/>
                <w:sz w:val="15"/>
              </w:rPr>
              <w:t>TB级/日</w:t>
            </w:r>
          </w:p>
        </w:tc>
        <w:tc>
          <w:tcPr>
            <w:tcW w:type="dxa" w:w="680"/>
            <w:shd w:fill="F0F4FA"/>
          </w:tcPr>
          <w:p>
            <w:pPr>
              <w:jc w:val="center"/>
            </w:pPr>
            <w:r/>
            <w:r>
              <w:rPr>
                <w:rFonts w:ascii="微软雅黑" w:hAnsi="微软雅黑"/>
                <w:sz w:val="15"/>
              </w:rPr>
              <w:t>极高</w:t>
            </w:r>
          </w:p>
        </w:tc>
        <w:tc>
          <w:tcPr>
            <w:tcW w:type="dxa" w:w="1701"/>
            <w:shd w:fill="F0F4FA"/>
          </w:tcPr>
          <w:p>
            <w:pPr>
              <w:jc w:val="center"/>
            </w:pPr>
            <w:r/>
            <w:r>
              <w:rPr>
                <w:rFonts w:ascii="微软雅黑" w:hAnsi="微软雅黑"/>
                <w:sz w:val="15"/>
              </w:rPr>
              <w:t>潮流优化、新能源消纳</w:t>
            </w:r>
          </w:p>
        </w:tc>
        <w:tc>
          <w:tcPr>
            <w:tcW w:type="dxa" w:w="1417"/>
            <w:shd w:fill="F0F4FA"/>
          </w:tcPr>
          <w:p>
            <w:pPr>
              <w:jc w:val="center"/>
            </w:pPr>
            <w:r/>
            <w:r>
              <w:rPr>
                <w:rFonts w:ascii="微软雅黑" w:hAnsi="微软雅黑"/>
                <w:sz w:val="15"/>
              </w:rPr>
              <w:t>提升消纳率3-5%</w:t>
            </w:r>
          </w:p>
        </w:tc>
      </w:tr>
      <w:tr>
        <w:tc>
          <w:tcPr>
            <w:tcW w:type="dxa" w:w="1134"/>
          </w:tcPr>
          <w:p>
            <w:pPr>
              <w:jc w:val="center"/>
            </w:pPr>
            <w:r/>
            <w:r>
              <w:rPr>
                <w:rFonts w:ascii="微软雅黑" w:hAnsi="微软雅黑"/>
                <w:sz w:val="15"/>
              </w:rPr>
              <w:t>电力交易数据</w:t>
            </w:r>
          </w:p>
        </w:tc>
        <w:tc>
          <w:tcPr>
            <w:tcW w:type="dxa" w:w="1417"/>
          </w:tcPr>
          <w:p>
            <w:pPr>
              <w:jc w:val="center"/>
            </w:pPr>
            <w:r/>
            <w:r>
              <w:rPr>
                <w:rFonts w:ascii="微软雅黑" w:hAnsi="微软雅黑"/>
                <w:sz w:val="15"/>
              </w:rPr>
              <w:t>电力交易中心</w:t>
            </w:r>
          </w:p>
        </w:tc>
        <w:tc>
          <w:tcPr>
            <w:tcW w:type="dxa" w:w="850"/>
          </w:tcPr>
          <w:p>
            <w:pPr>
              <w:jc w:val="center"/>
            </w:pPr>
            <w:r/>
            <w:r>
              <w:rPr>
                <w:rFonts w:ascii="微软雅黑" w:hAnsi="微软雅黑"/>
                <w:sz w:val="15"/>
              </w:rPr>
              <w:t>GB级/日</w:t>
            </w:r>
          </w:p>
        </w:tc>
        <w:tc>
          <w:tcPr>
            <w:tcW w:type="dxa" w:w="680"/>
          </w:tcPr>
          <w:p>
            <w:pPr>
              <w:jc w:val="center"/>
            </w:pPr>
            <w:r/>
            <w:r>
              <w:rPr>
                <w:rFonts w:ascii="微软雅黑" w:hAnsi="微软雅黑"/>
                <w:sz w:val="15"/>
              </w:rPr>
              <w:t>高</w:t>
            </w:r>
          </w:p>
        </w:tc>
        <w:tc>
          <w:tcPr>
            <w:tcW w:type="dxa" w:w="1701"/>
          </w:tcPr>
          <w:p>
            <w:pPr>
              <w:jc w:val="center"/>
            </w:pPr>
            <w:r/>
            <w:r>
              <w:rPr>
                <w:rFonts w:ascii="微软雅黑" w:hAnsi="微软雅黑"/>
                <w:sz w:val="15"/>
              </w:rPr>
              <w:t>电力市场分析、电价预测</w:t>
            </w:r>
          </w:p>
        </w:tc>
        <w:tc>
          <w:tcPr>
            <w:tcW w:type="dxa" w:w="1417"/>
          </w:tcPr>
          <w:p>
            <w:pPr>
              <w:jc w:val="center"/>
            </w:pPr>
            <w:r/>
            <w:r>
              <w:rPr>
                <w:rFonts w:ascii="微软雅黑" w:hAnsi="微软雅黑"/>
                <w:sz w:val="15"/>
              </w:rPr>
              <w:t>优化交易收益5-10%</w:t>
            </w:r>
          </w:p>
        </w:tc>
      </w:tr>
      <w:tr>
        <w:tc>
          <w:tcPr>
            <w:tcW w:type="dxa" w:w="1134"/>
            <w:shd w:fill="F0F4FA"/>
          </w:tcPr>
          <w:p>
            <w:pPr>
              <w:jc w:val="center"/>
            </w:pPr>
            <w:r/>
            <w:r>
              <w:rPr>
                <w:rFonts w:ascii="微软雅黑" w:hAnsi="微软雅黑"/>
                <w:sz w:val="15"/>
              </w:rPr>
              <w:t>用电负荷数据</w:t>
            </w:r>
          </w:p>
        </w:tc>
        <w:tc>
          <w:tcPr>
            <w:tcW w:type="dxa" w:w="1417"/>
            <w:shd w:fill="F0F4FA"/>
          </w:tcPr>
          <w:p>
            <w:pPr>
              <w:jc w:val="center"/>
            </w:pPr>
            <w:r/>
            <w:r>
              <w:rPr>
                <w:rFonts w:ascii="微软雅黑" w:hAnsi="微软雅黑"/>
                <w:sz w:val="15"/>
              </w:rPr>
              <w:t>智能电表、用采系统</w:t>
            </w:r>
          </w:p>
        </w:tc>
        <w:tc>
          <w:tcPr>
            <w:tcW w:type="dxa" w:w="850"/>
            <w:shd w:fill="F0F4FA"/>
          </w:tcPr>
          <w:p>
            <w:pPr>
              <w:jc w:val="center"/>
            </w:pPr>
            <w:r/>
            <w:r>
              <w:rPr>
                <w:rFonts w:ascii="微软雅黑" w:hAnsi="微软雅黑"/>
                <w:sz w:val="15"/>
              </w:rPr>
              <w:t>TB级/日</w:t>
            </w:r>
          </w:p>
        </w:tc>
        <w:tc>
          <w:tcPr>
            <w:tcW w:type="dxa" w:w="680"/>
            <w:shd w:fill="F0F4FA"/>
          </w:tcPr>
          <w:p>
            <w:pPr>
              <w:jc w:val="center"/>
            </w:pPr>
            <w:r/>
            <w:r>
              <w:rPr>
                <w:rFonts w:ascii="微软雅黑" w:hAnsi="微软雅黑"/>
                <w:sz w:val="15"/>
              </w:rPr>
              <w:t>中-高</w:t>
            </w:r>
          </w:p>
        </w:tc>
        <w:tc>
          <w:tcPr>
            <w:tcW w:type="dxa" w:w="1701"/>
            <w:shd w:fill="F0F4FA"/>
          </w:tcPr>
          <w:p>
            <w:pPr>
              <w:jc w:val="center"/>
            </w:pPr>
            <w:r/>
            <w:r>
              <w:rPr>
                <w:rFonts w:ascii="微软雅黑" w:hAnsi="微软雅黑"/>
                <w:sz w:val="15"/>
              </w:rPr>
              <w:t>需求侧响应、能效管理</w:t>
            </w:r>
          </w:p>
        </w:tc>
        <w:tc>
          <w:tcPr>
            <w:tcW w:type="dxa" w:w="1417"/>
            <w:shd w:fill="F0F4FA"/>
          </w:tcPr>
          <w:p>
            <w:pPr>
              <w:jc w:val="center"/>
            </w:pPr>
            <w:r/>
            <w:r>
              <w:rPr>
                <w:rFonts w:ascii="微软雅黑" w:hAnsi="微软雅黑"/>
                <w:sz w:val="15"/>
              </w:rPr>
              <w:t>降低峰值负荷8-12%</w:t>
            </w:r>
          </w:p>
        </w:tc>
      </w:tr>
      <w:tr>
        <w:tc>
          <w:tcPr>
            <w:tcW w:type="dxa" w:w="1134"/>
          </w:tcPr>
          <w:p>
            <w:pPr>
              <w:jc w:val="center"/>
            </w:pPr>
            <w:r/>
            <w:r>
              <w:rPr>
                <w:rFonts w:ascii="微软雅黑" w:hAnsi="微软雅黑"/>
                <w:sz w:val="15"/>
              </w:rPr>
              <w:t>设备状态数据</w:t>
            </w:r>
          </w:p>
        </w:tc>
        <w:tc>
          <w:tcPr>
            <w:tcW w:type="dxa" w:w="1417"/>
          </w:tcPr>
          <w:p>
            <w:pPr>
              <w:jc w:val="center"/>
            </w:pPr>
            <w:r/>
            <w:r>
              <w:rPr>
                <w:rFonts w:ascii="微软雅黑" w:hAnsi="微软雅黑"/>
                <w:sz w:val="15"/>
              </w:rPr>
              <w:t>输变电在线监测</w:t>
            </w:r>
          </w:p>
        </w:tc>
        <w:tc>
          <w:tcPr>
            <w:tcW w:type="dxa" w:w="850"/>
          </w:tcPr>
          <w:p>
            <w:pPr>
              <w:jc w:val="center"/>
            </w:pPr>
            <w:r/>
            <w:r>
              <w:rPr>
                <w:rFonts w:ascii="微软雅黑" w:hAnsi="微软雅黑"/>
                <w:sz w:val="15"/>
              </w:rPr>
              <w:t>PB级/累计</w:t>
            </w:r>
          </w:p>
        </w:tc>
        <w:tc>
          <w:tcPr>
            <w:tcW w:type="dxa" w:w="680"/>
          </w:tcPr>
          <w:p>
            <w:pPr>
              <w:jc w:val="center"/>
            </w:pPr>
            <w:r/>
            <w:r>
              <w:rPr>
                <w:rFonts w:ascii="微软雅黑" w:hAnsi="微软雅黑"/>
                <w:sz w:val="15"/>
              </w:rPr>
              <w:t>中</w:t>
            </w:r>
          </w:p>
        </w:tc>
        <w:tc>
          <w:tcPr>
            <w:tcW w:type="dxa" w:w="1701"/>
          </w:tcPr>
          <w:p>
            <w:pPr>
              <w:jc w:val="center"/>
            </w:pPr>
            <w:r/>
            <w:r>
              <w:rPr>
                <w:rFonts w:ascii="微软雅黑" w:hAnsi="微软雅黑"/>
                <w:sz w:val="15"/>
              </w:rPr>
              <w:t>状态检修、寿命评估</w:t>
            </w:r>
          </w:p>
        </w:tc>
        <w:tc>
          <w:tcPr>
            <w:tcW w:type="dxa" w:w="1417"/>
          </w:tcPr>
          <w:p>
            <w:pPr>
              <w:jc w:val="center"/>
            </w:pPr>
            <w:r/>
            <w:r>
              <w:rPr>
                <w:rFonts w:ascii="微软雅黑" w:hAnsi="微软雅黑"/>
                <w:sz w:val="15"/>
              </w:rPr>
              <w:t>延长寿命20-30%</w:t>
            </w:r>
          </w:p>
        </w:tc>
      </w:tr>
      <w:tr>
        <w:tc>
          <w:tcPr>
            <w:tcW w:type="dxa" w:w="1134"/>
            <w:shd w:fill="F0F4FA"/>
          </w:tcPr>
          <w:p>
            <w:pPr>
              <w:jc w:val="center"/>
            </w:pPr>
            <w:r/>
            <w:r>
              <w:rPr>
                <w:rFonts w:ascii="微软雅黑" w:hAnsi="微软雅黑"/>
                <w:sz w:val="15"/>
              </w:rPr>
              <w:t>气象环境数据</w:t>
            </w:r>
          </w:p>
        </w:tc>
        <w:tc>
          <w:tcPr>
            <w:tcW w:type="dxa" w:w="1417"/>
            <w:shd w:fill="F0F4FA"/>
          </w:tcPr>
          <w:p>
            <w:pPr>
              <w:jc w:val="center"/>
            </w:pPr>
            <w:r/>
            <w:r>
              <w:rPr>
                <w:rFonts w:ascii="微软雅黑" w:hAnsi="微软雅黑"/>
                <w:sz w:val="15"/>
              </w:rPr>
              <w:t>气象局、环境监测站</w:t>
            </w:r>
          </w:p>
        </w:tc>
        <w:tc>
          <w:tcPr>
            <w:tcW w:type="dxa" w:w="850"/>
            <w:shd w:fill="F0F4FA"/>
          </w:tcPr>
          <w:p>
            <w:pPr>
              <w:jc w:val="center"/>
            </w:pPr>
            <w:r/>
            <w:r>
              <w:rPr>
                <w:rFonts w:ascii="微软雅黑" w:hAnsi="微软雅黑"/>
                <w:sz w:val="15"/>
              </w:rPr>
              <w:t>GB级/日</w:t>
            </w:r>
          </w:p>
        </w:tc>
        <w:tc>
          <w:tcPr>
            <w:tcW w:type="dxa" w:w="680"/>
            <w:shd w:fill="F0F4FA"/>
          </w:tcPr>
          <w:p>
            <w:pPr>
              <w:jc w:val="center"/>
            </w:pPr>
            <w:r/>
            <w:r>
              <w:rPr>
                <w:rFonts w:ascii="微软雅黑" w:hAnsi="微软雅黑"/>
                <w:sz w:val="15"/>
              </w:rPr>
              <w:t>低</w:t>
            </w:r>
          </w:p>
        </w:tc>
        <w:tc>
          <w:tcPr>
            <w:tcW w:type="dxa" w:w="1701"/>
            <w:shd w:fill="F0F4FA"/>
          </w:tcPr>
          <w:p>
            <w:pPr>
              <w:jc w:val="center"/>
            </w:pPr>
            <w:r/>
            <w:r>
              <w:rPr>
                <w:rFonts w:ascii="微软雅黑" w:hAnsi="微软雅黑"/>
                <w:sz w:val="15"/>
              </w:rPr>
              <w:t>新能源功率预测、防灾减灾</w:t>
            </w:r>
          </w:p>
        </w:tc>
        <w:tc>
          <w:tcPr>
            <w:tcW w:type="dxa" w:w="1417"/>
            <w:shd w:fill="F0F4FA"/>
          </w:tcPr>
          <w:p>
            <w:pPr>
              <w:jc w:val="center"/>
            </w:pPr>
            <w:r/>
            <w:r>
              <w:rPr>
                <w:rFonts w:ascii="微软雅黑" w:hAnsi="微软雅黑"/>
                <w:sz w:val="15"/>
              </w:rPr>
              <w:t>提高预测精度10-15%</w:t>
            </w:r>
          </w:p>
        </w:tc>
      </w:tr>
    </w:tbl>
    <w:p/>
    <w:p>
      <w:pPr>
        <w:pStyle w:val="Heading2"/>
      </w:pPr>
      <w:r>
        <w:rPr>
          <w:rFonts w:ascii="微软雅黑" w:hAnsi="微软雅黑" w:eastAsia="微软雅黑"/>
        </w:rPr>
        <w:t>1.3  国内外可信数据空间发展现状</w:t>
      </w:r>
    </w:p>
    <w:p>
      <w:pPr>
        <w:pStyle w:val="Heading3"/>
      </w:pPr>
      <w:r>
        <w:rPr>
          <w:rFonts w:ascii="微软雅黑" w:hAnsi="微软雅黑" w:eastAsia="微软雅黑"/>
        </w:rPr>
        <w:t>1.3.1  欧洲可信数据空间实践</w:t>
      </w:r>
    </w:p>
    <w:p>
      <w:pPr>
        <w:spacing w:line="360" w:lineRule="auto" w:after="120"/>
        <w:ind w:firstLine="420"/>
      </w:pPr>
      <w:r>
        <w:rPr>
          <w:rFonts w:ascii="微软雅黑" w:hAnsi="微软雅黑" w:eastAsia="微软雅黑"/>
          <w:b w:val="0"/>
          <w:sz w:val="21"/>
        </w:rPr>
        <w:t>欧洲是全球可信数据空间建设的先行者。2014年，德国弗劳恩霍夫协会发起成立了国际数据空间协会（IDSA），截至目前已拥有超过150家成员单位。IDSA发布的参考架构模型（IDS-RAM 4.0）定义了五个关键组件：数据连接器（Connector）、身份提供者（Identity Provider）、数据应用（Data App）、元数据代理（Broker）、清算中心（Clearing House）。</w:t>
      </w:r>
    </w:p>
    <w:p>
      <w:pPr>
        <w:spacing w:line="360" w:lineRule="auto" w:after="120"/>
        <w:ind w:firstLine="420"/>
      </w:pPr>
      <w:r>
        <w:rPr>
          <w:rFonts w:ascii="微软雅黑" w:hAnsi="微软雅黑" w:eastAsia="微软雅黑"/>
          <w:b w:val="0"/>
          <w:sz w:val="21"/>
        </w:rPr>
        <w:t>GAIA-X项目由德国和法国政府于2019年联合发起，建立去中心化、开放、透明的数字生态系统。截至2025年，GAIA-X已启动了健康、能源、农业、交通等领域的多个数据空间试点。在能源领域，欧洲启动了"能源数据空间"专项计划，由ENTSO-E和EU DSO Entity共同推进，已有12个欧盟成员国的能源企业参与试点。</w:t>
      </w:r>
    </w:p>
    <w:p>
      <w:pPr>
        <w:pStyle w:val="Heading3"/>
      </w:pPr>
      <w:r>
        <w:rPr>
          <w:rFonts w:ascii="微软雅黑" w:hAnsi="微软雅黑" w:eastAsia="微软雅黑"/>
        </w:rPr>
        <w:t>1.3.2  中国可信数据空间探索</w:t>
      </w:r>
    </w:p>
    <w:p>
      <w:pPr>
        <w:spacing w:line="360" w:lineRule="auto" w:after="120"/>
        <w:ind w:firstLine="420"/>
      </w:pPr>
      <w:r>
        <w:rPr>
          <w:rFonts w:ascii="微软雅黑" w:hAnsi="微软雅黑" w:eastAsia="微软雅黑"/>
          <w:b w:val="0"/>
          <w:sz w:val="21"/>
        </w:rPr>
        <w:t>中国的可信数据空间建设在政策强力推动下加速推进。华为发布"数据空间"解决方案，阿里巴巴推出"数据安全岛"产品，蚂蚁集团推出"摩斯"隐私计算平台。在能源行业，国家电网公司启动"电力可信数据空间"建设，南方电网推进"数字电网"数据共享平台建设。但总体来看，能源行业可信数据空间建设仍处于起步阶段。</w:t>
      </w:r>
    </w:p>
    <w:p>
      <w:pPr>
        <w:pStyle w:val="Heading2"/>
      </w:pPr>
      <w:r>
        <w:rPr>
          <w:rFonts w:ascii="微软雅黑" w:hAnsi="微软雅黑" w:eastAsia="微软雅黑"/>
        </w:rPr>
        <w:t>1.4  政策环境与战略机遇</w:t>
      </w:r>
    </w:p>
    <w:p>
      <w:pPr>
        <w:spacing w:line="360" w:lineRule="auto" w:after="120"/>
        <w:ind w:firstLine="420"/>
      </w:pPr>
      <w:r>
        <w:rPr>
          <w:rFonts w:ascii="微软雅黑" w:hAnsi="微软雅黑" w:eastAsia="微软雅黑"/>
          <w:b w:val="0"/>
          <w:sz w:val="21"/>
        </w:rPr>
        <w:t>2022年至2025年，中国密集出台了一系列与数据要素、数据安全、可信数据空间相关的法律法规和政策文件。以下梳理核心政策文件及其对本项目的影响：</w:t>
      </w:r>
    </w:p>
    <w:p>
      <w:pPr>
        <w:spacing w:line="360" w:lineRule="auto" w:after="120"/>
        <w:jc w:val="center"/>
      </w:pPr>
      <w:r>
        <w:rPr>
          <w:rFonts w:ascii="微软雅黑" w:hAnsi="微软雅黑" w:eastAsia="微软雅黑"/>
          <w:b/>
          <w:sz w:val="18"/>
        </w:rPr>
        <w:t>表1-3  核心政策文件及其影响分析</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417"/>
            <w:shd w:fill="1A3C6D"/>
          </w:tcPr>
          <w:p>
            <w:pPr>
              <w:jc w:val="center"/>
            </w:pPr>
            <w:r/>
            <w:r>
              <w:rPr>
                <w:rFonts w:ascii="微软雅黑" w:hAnsi="微软雅黑"/>
                <w:b/>
                <w:color w:val="FFFFFF"/>
                <w:sz w:val="16"/>
              </w:rPr>
              <w:t>政策文件</w:t>
            </w:r>
          </w:p>
        </w:tc>
        <w:tc>
          <w:tcPr>
            <w:tcW w:type="dxa" w:w="1020"/>
            <w:shd w:fill="1A3C6D"/>
          </w:tcPr>
          <w:p>
            <w:pPr>
              <w:jc w:val="center"/>
            </w:pPr>
            <w:r/>
            <w:r>
              <w:rPr>
                <w:rFonts w:ascii="微软雅黑" w:hAnsi="微软雅黑"/>
                <w:b/>
                <w:color w:val="FFFFFF"/>
                <w:sz w:val="16"/>
              </w:rPr>
              <w:t>发布机构</w:t>
            </w:r>
          </w:p>
        </w:tc>
        <w:tc>
          <w:tcPr>
            <w:tcW w:type="dxa" w:w="680"/>
            <w:shd w:fill="1A3C6D"/>
          </w:tcPr>
          <w:p>
            <w:pPr>
              <w:jc w:val="center"/>
            </w:pPr>
            <w:r/>
            <w:r>
              <w:rPr>
                <w:rFonts w:ascii="微软雅黑" w:hAnsi="微软雅黑"/>
                <w:b/>
                <w:color w:val="FFFFFF"/>
                <w:sz w:val="16"/>
              </w:rPr>
              <w:t>发布日期</w:t>
            </w:r>
          </w:p>
        </w:tc>
        <w:tc>
          <w:tcPr>
            <w:tcW w:type="dxa" w:w="1701"/>
            <w:shd w:fill="1A3C6D"/>
          </w:tcPr>
          <w:p>
            <w:pPr>
              <w:jc w:val="center"/>
            </w:pPr>
            <w:r/>
            <w:r>
              <w:rPr>
                <w:rFonts w:ascii="微软雅黑" w:hAnsi="微软雅黑"/>
                <w:b/>
                <w:color w:val="FFFFFF"/>
                <w:sz w:val="16"/>
              </w:rPr>
              <w:t>核心要点</w:t>
            </w:r>
          </w:p>
        </w:tc>
        <w:tc>
          <w:tcPr>
            <w:tcW w:type="dxa" w:w="1984"/>
            <w:shd w:fill="1A3C6D"/>
          </w:tcPr>
          <w:p>
            <w:pPr>
              <w:jc w:val="center"/>
            </w:pPr>
            <w:r/>
            <w:r>
              <w:rPr>
                <w:rFonts w:ascii="微软雅黑" w:hAnsi="微软雅黑"/>
                <w:b/>
                <w:color w:val="FFFFFF"/>
                <w:sz w:val="16"/>
              </w:rPr>
              <w:t>对本项目的影响</w:t>
            </w:r>
          </w:p>
        </w:tc>
      </w:tr>
      <w:tr>
        <w:tc>
          <w:tcPr>
            <w:tcW w:type="dxa" w:w="1417"/>
          </w:tcPr>
          <w:p>
            <w:pPr>
              <w:jc w:val="center"/>
            </w:pPr>
            <w:r/>
            <w:r>
              <w:rPr>
                <w:rFonts w:ascii="微软雅黑" w:hAnsi="微软雅黑"/>
                <w:sz w:val="15"/>
              </w:rPr>
              <w:t>数据安全法</w:t>
            </w:r>
          </w:p>
        </w:tc>
        <w:tc>
          <w:tcPr>
            <w:tcW w:type="dxa" w:w="1020"/>
          </w:tcPr>
          <w:p>
            <w:pPr>
              <w:jc w:val="center"/>
            </w:pPr>
            <w:r/>
            <w:r>
              <w:rPr>
                <w:rFonts w:ascii="微软雅黑" w:hAnsi="微软雅黑"/>
                <w:sz w:val="15"/>
              </w:rPr>
              <w:t>全国人大常委会</w:t>
            </w:r>
          </w:p>
        </w:tc>
        <w:tc>
          <w:tcPr>
            <w:tcW w:type="dxa" w:w="680"/>
          </w:tcPr>
          <w:p>
            <w:pPr>
              <w:jc w:val="center"/>
            </w:pPr>
            <w:r/>
            <w:r>
              <w:rPr>
                <w:rFonts w:ascii="微软雅黑" w:hAnsi="微软雅黑"/>
                <w:sz w:val="15"/>
              </w:rPr>
              <w:t>2021年6月</w:t>
            </w:r>
          </w:p>
        </w:tc>
        <w:tc>
          <w:tcPr>
            <w:tcW w:type="dxa" w:w="1701"/>
          </w:tcPr>
          <w:p>
            <w:pPr>
              <w:jc w:val="center"/>
            </w:pPr>
            <w:r/>
            <w:r>
              <w:rPr>
                <w:rFonts w:ascii="微软雅黑" w:hAnsi="微软雅黑"/>
                <w:sz w:val="15"/>
              </w:rPr>
              <w:t>数据分类分级保护、安全审查</w:t>
            </w:r>
          </w:p>
        </w:tc>
        <w:tc>
          <w:tcPr>
            <w:tcW w:type="dxa" w:w="1984"/>
          </w:tcPr>
          <w:p>
            <w:pPr>
              <w:jc w:val="center"/>
            </w:pPr>
            <w:r/>
            <w:r>
              <w:rPr>
                <w:rFonts w:ascii="微软雅黑" w:hAnsi="微软雅黑"/>
                <w:sz w:val="15"/>
              </w:rPr>
              <w:t>要求数据分类分级和访问控制能力</w:t>
            </w:r>
          </w:p>
        </w:tc>
      </w:tr>
      <w:tr>
        <w:tc>
          <w:tcPr>
            <w:tcW w:type="dxa" w:w="1417"/>
            <w:shd w:fill="F0F4FA"/>
          </w:tcPr>
          <w:p>
            <w:pPr>
              <w:jc w:val="center"/>
            </w:pPr>
            <w:r/>
            <w:r>
              <w:rPr>
                <w:rFonts w:ascii="微软雅黑" w:hAnsi="微软雅黑"/>
                <w:sz w:val="15"/>
              </w:rPr>
              <w:t>个人信息保护法</w:t>
            </w:r>
          </w:p>
        </w:tc>
        <w:tc>
          <w:tcPr>
            <w:tcW w:type="dxa" w:w="1020"/>
            <w:shd w:fill="F0F4FA"/>
          </w:tcPr>
          <w:p>
            <w:pPr>
              <w:jc w:val="center"/>
            </w:pPr>
            <w:r/>
            <w:r>
              <w:rPr>
                <w:rFonts w:ascii="微软雅黑" w:hAnsi="微软雅黑"/>
                <w:sz w:val="15"/>
              </w:rPr>
              <w:t>全国人大常委会</w:t>
            </w:r>
          </w:p>
        </w:tc>
        <w:tc>
          <w:tcPr>
            <w:tcW w:type="dxa" w:w="680"/>
            <w:shd w:fill="F0F4FA"/>
          </w:tcPr>
          <w:p>
            <w:pPr>
              <w:jc w:val="center"/>
            </w:pPr>
            <w:r/>
            <w:r>
              <w:rPr>
                <w:rFonts w:ascii="微软雅黑" w:hAnsi="微软雅黑"/>
                <w:sz w:val="15"/>
              </w:rPr>
              <w:t>2021年8月</w:t>
            </w:r>
          </w:p>
        </w:tc>
        <w:tc>
          <w:tcPr>
            <w:tcW w:type="dxa" w:w="1701"/>
            <w:shd w:fill="F0F4FA"/>
          </w:tcPr>
          <w:p>
            <w:pPr>
              <w:jc w:val="center"/>
            </w:pPr>
            <w:r/>
            <w:r>
              <w:rPr>
                <w:rFonts w:ascii="微软雅黑" w:hAnsi="微软雅黑"/>
                <w:sz w:val="15"/>
              </w:rPr>
              <w:t>个人信息处理规则、跨境传输</w:t>
            </w:r>
          </w:p>
        </w:tc>
        <w:tc>
          <w:tcPr>
            <w:tcW w:type="dxa" w:w="1984"/>
            <w:shd w:fill="F0F4FA"/>
          </w:tcPr>
          <w:p>
            <w:pPr>
              <w:jc w:val="center"/>
            </w:pPr>
            <w:r/>
            <w:r>
              <w:rPr>
                <w:rFonts w:ascii="微软雅黑" w:hAnsi="微软雅黑"/>
                <w:sz w:val="15"/>
              </w:rPr>
              <w:t>支持数据脱敏和隐私计算</w:t>
            </w:r>
          </w:p>
        </w:tc>
      </w:tr>
      <w:tr>
        <w:tc>
          <w:tcPr>
            <w:tcW w:type="dxa" w:w="1417"/>
          </w:tcPr>
          <w:p>
            <w:pPr>
              <w:jc w:val="center"/>
            </w:pPr>
            <w:r/>
            <w:r>
              <w:rPr>
                <w:rFonts w:ascii="微软雅黑" w:hAnsi="微软雅黑"/>
                <w:sz w:val="15"/>
              </w:rPr>
              <w:t>数据二十条</w:t>
            </w:r>
          </w:p>
        </w:tc>
        <w:tc>
          <w:tcPr>
            <w:tcW w:type="dxa" w:w="1020"/>
          </w:tcPr>
          <w:p>
            <w:pPr>
              <w:jc w:val="center"/>
            </w:pPr>
            <w:r/>
            <w:r>
              <w:rPr>
                <w:rFonts w:ascii="微软雅黑" w:hAnsi="微软雅黑"/>
                <w:sz w:val="15"/>
              </w:rPr>
              <w:t>中共中央、国务院</w:t>
            </w:r>
          </w:p>
        </w:tc>
        <w:tc>
          <w:tcPr>
            <w:tcW w:type="dxa" w:w="680"/>
          </w:tcPr>
          <w:p>
            <w:pPr>
              <w:jc w:val="center"/>
            </w:pPr>
            <w:r/>
            <w:r>
              <w:rPr>
                <w:rFonts w:ascii="微软雅黑" w:hAnsi="微软雅黑"/>
                <w:sz w:val="15"/>
              </w:rPr>
              <w:t>2022年12月</w:t>
            </w:r>
          </w:p>
        </w:tc>
        <w:tc>
          <w:tcPr>
            <w:tcW w:type="dxa" w:w="1701"/>
          </w:tcPr>
          <w:p>
            <w:pPr>
              <w:jc w:val="center"/>
            </w:pPr>
            <w:r/>
            <w:r>
              <w:rPr>
                <w:rFonts w:ascii="微软雅黑" w:hAnsi="微软雅黑"/>
                <w:sz w:val="15"/>
              </w:rPr>
              <w:t>数据产权三权分置、流通交易</w:t>
            </w:r>
          </w:p>
        </w:tc>
        <w:tc>
          <w:tcPr>
            <w:tcW w:type="dxa" w:w="1984"/>
          </w:tcPr>
          <w:p>
            <w:pPr>
              <w:jc w:val="center"/>
            </w:pPr>
            <w:r/>
            <w:r>
              <w:rPr>
                <w:rFonts w:ascii="微软雅黑" w:hAnsi="微软雅黑"/>
                <w:sz w:val="15"/>
              </w:rPr>
              <w:t>数据确权和流通的制度基础</w:t>
            </w:r>
          </w:p>
        </w:tc>
      </w:tr>
      <w:tr>
        <w:tc>
          <w:tcPr>
            <w:tcW w:type="dxa" w:w="1417"/>
            <w:shd w:fill="F0F4FA"/>
          </w:tcPr>
          <w:p>
            <w:pPr>
              <w:jc w:val="center"/>
            </w:pPr>
            <w:r/>
            <w:r>
              <w:rPr>
                <w:rFonts w:ascii="微软雅黑" w:hAnsi="微软雅黑"/>
                <w:sz w:val="15"/>
              </w:rPr>
              <w:t>可信数据空间行动计划</w:t>
            </w:r>
          </w:p>
        </w:tc>
        <w:tc>
          <w:tcPr>
            <w:tcW w:type="dxa" w:w="1020"/>
            <w:shd w:fill="F0F4FA"/>
          </w:tcPr>
          <w:p>
            <w:pPr>
              <w:jc w:val="center"/>
            </w:pPr>
            <w:r/>
            <w:r>
              <w:rPr>
                <w:rFonts w:ascii="微软雅黑" w:hAnsi="微软雅黑"/>
                <w:sz w:val="15"/>
              </w:rPr>
              <w:t>国家数据局</w:t>
            </w:r>
          </w:p>
        </w:tc>
        <w:tc>
          <w:tcPr>
            <w:tcW w:type="dxa" w:w="680"/>
            <w:shd w:fill="F0F4FA"/>
          </w:tcPr>
          <w:p>
            <w:pPr>
              <w:jc w:val="center"/>
            </w:pPr>
            <w:r/>
            <w:r>
              <w:rPr>
                <w:rFonts w:ascii="微软雅黑" w:hAnsi="微软雅黑"/>
                <w:sz w:val="15"/>
              </w:rPr>
              <w:t>2024年11月</w:t>
            </w:r>
          </w:p>
        </w:tc>
        <w:tc>
          <w:tcPr>
            <w:tcW w:type="dxa" w:w="1701"/>
            <w:shd w:fill="F0F4FA"/>
          </w:tcPr>
          <w:p>
            <w:pPr>
              <w:jc w:val="center"/>
            </w:pPr>
            <w:r/>
            <w:r>
              <w:rPr>
                <w:rFonts w:ascii="微软雅黑" w:hAnsi="微软雅黑"/>
                <w:sz w:val="15"/>
              </w:rPr>
              <w:t>2028年前建成100+可信数据空间</w:t>
            </w:r>
          </w:p>
        </w:tc>
        <w:tc>
          <w:tcPr>
            <w:tcW w:type="dxa" w:w="1984"/>
            <w:shd w:fill="F0F4FA"/>
          </w:tcPr>
          <w:p>
            <w:pPr>
              <w:jc w:val="center"/>
            </w:pPr>
            <w:r/>
            <w:r>
              <w:rPr>
                <w:rFonts w:ascii="微软雅黑" w:hAnsi="微软雅黑"/>
                <w:sz w:val="15"/>
              </w:rPr>
              <w:t>项目建设的直接政策依据</w:t>
            </w:r>
          </w:p>
        </w:tc>
      </w:tr>
      <w:tr>
        <w:tc>
          <w:tcPr>
            <w:tcW w:type="dxa" w:w="1417"/>
          </w:tcPr>
          <w:p>
            <w:pPr>
              <w:jc w:val="center"/>
            </w:pPr>
            <w:r/>
            <w:r>
              <w:rPr>
                <w:rFonts w:ascii="微软雅黑" w:hAnsi="微软雅黑"/>
                <w:sz w:val="15"/>
              </w:rPr>
              <w:t>数据资产入表暂行规定</w:t>
            </w:r>
          </w:p>
        </w:tc>
        <w:tc>
          <w:tcPr>
            <w:tcW w:type="dxa" w:w="1020"/>
          </w:tcPr>
          <w:p>
            <w:pPr>
              <w:jc w:val="center"/>
            </w:pPr>
            <w:r/>
            <w:r>
              <w:rPr>
                <w:rFonts w:ascii="微软雅黑" w:hAnsi="微软雅黑"/>
                <w:sz w:val="15"/>
              </w:rPr>
              <w:t>财政部</w:t>
            </w:r>
          </w:p>
        </w:tc>
        <w:tc>
          <w:tcPr>
            <w:tcW w:type="dxa" w:w="680"/>
          </w:tcPr>
          <w:p>
            <w:pPr>
              <w:jc w:val="center"/>
            </w:pPr>
            <w:r/>
            <w:r>
              <w:rPr>
                <w:rFonts w:ascii="微软雅黑" w:hAnsi="微软雅黑"/>
                <w:sz w:val="15"/>
              </w:rPr>
              <w:t>2023年8月</w:t>
            </w:r>
          </w:p>
        </w:tc>
        <w:tc>
          <w:tcPr>
            <w:tcW w:type="dxa" w:w="1701"/>
          </w:tcPr>
          <w:p>
            <w:pPr>
              <w:jc w:val="center"/>
            </w:pPr>
            <w:r/>
            <w:r>
              <w:rPr>
                <w:rFonts w:ascii="微软雅黑" w:hAnsi="微软雅黑"/>
                <w:sz w:val="15"/>
              </w:rPr>
              <w:t>企业数据资源会计处理</w:t>
            </w:r>
          </w:p>
        </w:tc>
        <w:tc>
          <w:tcPr>
            <w:tcW w:type="dxa" w:w="1984"/>
          </w:tcPr>
          <w:p>
            <w:pPr>
              <w:jc w:val="center"/>
            </w:pPr>
            <w:r/>
            <w:r>
              <w:rPr>
                <w:rFonts w:ascii="微软雅黑" w:hAnsi="微软雅黑"/>
                <w:sz w:val="15"/>
              </w:rPr>
              <w:t>推动数据资产化管理</w:t>
            </w:r>
          </w:p>
        </w:tc>
      </w:tr>
      <w:tr>
        <w:tc>
          <w:tcPr>
            <w:tcW w:type="dxa" w:w="1417"/>
            <w:shd w:fill="F0F4FA"/>
          </w:tcPr>
          <w:p>
            <w:pPr>
              <w:jc w:val="center"/>
            </w:pPr>
            <w:r/>
            <w:r>
              <w:rPr>
                <w:rFonts w:ascii="微软雅黑" w:hAnsi="微软雅黑"/>
                <w:sz w:val="15"/>
              </w:rPr>
              <w:t>数据要素×三年行动计划</w:t>
            </w:r>
          </w:p>
        </w:tc>
        <w:tc>
          <w:tcPr>
            <w:tcW w:type="dxa" w:w="1020"/>
            <w:shd w:fill="F0F4FA"/>
          </w:tcPr>
          <w:p>
            <w:pPr>
              <w:jc w:val="center"/>
            </w:pPr>
            <w:r/>
            <w:r>
              <w:rPr>
                <w:rFonts w:ascii="微软雅黑" w:hAnsi="微软雅黑"/>
                <w:sz w:val="15"/>
              </w:rPr>
              <w:t>国家数据局</w:t>
            </w:r>
          </w:p>
        </w:tc>
        <w:tc>
          <w:tcPr>
            <w:tcW w:type="dxa" w:w="680"/>
            <w:shd w:fill="F0F4FA"/>
          </w:tcPr>
          <w:p>
            <w:pPr>
              <w:jc w:val="center"/>
            </w:pPr>
            <w:r/>
            <w:r>
              <w:rPr>
                <w:rFonts w:ascii="微软雅黑" w:hAnsi="微软雅黑"/>
                <w:sz w:val="15"/>
              </w:rPr>
              <w:t>2023年12月</w:t>
            </w:r>
          </w:p>
        </w:tc>
        <w:tc>
          <w:tcPr>
            <w:tcW w:type="dxa" w:w="1701"/>
            <w:shd w:fill="F0F4FA"/>
          </w:tcPr>
          <w:p>
            <w:pPr>
              <w:jc w:val="center"/>
            </w:pPr>
            <w:r/>
            <w:r>
              <w:rPr>
                <w:rFonts w:ascii="微软雅黑" w:hAnsi="微软雅黑"/>
                <w:sz w:val="15"/>
              </w:rPr>
              <w:t>数据要素赋能12个重点行业</w:t>
            </w:r>
          </w:p>
        </w:tc>
        <w:tc>
          <w:tcPr>
            <w:tcW w:type="dxa" w:w="1984"/>
            <w:shd w:fill="F0F4FA"/>
          </w:tcPr>
          <w:p>
            <w:pPr>
              <w:jc w:val="center"/>
            </w:pPr>
            <w:r/>
            <w:r>
              <w:rPr>
                <w:rFonts w:ascii="微软雅黑" w:hAnsi="微软雅黑"/>
                <w:sz w:val="15"/>
              </w:rPr>
              <w:t>能源行业是重点领域之一</w:t>
            </w:r>
          </w:p>
        </w:tc>
      </w:tr>
    </w:tbl>
    <w:p/>
    <w:p>
      <w:pPr>
        <w:pStyle w:val="Heading2"/>
      </w:pPr>
      <w:r>
        <w:rPr>
          <w:rFonts w:ascii="微软雅黑" w:hAnsi="微软雅黑" w:eastAsia="微软雅黑"/>
        </w:rPr>
        <w:t>1.5  项目建设目标与范围</w:t>
      </w:r>
    </w:p>
    <w:p>
      <w:pPr>
        <w:spacing w:line="360" w:lineRule="auto" w:after="120"/>
        <w:ind w:firstLine="420"/>
      </w:pPr>
      <w:r>
        <w:rPr>
          <w:rFonts w:ascii="微软雅黑" w:hAnsi="微软雅黑" w:eastAsia="微软雅黑"/>
          <w:b w:val="0"/>
          <w:sz w:val="21"/>
        </w:rPr>
        <w:t>总体目标：构建能源行业可信数据空间的基础设施平台，实现数据"可用不可见、可控可计量、可追溯可审计"，为能源数据的合规高效流通提供技术支撑。具体目标：</w:t>
      </w:r>
    </w:p>
    <w:p>
      <w:pPr>
        <w:pStyle w:val="ListBullet"/>
      </w:pPr>
      <w:r>
        <w:rPr>
          <w:rFonts w:ascii="微软雅黑" w:hAnsi="微软雅黑" w:eastAsia="微软雅黑"/>
          <w:sz w:val="20"/>
        </w:rPr>
        <w:t>构建"一门户五中心"技术架构，覆盖数据供给、数据流通、数据使用和数据监管全生命周期。</w:t>
      </w:r>
    </w:p>
    <w:p>
      <w:pPr>
        <w:pStyle w:val="ListBullet"/>
      </w:pPr>
      <w:r>
        <w:rPr>
          <w:rFonts w:ascii="微软雅黑" w:hAnsi="微软雅黑" w:eastAsia="微软雅黑"/>
          <w:sz w:val="20"/>
        </w:rPr>
        <w:t>集成联邦学习、TEE、MPC、同态加密等多种隐私计算技术，满足不同安全等级的数据共享需求。</w:t>
      </w:r>
    </w:p>
    <w:p>
      <w:pPr>
        <w:pStyle w:val="ListBullet"/>
      </w:pPr>
      <w:r>
        <w:rPr>
          <w:rFonts w:ascii="微软雅黑" w:hAnsi="微软雅黑" w:eastAsia="微软雅黑"/>
          <w:sz w:val="20"/>
        </w:rPr>
        <w:t>建立基于区块链的数据存证和智能合约体系，实现数据交易不可篡改记录和自动化执行。</w:t>
      </w:r>
    </w:p>
    <w:p>
      <w:pPr>
        <w:pStyle w:val="ListBullet"/>
      </w:pPr>
      <w:r>
        <w:rPr>
          <w:rFonts w:ascii="微软雅黑" w:hAnsi="微软雅黑" w:eastAsia="微软雅黑"/>
          <w:sz w:val="20"/>
        </w:rPr>
        <w:t>实现W3C DID标准兼容的分布式数字身份体系，支持跨组织的身份互认和细粒度访问控制。</w:t>
      </w:r>
    </w:p>
    <w:p>
      <w:pPr>
        <w:pStyle w:val="ListBullet"/>
      </w:pPr>
      <w:r>
        <w:rPr>
          <w:rFonts w:ascii="微软雅黑" w:hAnsi="微软雅黑" w:eastAsia="微软雅黑"/>
          <w:sz w:val="20"/>
        </w:rPr>
        <w:t>引入AI Agent智能体技术，提供自然语言交互的数据查询、分析和交易辅助能力。</w:t>
      </w:r>
    </w:p>
    <w:p>
      <w:pPr>
        <w:pStyle w:val="ListBullet"/>
      </w:pPr>
      <w:r>
        <w:rPr>
          <w:rFonts w:ascii="微软雅黑" w:hAnsi="微软雅黑" w:eastAsia="微软雅黑"/>
          <w:sz w:val="20"/>
        </w:rPr>
        <w:t>遵守数据安全法、个人信息保护法、关键信息基础设施安全保护条例等法律法规要求。</w:t>
      </w:r>
    </w:p>
    <w:p>
      <w:pPr>
        <w:spacing w:line="360" w:lineRule="auto" w:after="120"/>
        <w:ind w:firstLine="420"/>
      </w:pPr>
      <w:r>
        <w:rPr>
          <w:rFonts w:ascii="微软雅黑" w:hAnsi="微软雅黑" w:eastAsia="微软雅黑"/>
          <w:b w:val="0"/>
          <w:sz w:val="21"/>
        </w:rPr>
        <w:t>建设范围：项目一期聚焦能源数据资产的确权、登记、共享和交易核心功能建设，覆盖数据资产管理、隐私计算服务、区块链存证、身份认证、运营分析、AI Agent等六大模块，包括约604个API端点和约50个前端页面。</w:t>
      </w:r>
    </w:p>
    <w:p>
      <w:r>
        <w:br w:type="page"/>
      </w:r>
    </w:p>
    <w:p>
      <w:pPr>
        <w:pStyle w:val="Heading1"/>
      </w:pPr>
      <w:r>
        <w:rPr>
          <w:rFonts w:ascii="微软雅黑" w:hAnsi="微软雅黑" w:eastAsia="微软雅黑"/>
        </w:rPr>
        <w:t>第二章  技术需求分析</w:t>
      </w:r>
    </w:p>
    <w:p>
      <w:pPr>
        <w:pStyle w:val="Heading2"/>
      </w:pPr>
      <w:r>
        <w:rPr>
          <w:rFonts w:ascii="微软雅黑" w:hAnsi="微软雅黑" w:eastAsia="微软雅黑"/>
        </w:rPr>
        <w:t>2.1  功能性需求分析</w:t>
      </w:r>
    </w:p>
    <w:p>
      <w:pPr>
        <w:pStyle w:val="Heading3"/>
      </w:pPr>
      <w:r>
        <w:rPr>
          <w:rFonts w:ascii="微软雅黑" w:hAnsi="微软雅黑" w:eastAsia="微软雅黑"/>
        </w:rPr>
        <w:t>2.1.1  数据资产管理需求</w:t>
      </w:r>
    </w:p>
    <w:p>
      <w:pPr>
        <w:spacing w:line="360" w:lineRule="auto" w:after="120"/>
        <w:ind w:firstLine="420"/>
      </w:pPr>
      <w:r>
        <w:rPr>
          <w:rFonts w:ascii="微软雅黑" w:hAnsi="微软雅黑" w:eastAsia="微软雅黑"/>
          <w:b w:val="0"/>
          <w:sz w:val="21"/>
        </w:rPr>
        <w:t>数据资产管理是能源可信数据空间的基础功能模块，负责实现数据的全生命周期管理。根据《数据管理能力成熟度模型》（GB/T 36073-2018，DCMM国家标准），数据资产管理涵盖数据战略、数据治理、数据架构、数据质量、数据安全、数据标准、数据应用、数据生存周期等八个能力域。</w:t>
      </w:r>
    </w:p>
    <w:p>
      <w:pPr>
        <w:spacing w:line="360" w:lineRule="auto" w:after="120"/>
        <w:ind w:firstLine="420"/>
      </w:pPr>
      <w:r>
        <w:rPr>
          <w:rFonts w:ascii="微软雅黑" w:hAnsi="微软雅黑" w:eastAsia="微软雅黑"/>
          <w:b w:val="0"/>
          <w:sz w:val="21"/>
        </w:rPr>
        <w:t>（1）数据源管理。系统应支持多类型数据源的接入和管理，包括关系型数据库（PostgreSQL、MySQL、Oracle）、时序数据库（InfluxDB、TDengine）、文件存储（MinIO/S3对象存储）、消息队列（MQTT、Kafka）、API接口（REST、GraphQL）等。数据源连接应支持SSL/TLS加密通信，连接凭证应加密存储。系统应提供数据源连通性测试和元数据自动发现功能。</w:t>
      </w:r>
    </w:p>
    <w:p>
      <w:pPr>
        <w:spacing w:line="360" w:lineRule="auto" w:after="120"/>
        <w:ind w:firstLine="420"/>
      </w:pPr>
      <w:r>
        <w:rPr>
          <w:rFonts w:ascii="微软雅黑" w:hAnsi="微软雅黑" w:eastAsia="微软雅黑"/>
          <w:b w:val="0"/>
          <w:sz w:val="21"/>
        </w:rPr>
        <w:t>（2）数据资产管理。系统应建立统一的数据资产目录，支持按业务域、数据类型、安全等级、组织部门等多维度分类管理。数据资产应包括结构化数据、半结构化数据、非结构化数据和流式数据。每项数据资产应具有唯一的URI标识符，并关联丰富的元数据信息。</w:t>
      </w:r>
    </w:p>
    <w:p>
      <w:pPr>
        <w:spacing w:line="360" w:lineRule="auto" w:after="120"/>
        <w:ind w:firstLine="420"/>
      </w:pPr>
      <w:r>
        <w:rPr>
          <w:rFonts w:ascii="微软雅黑" w:hAnsi="微软雅黑" w:eastAsia="微软雅黑"/>
          <w:b w:val="0"/>
          <w:sz w:val="21"/>
        </w:rPr>
        <w:t>（3）元数据管理。系统应实现技术元数据、业务元数据、操作元数据的统一管理。技术元数据包括数据库模式、表结构、字段定义、索引信息等；业务元数据包括数据业务含义、责任部门、分类分级标签、数据血缘关系等；操作元数据包括更新时间、访问频率、质量评分等。</w:t>
      </w:r>
    </w:p>
    <w:p>
      <w:pPr>
        <w:spacing w:line="360" w:lineRule="auto" w:after="120"/>
        <w:ind w:firstLine="420"/>
      </w:pPr>
      <w:r>
        <w:rPr>
          <w:rFonts w:ascii="微软雅黑" w:hAnsi="微软雅黑" w:eastAsia="微软雅黑"/>
          <w:b w:val="0"/>
          <w:sz w:val="21"/>
        </w:rPr>
        <w:t>（4）数据目录与检索。系统应提供数据资产的全景目录视图，支持关键词搜索、标签过滤、分类浏览等多种检索方式。搜索结果应按相关度排序，并展示关键元数据信息。系统应支持基于角色的数据目录访问控制。</w:t>
      </w:r>
    </w:p>
    <w:p>
      <w:pPr>
        <w:spacing w:line="360" w:lineRule="auto" w:after="120"/>
        <w:ind w:firstLine="420"/>
      </w:pPr>
      <w:r>
        <w:rPr>
          <w:rFonts w:ascii="微软雅黑" w:hAnsi="微软雅黑" w:eastAsia="微软雅黑"/>
          <w:b w:val="0"/>
          <w:sz w:val="21"/>
        </w:rPr>
        <w:t>（5）数据血缘管理。系统应自动追踪数据从源系统到目标系统的流转路径，构建端到端的数据血缘图谱，精确到字段级别，支持向前追溯和向后追溯，可视化展示应支持交互式探索。</w:t>
      </w:r>
    </w:p>
    <w:p>
      <w:pPr>
        <w:spacing w:line="360" w:lineRule="auto" w:after="120"/>
        <w:ind w:firstLine="420"/>
      </w:pPr>
      <w:r>
        <w:rPr>
          <w:rFonts w:ascii="微软雅黑" w:hAnsi="微软雅黑" w:eastAsia="微软雅黑"/>
          <w:b w:val="0"/>
          <w:sz w:val="21"/>
        </w:rPr>
        <w:t>（6）数据质量管理。系统应建立基于CAUTUV模型（完整性、准确性、一致性、时效性、唯一性、有效性）的数据质量评估体系，支持质量规则的灵活配置和自动执行，不达标数据应触发告警和修复流程。</w:t>
      </w:r>
    </w:p>
    <w:p>
      <w:pPr>
        <w:pStyle w:val="Heading3"/>
      </w:pPr>
      <w:r>
        <w:rPr>
          <w:rFonts w:ascii="微软雅黑" w:hAnsi="微软雅黑" w:eastAsia="微软雅黑"/>
        </w:rPr>
        <w:t>2.1.2  可信数据共享需求</w:t>
      </w:r>
    </w:p>
    <w:p>
      <w:pPr>
        <w:spacing w:line="360" w:lineRule="auto" w:after="120"/>
        <w:ind w:firstLine="420"/>
      </w:pPr>
      <w:r>
        <w:rPr>
          <w:rFonts w:ascii="微软雅黑" w:hAnsi="微软雅黑" w:eastAsia="微软雅黑"/>
          <w:b w:val="0"/>
          <w:sz w:val="21"/>
        </w:rPr>
        <w:t>可信数据共享是能源可信数据空间的核心功能，旨在解决能源行业数据"不敢共享、不愿共享、不能共享"的困局。</w:t>
      </w:r>
    </w:p>
    <w:p>
      <w:pPr>
        <w:spacing w:line="360" w:lineRule="auto" w:after="120"/>
        <w:ind w:firstLine="420"/>
      </w:pPr>
      <w:r>
        <w:rPr>
          <w:rFonts w:ascii="微软雅黑" w:hAnsi="微软雅黑" w:eastAsia="微软雅黑"/>
          <w:b w:val="0"/>
          <w:sz w:val="21"/>
        </w:rPr>
        <w:t>（1）数据使用控制。系统应实现基于策略的数据使用控制（Usage Control），超越传统访问控制的范畴。使用控制策略应涵盖数据使用目的（Purpose）、使用范围（Scope）、使用期限（Duration）、使用次数（Frequency）、使用环境（Environment）等维度。使用控制策略应在数据使用全过程中持续执行，而非仅在访问时执行一次。</w:t>
      </w:r>
    </w:p>
    <w:p>
      <w:pPr>
        <w:spacing w:line="360" w:lineRule="auto" w:after="120"/>
        <w:ind w:firstLine="420"/>
      </w:pPr>
      <w:r>
        <w:rPr>
          <w:rFonts w:ascii="微软雅黑" w:hAnsi="微软雅黑" w:eastAsia="微软雅黑"/>
          <w:b w:val="0"/>
          <w:sz w:val="21"/>
        </w:rPr>
        <w:t>（2）隐私计算能力。系统应提供多种隐私计算技术路线，以适应不同安全等级和性能要求的应用场景：</w:t>
      </w:r>
    </w:p>
    <w:p>
      <w:pPr>
        <w:spacing w:line="360" w:lineRule="auto" w:after="120"/>
        <w:jc w:val="center"/>
      </w:pPr>
      <w:r>
        <w:rPr>
          <w:rFonts w:ascii="微软雅黑" w:hAnsi="微软雅黑" w:eastAsia="微软雅黑"/>
          <w:b/>
          <w:sz w:val="18"/>
        </w:rPr>
        <w:t>表2-1  隐私计算技术路线对比</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134"/>
            <w:shd w:fill="1A3C6D"/>
          </w:tcPr>
          <w:p>
            <w:pPr>
              <w:jc w:val="center"/>
            </w:pPr>
            <w:r/>
            <w:r>
              <w:rPr>
                <w:rFonts w:ascii="微软雅黑" w:hAnsi="微软雅黑"/>
                <w:b/>
                <w:color w:val="FFFFFF"/>
                <w:sz w:val="16"/>
              </w:rPr>
              <w:t>技术路线</w:t>
            </w:r>
          </w:p>
        </w:tc>
        <w:tc>
          <w:tcPr>
            <w:tcW w:type="dxa" w:w="1417"/>
            <w:shd w:fill="1A3C6D"/>
          </w:tcPr>
          <w:p>
            <w:pPr>
              <w:jc w:val="center"/>
            </w:pPr>
            <w:r/>
            <w:r>
              <w:rPr>
                <w:rFonts w:ascii="微软雅黑" w:hAnsi="微软雅黑"/>
                <w:b/>
                <w:color w:val="FFFFFF"/>
                <w:sz w:val="16"/>
              </w:rPr>
              <w:t>安全模型</w:t>
            </w:r>
          </w:p>
        </w:tc>
        <w:tc>
          <w:tcPr>
            <w:tcW w:type="dxa" w:w="850"/>
            <w:shd w:fill="1A3C6D"/>
          </w:tcPr>
          <w:p>
            <w:pPr>
              <w:jc w:val="center"/>
            </w:pPr>
            <w:r/>
            <w:r>
              <w:rPr>
                <w:rFonts w:ascii="微软雅黑" w:hAnsi="微软雅黑"/>
                <w:b/>
                <w:color w:val="FFFFFF"/>
                <w:sz w:val="16"/>
              </w:rPr>
              <w:t>计算精度</w:t>
            </w:r>
          </w:p>
        </w:tc>
        <w:tc>
          <w:tcPr>
            <w:tcW w:type="dxa" w:w="1701"/>
            <w:shd w:fill="1A3C6D"/>
          </w:tcPr>
          <w:p>
            <w:pPr>
              <w:jc w:val="center"/>
            </w:pPr>
            <w:r/>
            <w:r>
              <w:rPr>
                <w:rFonts w:ascii="微软雅黑" w:hAnsi="微软雅黑"/>
                <w:b/>
                <w:color w:val="FFFFFF"/>
                <w:sz w:val="16"/>
              </w:rPr>
              <w:t>性能开销</w:t>
            </w:r>
          </w:p>
        </w:tc>
        <w:tc>
          <w:tcPr>
            <w:tcW w:type="dxa" w:w="1701"/>
            <w:shd w:fill="1A3C6D"/>
          </w:tcPr>
          <w:p>
            <w:pPr>
              <w:jc w:val="center"/>
            </w:pPr>
            <w:r/>
            <w:r>
              <w:rPr>
                <w:rFonts w:ascii="微软雅黑" w:hAnsi="微软雅黑"/>
                <w:b/>
                <w:color w:val="FFFFFF"/>
                <w:sz w:val="16"/>
              </w:rPr>
              <w:t>典型应用场景</w:t>
            </w:r>
          </w:p>
        </w:tc>
      </w:tr>
      <w:tr>
        <w:tc>
          <w:tcPr>
            <w:tcW w:type="dxa" w:w="1134"/>
          </w:tcPr>
          <w:p>
            <w:pPr>
              <w:jc w:val="center"/>
            </w:pPr>
            <w:r/>
            <w:r>
              <w:rPr>
                <w:rFonts w:ascii="微软雅黑" w:hAnsi="微软雅黑"/>
                <w:sz w:val="15"/>
              </w:rPr>
              <w:t>联邦学习（FL）</w:t>
            </w:r>
          </w:p>
        </w:tc>
        <w:tc>
          <w:tcPr>
            <w:tcW w:type="dxa" w:w="1417"/>
          </w:tcPr>
          <w:p>
            <w:pPr>
              <w:jc w:val="center"/>
            </w:pPr>
            <w:r/>
            <w:r>
              <w:rPr>
                <w:rFonts w:ascii="微软雅黑" w:hAnsi="微软雅黑"/>
                <w:sz w:val="15"/>
              </w:rPr>
              <w:t>数据不出域，模型参数交换</w:t>
            </w:r>
          </w:p>
        </w:tc>
        <w:tc>
          <w:tcPr>
            <w:tcW w:type="dxa" w:w="850"/>
          </w:tcPr>
          <w:p>
            <w:pPr>
              <w:jc w:val="center"/>
            </w:pPr>
            <w:r/>
            <w:r>
              <w:rPr>
                <w:rFonts w:ascii="微软雅黑" w:hAnsi="微软雅黑"/>
                <w:sz w:val="15"/>
              </w:rPr>
              <w:t>近似精度</w:t>
            </w:r>
          </w:p>
        </w:tc>
        <w:tc>
          <w:tcPr>
            <w:tcW w:type="dxa" w:w="1701"/>
          </w:tcPr>
          <w:p>
            <w:pPr>
              <w:jc w:val="center"/>
            </w:pPr>
            <w:r/>
            <w:r>
              <w:rPr>
                <w:rFonts w:ascii="微软雅黑" w:hAnsi="微软雅黑"/>
                <w:sz w:val="15"/>
              </w:rPr>
              <w:t>中（通信开销为主）</w:t>
            </w:r>
          </w:p>
        </w:tc>
        <w:tc>
          <w:tcPr>
            <w:tcW w:type="dxa" w:w="1701"/>
          </w:tcPr>
          <w:p>
            <w:pPr>
              <w:jc w:val="center"/>
            </w:pPr>
            <w:r/>
            <w:r>
              <w:rPr>
                <w:rFonts w:ascii="微软雅黑" w:hAnsi="微软雅黑"/>
                <w:sz w:val="15"/>
              </w:rPr>
              <w:t>负荷预测模型联合训练、设备故障诊断</w:t>
            </w:r>
          </w:p>
        </w:tc>
      </w:tr>
      <w:tr>
        <w:tc>
          <w:tcPr>
            <w:tcW w:type="dxa" w:w="1134"/>
            <w:shd w:fill="F0F4FA"/>
          </w:tcPr>
          <w:p>
            <w:pPr>
              <w:jc w:val="center"/>
            </w:pPr>
            <w:r/>
            <w:r>
              <w:rPr>
                <w:rFonts w:ascii="微软雅黑" w:hAnsi="微软雅黑"/>
                <w:sz w:val="15"/>
              </w:rPr>
              <w:t>可信执行环境（TEE）</w:t>
            </w:r>
          </w:p>
        </w:tc>
        <w:tc>
          <w:tcPr>
            <w:tcW w:type="dxa" w:w="1417"/>
            <w:shd w:fill="F0F4FA"/>
          </w:tcPr>
          <w:p>
            <w:pPr>
              <w:jc w:val="center"/>
            </w:pPr>
            <w:r/>
            <w:r>
              <w:rPr>
                <w:rFonts w:ascii="微软雅黑" w:hAnsi="微软雅黑"/>
                <w:sz w:val="15"/>
              </w:rPr>
              <w:t>硬件级enclave隔离</w:t>
            </w:r>
          </w:p>
        </w:tc>
        <w:tc>
          <w:tcPr>
            <w:tcW w:type="dxa" w:w="850"/>
            <w:shd w:fill="F0F4FA"/>
          </w:tcPr>
          <w:p>
            <w:pPr>
              <w:jc w:val="center"/>
            </w:pPr>
            <w:r/>
            <w:r>
              <w:rPr>
                <w:rFonts w:ascii="微软雅黑" w:hAnsi="微软雅黑"/>
                <w:sz w:val="15"/>
              </w:rPr>
              <w:t>精确计算</w:t>
            </w:r>
          </w:p>
        </w:tc>
        <w:tc>
          <w:tcPr>
            <w:tcW w:type="dxa" w:w="1701"/>
            <w:shd w:fill="F0F4FA"/>
          </w:tcPr>
          <w:p>
            <w:pPr>
              <w:jc w:val="center"/>
            </w:pPr>
            <w:r/>
            <w:r>
              <w:rPr>
                <w:rFonts w:ascii="微软雅黑" w:hAnsi="微软雅黑"/>
                <w:sz w:val="15"/>
              </w:rPr>
              <w:t>低（接近明文计算）</w:t>
            </w:r>
          </w:p>
        </w:tc>
        <w:tc>
          <w:tcPr>
            <w:tcW w:type="dxa" w:w="1701"/>
            <w:shd w:fill="F0F4FA"/>
          </w:tcPr>
          <w:p>
            <w:pPr>
              <w:jc w:val="center"/>
            </w:pPr>
            <w:r/>
            <w:r>
              <w:rPr>
                <w:rFonts w:ascii="微软雅黑" w:hAnsi="微软雅黑"/>
                <w:sz w:val="15"/>
              </w:rPr>
              <w:t>数据质量校验、合规审查计算</w:t>
            </w:r>
          </w:p>
        </w:tc>
      </w:tr>
      <w:tr>
        <w:tc>
          <w:tcPr>
            <w:tcW w:type="dxa" w:w="1134"/>
          </w:tcPr>
          <w:p>
            <w:pPr>
              <w:jc w:val="center"/>
            </w:pPr>
            <w:r/>
            <w:r>
              <w:rPr>
                <w:rFonts w:ascii="微软雅黑" w:hAnsi="微软雅黑"/>
                <w:sz w:val="15"/>
              </w:rPr>
              <w:t>安全多方计算（MPC）</w:t>
            </w:r>
          </w:p>
        </w:tc>
        <w:tc>
          <w:tcPr>
            <w:tcW w:type="dxa" w:w="1417"/>
          </w:tcPr>
          <w:p>
            <w:pPr>
              <w:jc w:val="center"/>
            </w:pPr>
            <w:r/>
            <w:r>
              <w:rPr>
                <w:rFonts w:ascii="微软雅黑" w:hAnsi="微软雅黑"/>
                <w:sz w:val="15"/>
              </w:rPr>
              <w:t>密码学安全</w:t>
            </w:r>
          </w:p>
        </w:tc>
        <w:tc>
          <w:tcPr>
            <w:tcW w:type="dxa" w:w="850"/>
          </w:tcPr>
          <w:p>
            <w:pPr>
              <w:jc w:val="center"/>
            </w:pPr>
            <w:r/>
            <w:r>
              <w:rPr>
                <w:rFonts w:ascii="微软雅黑" w:hAnsi="微软雅黑"/>
                <w:sz w:val="15"/>
              </w:rPr>
              <w:t>精确计算</w:t>
            </w:r>
          </w:p>
        </w:tc>
        <w:tc>
          <w:tcPr>
            <w:tcW w:type="dxa" w:w="1701"/>
          </w:tcPr>
          <w:p>
            <w:pPr>
              <w:jc w:val="center"/>
            </w:pPr>
            <w:r/>
            <w:r>
              <w:rPr>
                <w:rFonts w:ascii="微软雅黑" w:hAnsi="微软雅黑"/>
                <w:sz w:val="15"/>
              </w:rPr>
              <w:t>高（通信+计算开销）</w:t>
            </w:r>
          </w:p>
        </w:tc>
        <w:tc>
          <w:tcPr>
            <w:tcW w:type="dxa" w:w="1701"/>
          </w:tcPr>
          <w:p>
            <w:pPr>
              <w:jc w:val="center"/>
            </w:pPr>
            <w:r/>
            <w:r>
              <w:rPr>
                <w:rFonts w:ascii="微软雅黑" w:hAnsi="微软雅黑"/>
                <w:sz w:val="15"/>
              </w:rPr>
              <w:t>电力市场联合出清、隐私集合求交</w:t>
            </w:r>
          </w:p>
        </w:tc>
      </w:tr>
      <w:tr>
        <w:tc>
          <w:tcPr>
            <w:tcW w:type="dxa" w:w="1134"/>
            <w:shd w:fill="F0F4FA"/>
          </w:tcPr>
          <w:p>
            <w:pPr>
              <w:jc w:val="center"/>
            </w:pPr>
            <w:r/>
            <w:r>
              <w:rPr>
                <w:rFonts w:ascii="微软雅黑" w:hAnsi="微软雅黑"/>
                <w:sz w:val="15"/>
              </w:rPr>
              <w:t>同态加密（HE）</w:t>
            </w:r>
          </w:p>
        </w:tc>
        <w:tc>
          <w:tcPr>
            <w:tcW w:type="dxa" w:w="1417"/>
            <w:shd w:fill="F0F4FA"/>
          </w:tcPr>
          <w:p>
            <w:pPr>
              <w:jc w:val="center"/>
            </w:pPr>
            <w:r/>
            <w:r>
              <w:rPr>
                <w:rFonts w:ascii="微软雅黑" w:hAnsi="微软雅黑"/>
                <w:sz w:val="15"/>
              </w:rPr>
              <w:t>密码学安全，可证安全</w:t>
            </w:r>
          </w:p>
        </w:tc>
        <w:tc>
          <w:tcPr>
            <w:tcW w:type="dxa" w:w="850"/>
            <w:shd w:fill="F0F4FA"/>
          </w:tcPr>
          <w:p>
            <w:pPr>
              <w:jc w:val="center"/>
            </w:pPr>
            <w:r/>
            <w:r>
              <w:rPr>
                <w:rFonts w:ascii="微软雅黑" w:hAnsi="微软雅黑"/>
                <w:sz w:val="15"/>
              </w:rPr>
              <w:t>精确/近似</w:t>
            </w:r>
          </w:p>
        </w:tc>
        <w:tc>
          <w:tcPr>
            <w:tcW w:type="dxa" w:w="1701"/>
            <w:shd w:fill="F0F4FA"/>
          </w:tcPr>
          <w:p>
            <w:pPr>
              <w:jc w:val="center"/>
            </w:pPr>
            <w:r/>
            <w:r>
              <w:rPr>
                <w:rFonts w:ascii="微软雅黑" w:hAnsi="微软雅黑"/>
                <w:sz w:val="15"/>
              </w:rPr>
              <w:t>极高（密文膨胀100-1000x）</w:t>
            </w:r>
          </w:p>
        </w:tc>
        <w:tc>
          <w:tcPr>
            <w:tcW w:type="dxa" w:w="1701"/>
            <w:shd w:fill="F0F4FA"/>
          </w:tcPr>
          <w:p>
            <w:pPr>
              <w:jc w:val="center"/>
            </w:pPr>
            <w:r/>
            <w:r>
              <w:rPr>
                <w:rFonts w:ascii="微软雅黑" w:hAnsi="微软雅黑"/>
                <w:sz w:val="15"/>
              </w:rPr>
              <w:t>密态数据聚合、隐私统计分析</w:t>
            </w:r>
          </w:p>
        </w:tc>
      </w:tr>
      <w:tr>
        <w:tc>
          <w:tcPr>
            <w:tcW w:type="dxa" w:w="1134"/>
          </w:tcPr>
          <w:p>
            <w:pPr>
              <w:jc w:val="center"/>
            </w:pPr>
            <w:r/>
            <w:r>
              <w:rPr>
                <w:rFonts w:ascii="微软雅黑" w:hAnsi="微软雅黑"/>
                <w:sz w:val="15"/>
              </w:rPr>
              <w:t>差分隐私（DP）</w:t>
            </w:r>
          </w:p>
        </w:tc>
        <w:tc>
          <w:tcPr>
            <w:tcW w:type="dxa" w:w="1417"/>
          </w:tcPr>
          <w:p>
            <w:pPr>
              <w:jc w:val="center"/>
            </w:pPr>
            <w:r/>
            <w:r>
              <w:rPr>
                <w:rFonts w:ascii="微软雅黑" w:hAnsi="微软雅黑"/>
                <w:sz w:val="15"/>
              </w:rPr>
              <w:t>统计安全，ε-差分隐私</w:t>
            </w:r>
          </w:p>
        </w:tc>
        <w:tc>
          <w:tcPr>
            <w:tcW w:type="dxa" w:w="850"/>
          </w:tcPr>
          <w:p>
            <w:pPr>
              <w:jc w:val="center"/>
            </w:pPr>
            <w:r/>
            <w:r>
              <w:rPr>
                <w:rFonts w:ascii="微软雅黑" w:hAnsi="微软雅黑"/>
                <w:sz w:val="15"/>
              </w:rPr>
              <w:t>有损（加噪）</w:t>
            </w:r>
          </w:p>
        </w:tc>
        <w:tc>
          <w:tcPr>
            <w:tcW w:type="dxa" w:w="1701"/>
          </w:tcPr>
          <w:p>
            <w:pPr>
              <w:jc w:val="center"/>
            </w:pPr>
            <w:r/>
            <w:r>
              <w:rPr>
                <w:rFonts w:ascii="微软雅黑" w:hAnsi="微软雅黑"/>
                <w:sz w:val="15"/>
              </w:rPr>
              <w:t>低</w:t>
            </w:r>
          </w:p>
        </w:tc>
        <w:tc>
          <w:tcPr>
            <w:tcW w:type="dxa" w:w="1701"/>
          </w:tcPr>
          <w:p>
            <w:pPr>
              <w:jc w:val="center"/>
            </w:pPr>
            <w:r/>
            <w:r>
              <w:rPr>
                <w:rFonts w:ascii="微软雅黑" w:hAnsi="微软雅黑"/>
                <w:sz w:val="15"/>
              </w:rPr>
              <w:t>统计报告发布、敏感数据脱敏</w:t>
            </w:r>
          </w:p>
        </w:tc>
      </w:tr>
    </w:tbl>
    <w:p/>
    <w:p>
      <w:pPr>
        <w:spacing w:line="360" w:lineRule="auto" w:after="120"/>
        <w:ind w:firstLine="420"/>
      </w:pPr>
      <w:r>
        <w:rPr>
          <w:rFonts w:ascii="微软雅黑" w:hAnsi="微软雅黑" w:eastAsia="微软雅黑"/>
          <w:b w:val="0"/>
          <w:sz w:val="21"/>
        </w:rPr>
        <w:t>（3）数据授权与审批。系统应建立完善的数据授权管理机制，支持基于角色的授权（RBAC）、基于属性的授权（ABAC）、基于策略的授权（PBAC）三种模式。授权审批流程应支持多级审批、会签审批、自动审批等多种模式，审批记录应完整留痕并存证到区块链。</w:t>
      </w:r>
    </w:p>
    <w:p>
      <w:pPr>
        <w:spacing w:line="360" w:lineRule="auto" w:after="120"/>
        <w:ind w:firstLine="420"/>
      </w:pPr>
      <w:r>
        <w:rPr>
          <w:rFonts w:ascii="微软雅黑" w:hAnsi="微软雅黑" w:eastAsia="微软雅黑"/>
          <w:b w:val="0"/>
          <w:sz w:val="21"/>
        </w:rPr>
        <w:t>（4）数据连接器。系统应实现符合IDSA参考架构标准的数据连接器，作为数据空间的基础入口。连接器应支持数据提供者和数据消费者两种角色，提供数据传输通道加密、使用控制策略执行、使用日志记录等核心功能，支持HTTP/REST、gRPC、MQTT、SFTP等多种传输协议。</w:t>
      </w:r>
    </w:p>
    <w:p>
      <w:pPr>
        <w:pStyle w:val="Heading3"/>
      </w:pPr>
      <w:r>
        <w:rPr>
          <w:rFonts w:ascii="微软雅黑" w:hAnsi="微软雅黑" w:eastAsia="微软雅黑"/>
        </w:rPr>
        <w:t>2.1.3  区块链存证需求</w:t>
      </w:r>
    </w:p>
    <w:p>
      <w:pPr>
        <w:spacing w:line="360" w:lineRule="auto" w:after="120"/>
        <w:ind w:firstLine="420"/>
      </w:pPr>
      <w:r>
        <w:rPr>
          <w:rFonts w:ascii="微软雅黑" w:hAnsi="微软雅黑" w:eastAsia="微软雅黑"/>
          <w:b w:val="0"/>
          <w:sz w:val="21"/>
        </w:rPr>
        <w:t>区块链作为可信数据空间的信任基础设施，承担数据存证、交易记录、合约执行等核心功能：（1）数据存证——关键操作记录以区块链交易形式存证，包括操作类型、时间、主体、对象、结果及数据哈希值（SHA-256或SM3）；（2）智能合约——部署数据交易智能合约实现交易自动化，涵盖数据产品上架/下架、购买/订阅、使用权转移、收益分配、违约惩罚等类型；（3）数据资产NFT化——支持将数据资产铸造为NFT，赋予唯一标识和可追溯的所有权记录。</w:t>
      </w:r>
    </w:p>
    <w:p>
      <w:pPr>
        <w:pStyle w:val="Heading3"/>
      </w:pPr>
      <w:r>
        <w:rPr>
          <w:rFonts w:ascii="微软雅黑" w:hAnsi="微软雅黑" w:eastAsia="微软雅黑"/>
        </w:rPr>
        <w:t>2.1.4  安全认证与身份管理需求</w:t>
      </w:r>
    </w:p>
    <w:p>
      <w:pPr>
        <w:spacing w:line="360" w:lineRule="auto" w:after="120"/>
        <w:ind w:firstLine="420"/>
      </w:pPr>
      <w:r>
        <w:rPr>
          <w:rFonts w:ascii="微软雅黑" w:hAnsi="微软雅黑" w:eastAsia="微软雅黑"/>
          <w:b w:val="0"/>
          <w:sz w:val="21"/>
        </w:rPr>
        <w:t>分布式数字身份（DID）和可验证凭证（VC）是跨组织身份互认的技术基础：（1）DID身份管理——支持W3C DID Core 1.0标准，为每个参与方创建唯一分布式标识符，DID文档包含公钥信息、服务端点、认证方法等属性；（2）VC凭证管理——支持W3C VC Data Model 2.0标准，实现可验证凭证的签发、持有、验证和撤销，支持选择性披露（Selective Disclosure）；（3）多因素认证（MFA）——支持基于TOTP标准的MFA，提供完整的绑定、验证、解绑、重置生命周期管理；（4）单点登录（SSO）——支持OAuth 2.0、OIDC和SAML 2.0标准协议的SSO集成。</w:t>
      </w:r>
    </w:p>
    <w:p>
      <w:pPr>
        <w:pStyle w:val="Heading3"/>
      </w:pPr>
      <w:r>
        <w:rPr>
          <w:rFonts w:ascii="微软雅黑" w:hAnsi="微软雅黑" w:eastAsia="微软雅黑"/>
        </w:rPr>
        <w:t>2.1.5  AI Agent智能体需求</w:t>
      </w:r>
    </w:p>
    <w:p>
      <w:pPr>
        <w:spacing w:line="360" w:lineRule="auto" w:after="120"/>
        <w:ind w:firstLine="420"/>
      </w:pPr>
      <w:r>
        <w:rPr>
          <w:rFonts w:ascii="微软雅黑" w:hAnsi="微软雅黑" w:eastAsia="微软雅黑"/>
          <w:b w:val="0"/>
          <w:sz w:val="21"/>
        </w:rPr>
        <w:t>AI Agent是能源可信数据空间中的智能助手：（1）自然语言查询——用户通过自然语言描述数据需求，AI Agent自动转化为查询语句或API调用；（2）智能推荐——根据用户历史行为和角色信息，主动推荐相关数据产品和分析报告；（3）知识库管理——维护能源行业术语、数据标准、业务规则等领域知识库；（4）多种Agent类型——支持查询代理、交易代理、安全代理、调度代理等多种专业Agent。</w:t>
      </w:r>
    </w:p>
    <w:p>
      <w:pPr>
        <w:pStyle w:val="Heading2"/>
      </w:pPr>
      <w:r>
        <w:rPr>
          <w:rFonts w:ascii="微软雅黑" w:hAnsi="微软雅黑" w:eastAsia="微软雅黑"/>
        </w:rPr>
        <w:t>2.2  非功能性需求分析</w:t>
      </w:r>
    </w:p>
    <w:p>
      <w:pPr>
        <w:pStyle w:val="Heading3"/>
      </w:pPr>
      <w:r>
        <w:rPr>
          <w:rFonts w:ascii="微软雅黑" w:hAnsi="微软雅黑" w:eastAsia="微软雅黑"/>
        </w:rPr>
        <w:t>2.2.1  性能需求</w:t>
      </w:r>
    </w:p>
    <w:p>
      <w:pPr>
        <w:spacing w:line="360" w:lineRule="auto" w:after="120"/>
        <w:ind w:firstLine="420"/>
      </w:pPr>
      <w:r>
        <w:rPr>
          <w:rFonts w:ascii="微软雅黑" w:hAnsi="微软雅黑" w:eastAsia="微软雅黑"/>
          <w:b w:val="0"/>
          <w:sz w:val="21"/>
        </w:rPr>
        <w:t>能源可信数据空间面向大规模能源数据处理场景，核心性能指标如下：</w:t>
      </w:r>
    </w:p>
    <w:p>
      <w:pPr>
        <w:spacing w:line="360" w:lineRule="auto" w:after="120"/>
        <w:jc w:val="center"/>
      </w:pPr>
      <w:r>
        <w:rPr>
          <w:rFonts w:ascii="微软雅黑" w:hAnsi="微软雅黑" w:eastAsia="微软雅黑"/>
          <w:b/>
          <w:sz w:val="18"/>
        </w:rPr>
        <w:t>表2-2  系统性能需求指标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701"/>
            <w:shd w:fill="1A3C6D"/>
          </w:tcPr>
          <w:p>
            <w:pPr>
              <w:jc w:val="center"/>
            </w:pPr>
            <w:r/>
            <w:r>
              <w:rPr>
                <w:rFonts w:ascii="微软雅黑" w:hAnsi="微软雅黑"/>
                <w:b/>
                <w:color w:val="FFFFFF"/>
                <w:sz w:val="16"/>
              </w:rPr>
              <w:t>性能指标</w:t>
            </w:r>
          </w:p>
        </w:tc>
        <w:tc>
          <w:tcPr>
            <w:tcW w:type="dxa" w:w="1417"/>
            <w:shd w:fill="1A3C6D"/>
          </w:tcPr>
          <w:p>
            <w:pPr>
              <w:jc w:val="center"/>
            </w:pPr>
            <w:r/>
            <w:r>
              <w:rPr>
                <w:rFonts w:ascii="微软雅黑" w:hAnsi="微软雅黑"/>
                <w:b/>
                <w:color w:val="FFFFFF"/>
                <w:sz w:val="16"/>
              </w:rPr>
              <w:t>目标值</w:t>
            </w:r>
          </w:p>
        </w:tc>
        <w:tc>
          <w:tcPr>
            <w:tcW w:type="dxa" w:w="1701"/>
            <w:shd w:fill="1A3C6D"/>
          </w:tcPr>
          <w:p>
            <w:pPr>
              <w:jc w:val="center"/>
            </w:pPr>
            <w:r/>
            <w:r>
              <w:rPr>
                <w:rFonts w:ascii="微软雅黑" w:hAnsi="微软雅黑"/>
                <w:b/>
                <w:color w:val="FFFFFF"/>
                <w:sz w:val="16"/>
              </w:rPr>
              <w:t>测试条件</w:t>
            </w:r>
          </w:p>
        </w:tc>
        <w:tc>
          <w:tcPr>
            <w:tcW w:type="dxa" w:w="680"/>
            <w:shd w:fill="1A3C6D"/>
          </w:tcPr>
          <w:p>
            <w:pPr>
              <w:jc w:val="center"/>
            </w:pPr>
            <w:r/>
            <w:r>
              <w:rPr>
                <w:rFonts w:ascii="微软雅黑" w:hAnsi="微软雅黑"/>
                <w:b/>
                <w:color w:val="FFFFFF"/>
                <w:sz w:val="16"/>
              </w:rPr>
              <w:t>优先级</w:t>
            </w:r>
          </w:p>
        </w:tc>
      </w:tr>
      <w:tr>
        <w:tc>
          <w:tcPr>
            <w:tcW w:type="dxa" w:w="1701"/>
          </w:tcPr>
          <w:p>
            <w:pPr>
              <w:jc w:val="center"/>
            </w:pPr>
            <w:r/>
            <w:r>
              <w:rPr>
                <w:rFonts w:ascii="微软雅黑" w:hAnsi="微软雅黑"/>
                <w:sz w:val="15"/>
              </w:rPr>
              <w:t>API响应时间(P95)</w:t>
            </w:r>
          </w:p>
        </w:tc>
        <w:tc>
          <w:tcPr>
            <w:tcW w:type="dxa" w:w="1417"/>
          </w:tcPr>
          <w:p>
            <w:pPr>
              <w:jc w:val="center"/>
            </w:pPr>
            <w:r/>
            <w:r>
              <w:rPr>
                <w:rFonts w:ascii="微软雅黑" w:hAnsi="微软雅黑"/>
                <w:sz w:val="15"/>
              </w:rPr>
              <w:t>&lt;500ms（简单查询）</w:t>
            </w:r>
          </w:p>
        </w:tc>
        <w:tc>
          <w:tcPr>
            <w:tcW w:type="dxa" w:w="1701"/>
          </w:tcPr>
          <w:p>
            <w:pPr>
              <w:jc w:val="center"/>
            </w:pPr>
            <w:r/>
            <w:r>
              <w:rPr>
                <w:rFonts w:ascii="微软雅黑" w:hAnsi="微软雅黑"/>
                <w:sz w:val="15"/>
              </w:rPr>
              <w:t>500并发请求</w:t>
            </w:r>
          </w:p>
        </w:tc>
        <w:tc>
          <w:tcPr>
            <w:tcW w:type="dxa" w:w="680"/>
          </w:tcPr>
          <w:p>
            <w:pPr>
              <w:jc w:val="center"/>
            </w:pPr>
            <w:r/>
            <w:r>
              <w:rPr>
                <w:rFonts w:ascii="微软雅黑" w:hAnsi="微软雅黑"/>
                <w:sz w:val="15"/>
              </w:rPr>
              <w:t>高</w:t>
            </w:r>
          </w:p>
        </w:tc>
      </w:tr>
      <w:tr>
        <w:tc>
          <w:tcPr>
            <w:tcW w:type="dxa" w:w="1701"/>
            <w:shd w:fill="F0F4FA"/>
          </w:tcPr>
          <w:p>
            <w:pPr>
              <w:jc w:val="center"/>
            </w:pPr>
            <w:r/>
            <w:r>
              <w:rPr>
                <w:rFonts w:ascii="微软雅黑" w:hAnsi="微软雅黑"/>
                <w:sz w:val="15"/>
              </w:rPr>
              <w:t>API响应时间(P95)</w:t>
            </w:r>
          </w:p>
        </w:tc>
        <w:tc>
          <w:tcPr>
            <w:tcW w:type="dxa" w:w="1417"/>
            <w:shd w:fill="F0F4FA"/>
          </w:tcPr>
          <w:p>
            <w:pPr>
              <w:jc w:val="center"/>
            </w:pPr>
            <w:r/>
            <w:r>
              <w:rPr>
                <w:rFonts w:ascii="微软雅黑" w:hAnsi="微软雅黑"/>
                <w:sz w:val="15"/>
              </w:rPr>
              <w:t>&lt;3s（复杂分析）</w:t>
            </w:r>
          </w:p>
        </w:tc>
        <w:tc>
          <w:tcPr>
            <w:tcW w:type="dxa" w:w="1701"/>
            <w:shd w:fill="F0F4FA"/>
          </w:tcPr>
          <w:p>
            <w:pPr>
              <w:jc w:val="center"/>
            </w:pPr>
            <w:r/>
            <w:r>
              <w:rPr>
                <w:rFonts w:ascii="微软雅黑" w:hAnsi="微软雅黑"/>
                <w:sz w:val="15"/>
              </w:rPr>
              <w:t>500并发请求</w:t>
            </w:r>
          </w:p>
        </w:tc>
        <w:tc>
          <w:tcPr>
            <w:tcW w:type="dxa" w:w="680"/>
            <w:shd w:fill="F0F4FA"/>
          </w:tcPr>
          <w:p>
            <w:pPr>
              <w:jc w:val="center"/>
            </w:pPr>
            <w:r/>
            <w:r>
              <w:rPr>
                <w:rFonts w:ascii="微软雅黑" w:hAnsi="微软雅黑"/>
                <w:sz w:val="15"/>
              </w:rPr>
              <w:t>高</w:t>
            </w:r>
          </w:p>
        </w:tc>
      </w:tr>
      <w:tr>
        <w:tc>
          <w:tcPr>
            <w:tcW w:type="dxa" w:w="1701"/>
          </w:tcPr>
          <w:p>
            <w:pPr>
              <w:jc w:val="center"/>
            </w:pPr>
            <w:r/>
            <w:r>
              <w:rPr>
                <w:rFonts w:ascii="微软雅黑" w:hAnsi="微软雅黑"/>
                <w:sz w:val="15"/>
              </w:rPr>
              <w:t>数据上传吞吐量</w:t>
            </w:r>
          </w:p>
        </w:tc>
        <w:tc>
          <w:tcPr>
            <w:tcW w:type="dxa" w:w="1417"/>
          </w:tcPr>
          <w:p>
            <w:pPr>
              <w:jc w:val="center"/>
            </w:pPr>
            <w:r/>
            <w:r>
              <w:rPr>
                <w:rFonts w:ascii="微软雅黑" w:hAnsi="微软雅黑"/>
                <w:sz w:val="15"/>
              </w:rPr>
              <w:t>&gt;100MB/s</w:t>
            </w:r>
          </w:p>
        </w:tc>
        <w:tc>
          <w:tcPr>
            <w:tcW w:type="dxa" w:w="1701"/>
          </w:tcPr>
          <w:p>
            <w:pPr>
              <w:jc w:val="center"/>
            </w:pPr>
            <w:r/>
            <w:r>
              <w:rPr>
                <w:rFonts w:ascii="微软雅黑" w:hAnsi="微软雅黑"/>
                <w:sz w:val="15"/>
              </w:rPr>
              <w:t>单节点，10GB文件</w:t>
            </w:r>
          </w:p>
        </w:tc>
        <w:tc>
          <w:tcPr>
            <w:tcW w:type="dxa" w:w="680"/>
          </w:tcPr>
          <w:p>
            <w:pPr>
              <w:jc w:val="center"/>
            </w:pPr>
            <w:r/>
            <w:r>
              <w:rPr>
                <w:rFonts w:ascii="微软雅黑" w:hAnsi="微软雅黑"/>
                <w:sz w:val="15"/>
              </w:rPr>
              <w:t>中</w:t>
            </w:r>
          </w:p>
        </w:tc>
      </w:tr>
      <w:tr>
        <w:tc>
          <w:tcPr>
            <w:tcW w:type="dxa" w:w="1701"/>
            <w:shd w:fill="F0F4FA"/>
          </w:tcPr>
          <w:p>
            <w:pPr>
              <w:jc w:val="center"/>
            </w:pPr>
            <w:r/>
            <w:r>
              <w:rPr>
                <w:rFonts w:ascii="微软雅黑" w:hAnsi="微软雅黑"/>
                <w:sz w:val="15"/>
              </w:rPr>
              <w:t>联邦学习模型训练</w:t>
            </w:r>
          </w:p>
        </w:tc>
        <w:tc>
          <w:tcPr>
            <w:tcW w:type="dxa" w:w="1417"/>
            <w:shd w:fill="F0F4FA"/>
          </w:tcPr>
          <w:p>
            <w:pPr>
              <w:jc w:val="center"/>
            </w:pPr>
            <w:r/>
            <w:r>
              <w:rPr>
                <w:rFonts w:ascii="微软雅黑" w:hAnsi="微软雅黑"/>
                <w:sz w:val="15"/>
              </w:rPr>
              <w:t>&lt;24h</w:t>
            </w:r>
          </w:p>
        </w:tc>
        <w:tc>
          <w:tcPr>
            <w:tcW w:type="dxa" w:w="1701"/>
            <w:shd w:fill="F0F4FA"/>
          </w:tcPr>
          <w:p>
            <w:pPr>
              <w:jc w:val="center"/>
            </w:pPr>
            <w:r/>
            <w:r>
              <w:rPr>
                <w:rFonts w:ascii="微软雅黑" w:hAnsi="微软雅黑"/>
                <w:sz w:val="15"/>
              </w:rPr>
              <w:t>10方参与，100GB数据</w:t>
            </w:r>
          </w:p>
        </w:tc>
        <w:tc>
          <w:tcPr>
            <w:tcW w:type="dxa" w:w="680"/>
            <w:shd w:fill="F0F4FA"/>
          </w:tcPr>
          <w:p>
            <w:pPr>
              <w:jc w:val="center"/>
            </w:pPr>
            <w:r/>
            <w:r>
              <w:rPr>
                <w:rFonts w:ascii="微软雅黑" w:hAnsi="微软雅黑"/>
                <w:sz w:val="15"/>
              </w:rPr>
              <w:t>中</w:t>
            </w:r>
          </w:p>
        </w:tc>
      </w:tr>
      <w:tr>
        <w:tc>
          <w:tcPr>
            <w:tcW w:type="dxa" w:w="1701"/>
          </w:tcPr>
          <w:p>
            <w:pPr>
              <w:jc w:val="center"/>
            </w:pPr>
            <w:r/>
            <w:r>
              <w:rPr>
                <w:rFonts w:ascii="微软雅黑" w:hAnsi="微软雅黑"/>
                <w:sz w:val="15"/>
              </w:rPr>
              <w:t>区块链TPS</w:t>
            </w:r>
          </w:p>
        </w:tc>
        <w:tc>
          <w:tcPr>
            <w:tcW w:type="dxa" w:w="1417"/>
          </w:tcPr>
          <w:p>
            <w:pPr>
              <w:jc w:val="center"/>
            </w:pPr>
            <w:r/>
            <w:r>
              <w:rPr>
                <w:rFonts w:ascii="微软雅黑" w:hAnsi="微软雅黑"/>
                <w:sz w:val="15"/>
              </w:rPr>
              <w:t>&gt;100 TPS</w:t>
            </w:r>
          </w:p>
        </w:tc>
        <w:tc>
          <w:tcPr>
            <w:tcW w:type="dxa" w:w="1701"/>
          </w:tcPr>
          <w:p>
            <w:pPr>
              <w:jc w:val="center"/>
            </w:pPr>
            <w:r/>
            <w:r>
              <w:rPr>
                <w:rFonts w:ascii="微软雅黑" w:hAnsi="微软雅黑"/>
                <w:sz w:val="15"/>
              </w:rPr>
              <w:t>单链，简单交易</w:t>
            </w:r>
          </w:p>
        </w:tc>
        <w:tc>
          <w:tcPr>
            <w:tcW w:type="dxa" w:w="680"/>
          </w:tcPr>
          <w:p>
            <w:pPr>
              <w:jc w:val="center"/>
            </w:pPr>
            <w:r/>
            <w:r>
              <w:rPr>
                <w:rFonts w:ascii="微软雅黑" w:hAnsi="微软雅黑"/>
                <w:sz w:val="15"/>
              </w:rPr>
              <w:t>中</w:t>
            </w:r>
          </w:p>
        </w:tc>
      </w:tr>
      <w:tr>
        <w:tc>
          <w:tcPr>
            <w:tcW w:type="dxa" w:w="1701"/>
            <w:shd w:fill="F0F4FA"/>
          </w:tcPr>
          <w:p>
            <w:pPr>
              <w:jc w:val="center"/>
            </w:pPr>
            <w:r/>
            <w:r>
              <w:rPr>
                <w:rFonts w:ascii="微软雅黑" w:hAnsi="微软雅黑"/>
                <w:sz w:val="15"/>
              </w:rPr>
              <w:t>系统可用性</w:t>
            </w:r>
          </w:p>
        </w:tc>
        <w:tc>
          <w:tcPr>
            <w:tcW w:type="dxa" w:w="1417"/>
            <w:shd w:fill="F0F4FA"/>
          </w:tcPr>
          <w:p>
            <w:pPr>
              <w:jc w:val="center"/>
            </w:pPr>
            <w:r/>
            <w:r>
              <w:rPr>
                <w:rFonts w:ascii="微软雅黑" w:hAnsi="微软雅黑"/>
                <w:sz w:val="15"/>
              </w:rPr>
              <w:t>&gt;99.9%（年）</w:t>
            </w:r>
          </w:p>
        </w:tc>
        <w:tc>
          <w:tcPr>
            <w:tcW w:type="dxa" w:w="1701"/>
            <w:shd w:fill="F0F4FA"/>
          </w:tcPr>
          <w:p>
            <w:pPr>
              <w:jc w:val="center"/>
            </w:pPr>
            <w:r/>
            <w:r>
              <w:rPr>
                <w:rFonts w:ascii="微软雅黑" w:hAnsi="微软雅黑"/>
                <w:sz w:val="15"/>
              </w:rPr>
              <w:t>全年运行</w:t>
            </w:r>
          </w:p>
        </w:tc>
        <w:tc>
          <w:tcPr>
            <w:tcW w:type="dxa" w:w="680"/>
            <w:shd w:fill="F0F4FA"/>
          </w:tcPr>
          <w:p>
            <w:pPr>
              <w:jc w:val="center"/>
            </w:pPr>
            <w:r/>
            <w:r>
              <w:rPr>
                <w:rFonts w:ascii="微软雅黑" w:hAnsi="微软雅黑"/>
                <w:sz w:val="15"/>
              </w:rPr>
              <w:t>高</w:t>
            </w:r>
          </w:p>
        </w:tc>
      </w:tr>
      <w:tr>
        <w:tc>
          <w:tcPr>
            <w:tcW w:type="dxa" w:w="1701"/>
          </w:tcPr>
          <w:p>
            <w:pPr>
              <w:jc w:val="center"/>
            </w:pPr>
            <w:r/>
            <w:r>
              <w:rPr>
                <w:rFonts w:ascii="微软雅黑" w:hAnsi="微软雅黑"/>
                <w:sz w:val="15"/>
              </w:rPr>
              <w:t>故障恢复时间(RTO)</w:t>
            </w:r>
          </w:p>
        </w:tc>
        <w:tc>
          <w:tcPr>
            <w:tcW w:type="dxa" w:w="1417"/>
          </w:tcPr>
          <w:p>
            <w:pPr>
              <w:jc w:val="center"/>
            </w:pPr>
            <w:r/>
            <w:r>
              <w:rPr>
                <w:rFonts w:ascii="微软雅黑" w:hAnsi="微软雅黑"/>
                <w:sz w:val="15"/>
              </w:rPr>
              <w:t>&lt;30分钟</w:t>
            </w:r>
          </w:p>
        </w:tc>
        <w:tc>
          <w:tcPr>
            <w:tcW w:type="dxa" w:w="1701"/>
          </w:tcPr>
          <w:p>
            <w:pPr>
              <w:jc w:val="center"/>
            </w:pPr>
            <w:r/>
            <w:r>
              <w:rPr>
                <w:rFonts w:ascii="微软雅黑" w:hAnsi="微软雅黑"/>
                <w:sz w:val="15"/>
              </w:rPr>
              <w:t>主节点故障</w:t>
            </w:r>
          </w:p>
        </w:tc>
        <w:tc>
          <w:tcPr>
            <w:tcW w:type="dxa" w:w="680"/>
          </w:tcPr>
          <w:p>
            <w:pPr>
              <w:jc w:val="center"/>
            </w:pPr>
            <w:r/>
            <w:r>
              <w:rPr>
                <w:rFonts w:ascii="微软雅黑" w:hAnsi="微软雅黑"/>
                <w:sz w:val="15"/>
              </w:rPr>
              <w:t>高</w:t>
            </w:r>
          </w:p>
        </w:tc>
      </w:tr>
      <w:tr>
        <w:tc>
          <w:tcPr>
            <w:tcW w:type="dxa" w:w="1701"/>
            <w:shd w:fill="F0F4FA"/>
          </w:tcPr>
          <w:p>
            <w:pPr>
              <w:jc w:val="center"/>
            </w:pPr>
            <w:r/>
            <w:r>
              <w:rPr>
                <w:rFonts w:ascii="微软雅黑" w:hAnsi="微软雅黑"/>
                <w:sz w:val="15"/>
              </w:rPr>
              <w:t>数据恢复点(RPO)</w:t>
            </w:r>
          </w:p>
        </w:tc>
        <w:tc>
          <w:tcPr>
            <w:tcW w:type="dxa" w:w="1417"/>
            <w:shd w:fill="F0F4FA"/>
          </w:tcPr>
          <w:p>
            <w:pPr>
              <w:jc w:val="center"/>
            </w:pPr>
            <w:r/>
            <w:r>
              <w:rPr>
                <w:rFonts w:ascii="微软雅黑" w:hAnsi="微软雅黑"/>
                <w:sz w:val="15"/>
              </w:rPr>
              <w:t>&lt;5分钟</w:t>
            </w:r>
          </w:p>
        </w:tc>
        <w:tc>
          <w:tcPr>
            <w:tcW w:type="dxa" w:w="1701"/>
            <w:shd w:fill="F0F4FA"/>
          </w:tcPr>
          <w:p>
            <w:pPr>
              <w:jc w:val="center"/>
            </w:pPr>
            <w:r/>
            <w:r>
              <w:rPr>
                <w:rFonts w:ascii="微软雅黑" w:hAnsi="微软雅黑"/>
                <w:sz w:val="15"/>
              </w:rPr>
              <w:t>数据库故障</w:t>
            </w:r>
          </w:p>
        </w:tc>
        <w:tc>
          <w:tcPr>
            <w:tcW w:type="dxa" w:w="680"/>
            <w:shd w:fill="F0F4FA"/>
          </w:tcPr>
          <w:p>
            <w:pPr>
              <w:jc w:val="center"/>
            </w:pPr>
            <w:r/>
            <w:r>
              <w:rPr>
                <w:rFonts w:ascii="微软雅黑" w:hAnsi="微软雅黑"/>
                <w:sz w:val="15"/>
              </w:rPr>
              <w:t>高</w:t>
            </w:r>
          </w:p>
        </w:tc>
      </w:tr>
    </w:tbl>
    <w:p/>
    <w:p>
      <w:pPr>
        <w:pStyle w:val="Heading3"/>
      </w:pPr>
      <w:r>
        <w:rPr>
          <w:rFonts w:ascii="微软雅黑" w:hAnsi="微软雅黑" w:eastAsia="微软雅黑"/>
        </w:rPr>
        <w:t>2.2.2  安全需求</w:t>
      </w:r>
    </w:p>
    <w:p>
      <w:pPr>
        <w:spacing w:line="360" w:lineRule="auto" w:after="120"/>
        <w:ind w:firstLine="420"/>
      </w:pPr>
      <w:r>
        <w:rPr>
          <w:rFonts w:ascii="微软雅黑" w:hAnsi="微软雅黑" w:eastAsia="微软雅黑"/>
          <w:b w:val="0"/>
          <w:sz w:val="21"/>
        </w:rPr>
        <w:t>作为涉及国家关键信息基础设施的系统，安全需求等级极高：数据加密——传输中使用TLS 1.3+，存储中使用AES-256-GCM或SM4国密算法，密钥管理符合NIST SP 800-57标准；访问控制——实现RBAC+ABAC，支持最小权限原则，敏感操作需多人审批；审计日志——所有操作完整记录，防篡改存储，保留期不少于180天；安全认证——通过等保三级测评，隐私计算模块通过中国信通院"隐私计算产品安全能力评测"。</w:t>
      </w:r>
    </w:p>
    <w:p>
      <w:pPr>
        <w:pStyle w:val="Heading3"/>
      </w:pPr>
      <w:r>
        <w:rPr>
          <w:rFonts w:ascii="微软雅黑" w:hAnsi="微软雅黑" w:eastAsia="微软雅黑"/>
        </w:rPr>
        <w:t>2.2.3  可扩展性与可维护性需求</w:t>
      </w:r>
    </w:p>
    <w:p>
      <w:pPr>
        <w:spacing w:line="360" w:lineRule="auto" w:after="120"/>
        <w:ind w:firstLine="420"/>
      </w:pPr>
      <w:r>
        <w:rPr>
          <w:rFonts w:ascii="微软雅黑" w:hAnsi="微软雅黑" w:eastAsia="微软雅黑"/>
          <w:b w:val="0"/>
          <w:sz w:val="21"/>
        </w:rPr>
        <w:t>系统应支持水平扩展，各微服务模块可独立扩容。计算密集型模块应支持GPU加速和分布式计算。系统应支持插件化架构，新隐私计算算法可通过插件方式集成。代码覆盖率（单元测试）不低于80%，关键路径达到100%。系统应提供完整的OpenAPI 3.0文档和运维监控面板。</w:t>
      </w:r>
    </w:p>
    <w:p>
      <w:pPr>
        <w:pStyle w:val="Heading3"/>
      </w:pPr>
      <w:r>
        <w:rPr>
          <w:rFonts w:ascii="微软雅黑" w:hAnsi="微软雅黑" w:eastAsia="微软雅黑"/>
        </w:rPr>
        <w:t>2.2.4  合规性需求</w:t>
      </w:r>
    </w:p>
    <w:p>
      <w:pPr>
        <w:spacing w:line="360" w:lineRule="auto" w:after="120"/>
        <w:ind w:firstLine="420"/>
      </w:pPr>
      <w:r>
        <w:rPr>
          <w:rFonts w:ascii="微软雅黑" w:hAnsi="微软雅黑" w:eastAsia="微软雅黑"/>
          <w:b w:val="0"/>
          <w:sz w:val="21"/>
        </w:rPr>
        <w:t>系统设计和实现必须满足以下法律法规要求：</w:t>
      </w:r>
    </w:p>
    <w:p>
      <w:pPr>
        <w:spacing w:line="360" w:lineRule="auto" w:after="120"/>
        <w:jc w:val="center"/>
      </w:pPr>
      <w:r>
        <w:rPr>
          <w:rFonts w:ascii="微软雅黑" w:hAnsi="微软雅黑" w:eastAsia="微软雅黑"/>
          <w:b/>
          <w:sz w:val="18"/>
        </w:rPr>
        <w:t>表2-3  合规性需求汇总</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417"/>
            <w:shd w:fill="1A3C6D"/>
          </w:tcPr>
          <w:p>
            <w:pPr>
              <w:jc w:val="center"/>
            </w:pPr>
            <w:r/>
            <w:r>
              <w:rPr>
                <w:rFonts w:ascii="微软雅黑" w:hAnsi="微软雅黑"/>
                <w:b/>
                <w:color w:val="FFFFFF"/>
                <w:sz w:val="16"/>
              </w:rPr>
              <w:t>法规/标准</w:t>
            </w:r>
          </w:p>
        </w:tc>
        <w:tc>
          <w:tcPr>
            <w:tcW w:type="dxa" w:w="1417"/>
            <w:shd w:fill="1A3C6D"/>
          </w:tcPr>
          <w:p>
            <w:pPr>
              <w:jc w:val="center"/>
            </w:pPr>
            <w:r/>
            <w:r>
              <w:rPr>
                <w:rFonts w:ascii="微软雅黑" w:hAnsi="微软雅黑"/>
                <w:b/>
                <w:color w:val="FFFFFF"/>
                <w:sz w:val="16"/>
              </w:rPr>
              <w:t>适用范围</w:t>
            </w:r>
          </w:p>
        </w:tc>
        <w:tc>
          <w:tcPr>
            <w:tcW w:type="dxa" w:w="1701"/>
            <w:shd w:fill="1A3C6D"/>
          </w:tcPr>
          <w:p>
            <w:pPr>
              <w:jc w:val="center"/>
            </w:pPr>
            <w:r/>
            <w:r>
              <w:rPr>
                <w:rFonts w:ascii="微软雅黑" w:hAnsi="微软雅黑"/>
                <w:b/>
                <w:color w:val="FFFFFF"/>
                <w:sz w:val="16"/>
              </w:rPr>
              <w:t>关键要求</w:t>
            </w:r>
          </w:p>
        </w:tc>
        <w:tc>
          <w:tcPr>
            <w:tcW w:type="dxa" w:w="1984"/>
            <w:shd w:fill="1A3C6D"/>
          </w:tcPr>
          <w:p>
            <w:pPr>
              <w:jc w:val="center"/>
            </w:pPr>
            <w:r/>
            <w:r>
              <w:rPr>
                <w:rFonts w:ascii="微软雅黑" w:hAnsi="微软雅黑"/>
                <w:b/>
                <w:color w:val="FFFFFF"/>
                <w:sz w:val="16"/>
              </w:rPr>
              <w:t>系统实现要点</w:t>
            </w:r>
          </w:p>
        </w:tc>
      </w:tr>
      <w:tr>
        <w:tc>
          <w:tcPr>
            <w:tcW w:type="dxa" w:w="1417"/>
          </w:tcPr>
          <w:p>
            <w:pPr>
              <w:jc w:val="center"/>
            </w:pPr>
            <w:r/>
            <w:r>
              <w:rPr>
                <w:rFonts w:ascii="微软雅黑" w:hAnsi="微软雅黑"/>
                <w:sz w:val="15"/>
              </w:rPr>
              <w:t>数据安全法</w:t>
            </w:r>
          </w:p>
        </w:tc>
        <w:tc>
          <w:tcPr>
            <w:tcW w:type="dxa" w:w="1417"/>
          </w:tcPr>
          <w:p>
            <w:pPr>
              <w:jc w:val="center"/>
            </w:pPr>
            <w:r/>
            <w:r>
              <w:rPr>
                <w:rFonts w:ascii="微软雅黑" w:hAnsi="微软雅黑"/>
                <w:sz w:val="15"/>
              </w:rPr>
              <w:t>中国境内数据处理活动</w:t>
            </w:r>
          </w:p>
        </w:tc>
        <w:tc>
          <w:tcPr>
            <w:tcW w:type="dxa" w:w="1701"/>
          </w:tcPr>
          <w:p>
            <w:pPr>
              <w:jc w:val="center"/>
            </w:pPr>
            <w:r/>
            <w:r>
              <w:rPr>
                <w:rFonts w:ascii="微软雅黑" w:hAnsi="微软雅黑"/>
                <w:sz w:val="15"/>
              </w:rPr>
              <w:t>数据分类分级、安全审查</w:t>
            </w:r>
          </w:p>
        </w:tc>
        <w:tc>
          <w:tcPr>
            <w:tcW w:type="dxa" w:w="1984"/>
          </w:tcPr>
          <w:p>
            <w:pPr>
              <w:jc w:val="center"/>
            </w:pPr>
            <w:r/>
            <w:r>
              <w:rPr>
                <w:rFonts w:ascii="微软雅黑" w:hAnsi="微软雅黑"/>
                <w:sz w:val="15"/>
              </w:rPr>
              <w:t>敏感数据自动识别和分级保护</w:t>
            </w:r>
          </w:p>
        </w:tc>
      </w:tr>
      <w:tr>
        <w:tc>
          <w:tcPr>
            <w:tcW w:type="dxa" w:w="1417"/>
            <w:shd w:fill="F0F4FA"/>
          </w:tcPr>
          <w:p>
            <w:pPr>
              <w:jc w:val="center"/>
            </w:pPr>
            <w:r/>
            <w:r>
              <w:rPr>
                <w:rFonts w:ascii="微软雅黑" w:hAnsi="微软雅黑"/>
                <w:sz w:val="15"/>
              </w:rPr>
              <w:t>个人信息保护法</w:t>
            </w:r>
          </w:p>
        </w:tc>
        <w:tc>
          <w:tcPr>
            <w:tcW w:type="dxa" w:w="1417"/>
            <w:shd w:fill="F0F4FA"/>
          </w:tcPr>
          <w:p>
            <w:pPr>
              <w:jc w:val="center"/>
            </w:pPr>
            <w:r/>
            <w:r>
              <w:rPr>
                <w:rFonts w:ascii="微软雅黑" w:hAnsi="微软雅黑"/>
                <w:sz w:val="15"/>
              </w:rPr>
              <w:t>个人信息处理</w:t>
            </w:r>
          </w:p>
        </w:tc>
        <w:tc>
          <w:tcPr>
            <w:tcW w:type="dxa" w:w="1701"/>
            <w:shd w:fill="F0F4FA"/>
          </w:tcPr>
          <w:p>
            <w:pPr>
              <w:jc w:val="center"/>
            </w:pPr>
            <w:r/>
            <w:r>
              <w:rPr>
                <w:rFonts w:ascii="微软雅黑" w:hAnsi="微软雅黑"/>
                <w:sz w:val="15"/>
              </w:rPr>
              <w:t>告知同意、最小必要、删除权</w:t>
            </w:r>
          </w:p>
        </w:tc>
        <w:tc>
          <w:tcPr>
            <w:tcW w:type="dxa" w:w="1984"/>
            <w:shd w:fill="F0F4FA"/>
          </w:tcPr>
          <w:p>
            <w:pPr>
              <w:jc w:val="center"/>
            </w:pPr>
            <w:r/>
            <w:r>
              <w:rPr>
                <w:rFonts w:ascii="微软雅黑" w:hAnsi="微软雅黑"/>
                <w:sz w:val="15"/>
              </w:rPr>
              <w:t>数据脱敏、隐私计算、同意管理</w:t>
            </w:r>
          </w:p>
        </w:tc>
      </w:tr>
      <w:tr>
        <w:tc>
          <w:tcPr>
            <w:tcW w:type="dxa" w:w="1417"/>
          </w:tcPr>
          <w:p>
            <w:pPr>
              <w:jc w:val="center"/>
            </w:pPr>
            <w:r/>
            <w:r>
              <w:rPr>
                <w:rFonts w:ascii="微软雅黑" w:hAnsi="微软雅黑"/>
                <w:sz w:val="15"/>
              </w:rPr>
              <w:t>网络安全法</w:t>
            </w:r>
          </w:p>
        </w:tc>
        <w:tc>
          <w:tcPr>
            <w:tcW w:type="dxa" w:w="1417"/>
          </w:tcPr>
          <w:p>
            <w:pPr>
              <w:jc w:val="center"/>
            </w:pPr>
            <w:r/>
            <w:r>
              <w:rPr>
                <w:rFonts w:ascii="微软雅黑" w:hAnsi="微软雅黑"/>
                <w:sz w:val="15"/>
              </w:rPr>
              <w:t>网络运营者</w:t>
            </w:r>
          </w:p>
        </w:tc>
        <w:tc>
          <w:tcPr>
            <w:tcW w:type="dxa" w:w="1701"/>
          </w:tcPr>
          <w:p>
            <w:pPr>
              <w:jc w:val="center"/>
            </w:pPr>
            <w:r/>
            <w:r>
              <w:rPr>
                <w:rFonts w:ascii="微软雅黑" w:hAnsi="微软雅黑"/>
                <w:sz w:val="15"/>
              </w:rPr>
              <w:t>等级保护、安全认证、应急响应</w:t>
            </w:r>
          </w:p>
        </w:tc>
        <w:tc>
          <w:tcPr>
            <w:tcW w:type="dxa" w:w="1984"/>
          </w:tcPr>
          <w:p>
            <w:pPr>
              <w:jc w:val="center"/>
            </w:pPr>
            <w:r/>
            <w:r>
              <w:rPr>
                <w:rFonts w:ascii="微软雅黑" w:hAnsi="微软雅黑"/>
                <w:sz w:val="15"/>
              </w:rPr>
              <w:t>通过等保三级测评</w:t>
            </w:r>
          </w:p>
        </w:tc>
      </w:tr>
      <w:tr>
        <w:tc>
          <w:tcPr>
            <w:tcW w:type="dxa" w:w="1417"/>
            <w:shd w:fill="F0F4FA"/>
          </w:tcPr>
          <w:p>
            <w:pPr>
              <w:jc w:val="center"/>
            </w:pPr>
            <w:r/>
            <w:r>
              <w:rPr>
                <w:rFonts w:ascii="微软雅黑" w:hAnsi="微软雅黑"/>
                <w:sz w:val="15"/>
              </w:rPr>
              <w:t>CII安全保护条例</w:t>
            </w:r>
          </w:p>
        </w:tc>
        <w:tc>
          <w:tcPr>
            <w:tcW w:type="dxa" w:w="1417"/>
            <w:shd w:fill="F0F4FA"/>
          </w:tcPr>
          <w:p>
            <w:pPr>
              <w:jc w:val="center"/>
            </w:pPr>
            <w:r/>
            <w:r>
              <w:rPr>
                <w:rFonts w:ascii="微软雅黑" w:hAnsi="微软雅黑"/>
                <w:sz w:val="15"/>
              </w:rPr>
              <w:t>CII运营者</w:t>
            </w:r>
          </w:p>
        </w:tc>
        <w:tc>
          <w:tcPr>
            <w:tcW w:type="dxa" w:w="1701"/>
            <w:shd w:fill="F0F4FA"/>
          </w:tcPr>
          <w:p>
            <w:pPr>
              <w:jc w:val="center"/>
            </w:pPr>
            <w:r/>
            <w:r>
              <w:rPr>
                <w:rFonts w:ascii="微软雅黑" w:hAnsi="微软雅黑"/>
                <w:sz w:val="15"/>
              </w:rPr>
              <w:t>安全检测评估、供应链安全</w:t>
            </w:r>
          </w:p>
        </w:tc>
        <w:tc>
          <w:tcPr>
            <w:tcW w:type="dxa" w:w="1984"/>
            <w:shd w:fill="F0F4FA"/>
          </w:tcPr>
          <w:p>
            <w:pPr>
              <w:jc w:val="center"/>
            </w:pPr>
            <w:r/>
            <w:r>
              <w:rPr>
                <w:rFonts w:ascii="微软雅黑" w:hAnsi="微软雅黑"/>
                <w:sz w:val="15"/>
              </w:rPr>
              <w:t>国产密码、自主可控技术栈</w:t>
            </w:r>
          </w:p>
        </w:tc>
      </w:tr>
      <w:tr>
        <w:tc>
          <w:tcPr>
            <w:tcW w:type="dxa" w:w="1417"/>
          </w:tcPr>
          <w:p>
            <w:pPr>
              <w:jc w:val="center"/>
            </w:pPr>
            <w:r/>
            <w:r>
              <w:rPr>
                <w:rFonts w:ascii="微软雅黑" w:hAnsi="微软雅黑"/>
                <w:sz w:val="15"/>
              </w:rPr>
              <w:t>ISO 27001:2022</w:t>
            </w:r>
          </w:p>
        </w:tc>
        <w:tc>
          <w:tcPr>
            <w:tcW w:type="dxa" w:w="1417"/>
          </w:tcPr>
          <w:p>
            <w:pPr>
              <w:jc w:val="center"/>
            </w:pPr>
            <w:r/>
            <w:r>
              <w:rPr>
                <w:rFonts w:ascii="微软雅黑" w:hAnsi="微软雅黑"/>
                <w:sz w:val="15"/>
              </w:rPr>
              <w:t>信息安全管理体系</w:t>
            </w:r>
          </w:p>
        </w:tc>
        <w:tc>
          <w:tcPr>
            <w:tcW w:type="dxa" w:w="1701"/>
          </w:tcPr>
          <w:p>
            <w:pPr>
              <w:jc w:val="center"/>
            </w:pPr>
            <w:r/>
            <w:r>
              <w:rPr>
                <w:rFonts w:ascii="微软雅黑" w:hAnsi="微软雅黑"/>
                <w:sz w:val="15"/>
              </w:rPr>
              <w:t>ISMS、风险评估、持续改进</w:t>
            </w:r>
          </w:p>
        </w:tc>
        <w:tc>
          <w:tcPr>
            <w:tcW w:type="dxa" w:w="1984"/>
          </w:tcPr>
          <w:p>
            <w:pPr>
              <w:jc w:val="center"/>
            </w:pPr>
            <w:r/>
            <w:r>
              <w:rPr>
                <w:rFonts w:ascii="微软雅黑" w:hAnsi="微软雅黑"/>
                <w:sz w:val="15"/>
              </w:rPr>
              <w:t>建立ISMS并通过认证</w:t>
            </w:r>
          </w:p>
        </w:tc>
      </w:tr>
    </w:tbl>
    <w:p/>
    <w:p>
      <w:pPr>
        <w:pStyle w:val="Heading2"/>
      </w:pPr>
      <w:r>
        <w:rPr>
          <w:rFonts w:ascii="微软雅黑" w:hAnsi="微软雅黑" w:eastAsia="微软雅黑"/>
        </w:rPr>
        <w:t>2.3  系统边界与接口需求</w:t>
      </w:r>
    </w:p>
    <w:p>
      <w:pPr>
        <w:spacing w:line="360" w:lineRule="auto" w:after="120"/>
        <w:ind w:firstLine="420"/>
      </w:pPr>
      <w:r>
        <w:rPr>
          <w:rFonts w:ascii="微软雅黑" w:hAnsi="微软雅黑" w:eastAsia="微软雅黑"/>
          <w:b w:val="0"/>
          <w:sz w:val="21"/>
        </w:rPr>
        <w:t>能源可信数据空间需要与以下外部系统进行数据交互和业务协同：</w:t>
      </w:r>
    </w:p>
    <w:p>
      <w:pPr>
        <w:spacing w:line="360" w:lineRule="auto" w:after="120"/>
        <w:jc w:val="center"/>
      </w:pPr>
      <w:r>
        <w:rPr>
          <w:rFonts w:ascii="微软雅黑" w:hAnsi="微软雅黑" w:eastAsia="微软雅黑"/>
          <w:b/>
          <w:sz w:val="18"/>
        </w:rPr>
        <w:t>表2-4  外部系统接口需求</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417"/>
            <w:shd w:fill="1A3C6D"/>
          </w:tcPr>
          <w:p>
            <w:pPr>
              <w:jc w:val="center"/>
            </w:pPr>
            <w:r/>
            <w:r>
              <w:rPr>
                <w:rFonts w:ascii="微软雅黑" w:hAnsi="微软雅黑"/>
                <w:b/>
                <w:color w:val="FFFFFF"/>
                <w:sz w:val="16"/>
              </w:rPr>
              <w:t>外部系统</w:t>
            </w:r>
          </w:p>
        </w:tc>
        <w:tc>
          <w:tcPr>
            <w:tcW w:type="dxa" w:w="850"/>
            <w:shd w:fill="1A3C6D"/>
          </w:tcPr>
          <w:p>
            <w:pPr>
              <w:jc w:val="center"/>
            </w:pPr>
            <w:r/>
            <w:r>
              <w:rPr>
                <w:rFonts w:ascii="微软雅黑" w:hAnsi="微软雅黑"/>
                <w:b/>
                <w:color w:val="FFFFFF"/>
                <w:sz w:val="16"/>
              </w:rPr>
              <w:t>接口类型</w:t>
            </w:r>
          </w:p>
        </w:tc>
        <w:tc>
          <w:tcPr>
            <w:tcW w:type="dxa" w:w="850"/>
            <w:shd w:fill="1A3C6D"/>
          </w:tcPr>
          <w:p>
            <w:pPr>
              <w:jc w:val="center"/>
            </w:pPr>
            <w:r/>
            <w:r>
              <w:rPr>
                <w:rFonts w:ascii="微软雅黑" w:hAnsi="微软雅黑"/>
                <w:b/>
                <w:color w:val="FFFFFF"/>
                <w:sz w:val="16"/>
              </w:rPr>
              <w:t>数据流向</w:t>
            </w:r>
          </w:p>
        </w:tc>
        <w:tc>
          <w:tcPr>
            <w:tcW w:type="dxa" w:w="1417"/>
            <w:shd w:fill="1A3C6D"/>
          </w:tcPr>
          <w:p>
            <w:pPr>
              <w:jc w:val="center"/>
            </w:pPr>
            <w:r/>
            <w:r>
              <w:rPr>
                <w:rFonts w:ascii="微软雅黑" w:hAnsi="微软雅黑"/>
                <w:b/>
                <w:color w:val="FFFFFF"/>
                <w:sz w:val="16"/>
              </w:rPr>
              <w:t>协议/标准</w:t>
            </w:r>
          </w:p>
        </w:tc>
        <w:tc>
          <w:tcPr>
            <w:tcW w:type="dxa" w:w="850"/>
            <w:shd w:fill="1A3C6D"/>
          </w:tcPr>
          <w:p>
            <w:pPr>
              <w:jc w:val="center"/>
            </w:pPr>
            <w:r/>
            <w:r>
              <w:rPr>
                <w:rFonts w:ascii="微软雅黑" w:hAnsi="微软雅黑"/>
                <w:b/>
                <w:color w:val="FFFFFF"/>
                <w:sz w:val="16"/>
              </w:rPr>
              <w:t>集成优先级</w:t>
            </w:r>
          </w:p>
        </w:tc>
      </w:tr>
      <w:tr>
        <w:tc>
          <w:tcPr>
            <w:tcW w:type="dxa" w:w="1417"/>
          </w:tcPr>
          <w:p>
            <w:pPr>
              <w:jc w:val="center"/>
            </w:pPr>
            <w:r/>
            <w:r>
              <w:rPr>
                <w:rFonts w:ascii="微软雅黑" w:hAnsi="微软雅黑"/>
                <w:sz w:val="15"/>
              </w:rPr>
              <w:t>电网调度自动化系统</w:t>
            </w:r>
          </w:p>
        </w:tc>
        <w:tc>
          <w:tcPr>
            <w:tcW w:type="dxa" w:w="850"/>
          </w:tcPr>
          <w:p>
            <w:pPr>
              <w:jc w:val="center"/>
            </w:pPr>
            <w:r/>
            <w:r>
              <w:rPr>
                <w:rFonts w:ascii="微软雅黑" w:hAnsi="微软雅黑"/>
                <w:sz w:val="15"/>
              </w:rPr>
              <w:t>实时数据</w:t>
            </w:r>
          </w:p>
        </w:tc>
        <w:tc>
          <w:tcPr>
            <w:tcW w:type="dxa" w:w="850"/>
          </w:tcPr>
          <w:p>
            <w:pPr>
              <w:jc w:val="center"/>
            </w:pPr>
            <w:r/>
            <w:r>
              <w:rPr>
                <w:rFonts w:ascii="微软雅黑" w:hAnsi="微软雅黑"/>
                <w:sz w:val="15"/>
              </w:rPr>
              <w:t>单向（读）</w:t>
            </w:r>
          </w:p>
        </w:tc>
        <w:tc>
          <w:tcPr>
            <w:tcW w:type="dxa" w:w="1417"/>
          </w:tcPr>
          <w:p>
            <w:pPr>
              <w:jc w:val="center"/>
            </w:pPr>
            <w:r/>
            <w:r>
              <w:rPr>
                <w:rFonts w:ascii="微软雅黑" w:hAnsi="微软雅黑"/>
                <w:sz w:val="15"/>
              </w:rPr>
              <w:t>IEC 60870-5-104</w:t>
            </w:r>
          </w:p>
        </w:tc>
        <w:tc>
          <w:tcPr>
            <w:tcW w:type="dxa" w:w="850"/>
          </w:tcPr>
          <w:p>
            <w:pPr>
              <w:jc w:val="center"/>
            </w:pPr>
            <w:r/>
            <w:r>
              <w:rPr>
                <w:rFonts w:ascii="微软雅黑" w:hAnsi="微软雅黑"/>
                <w:sz w:val="15"/>
              </w:rPr>
              <w:t>高</w:t>
            </w:r>
          </w:p>
        </w:tc>
      </w:tr>
      <w:tr>
        <w:tc>
          <w:tcPr>
            <w:tcW w:type="dxa" w:w="1417"/>
            <w:shd w:fill="F0F4FA"/>
          </w:tcPr>
          <w:p>
            <w:pPr>
              <w:jc w:val="center"/>
            </w:pPr>
            <w:r/>
            <w:r>
              <w:rPr>
                <w:rFonts w:ascii="微软雅黑" w:hAnsi="微软雅黑"/>
                <w:sz w:val="15"/>
              </w:rPr>
              <w:t>用电信息采集系统</w:t>
            </w:r>
          </w:p>
        </w:tc>
        <w:tc>
          <w:tcPr>
            <w:tcW w:type="dxa" w:w="850"/>
            <w:shd w:fill="F0F4FA"/>
          </w:tcPr>
          <w:p>
            <w:pPr>
              <w:jc w:val="center"/>
            </w:pPr>
            <w:r/>
            <w:r>
              <w:rPr>
                <w:rFonts w:ascii="微软雅黑" w:hAnsi="微软雅黑"/>
                <w:sz w:val="15"/>
              </w:rPr>
              <w:t>批量/实时</w:t>
            </w:r>
          </w:p>
        </w:tc>
        <w:tc>
          <w:tcPr>
            <w:tcW w:type="dxa" w:w="850"/>
            <w:shd w:fill="F0F4FA"/>
          </w:tcPr>
          <w:p>
            <w:pPr>
              <w:jc w:val="center"/>
            </w:pPr>
            <w:r/>
            <w:r>
              <w:rPr>
                <w:rFonts w:ascii="微软雅黑" w:hAnsi="微软雅黑"/>
                <w:sz w:val="15"/>
              </w:rPr>
              <w:t>单向（读）</w:t>
            </w:r>
          </w:p>
        </w:tc>
        <w:tc>
          <w:tcPr>
            <w:tcW w:type="dxa" w:w="1417"/>
            <w:shd w:fill="F0F4FA"/>
          </w:tcPr>
          <w:p>
            <w:pPr>
              <w:jc w:val="center"/>
            </w:pPr>
            <w:r/>
            <w:r>
              <w:rPr>
                <w:rFonts w:ascii="微软雅黑" w:hAnsi="微软雅黑"/>
                <w:sz w:val="15"/>
              </w:rPr>
              <w:t>IEC 61968 CIM</w:t>
            </w:r>
          </w:p>
        </w:tc>
        <w:tc>
          <w:tcPr>
            <w:tcW w:type="dxa" w:w="850"/>
            <w:shd w:fill="F0F4FA"/>
          </w:tcPr>
          <w:p>
            <w:pPr>
              <w:jc w:val="center"/>
            </w:pPr>
            <w:r/>
            <w:r>
              <w:rPr>
                <w:rFonts w:ascii="微软雅黑" w:hAnsi="微软雅黑"/>
                <w:sz w:val="15"/>
              </w:rPr>
              <w:t>高</w:t>
            </w:r>
          </w:p>
        </w:tc>
      </w:tr>
      <w:tr>
        <w:tc>
          <w:tcPr>
            <w:tcW w:type="dxa" w:w="1417"/>
          </w:tcPr>
          <w:p>
            <w:pPr>
              <w:jc w:val="center"/>
            </w:pPr>
            <w:r/>
            <w:r>
              <w:rPr>
                <w:rFonts w:ascii="微软雅黑" w:hAnsi="微软雅黑"/>
                <w:sz w:val="15"/>
              </w:rPr>
              <w:t>电力交易中心系统</w:t>
            </w:r>
          </w:p>
        </w:tc>
        <w:tc>
          <w:tcPr>
            <w:tcW w:type="dxa" w:w="850"/>
          </w:tcPr>
          <w:p>
            <w:pPr>
              <w:jc w:val="center"/>
            </w:pPr>
            <w:r/>
            <w:r>
              <w:rPr>
                <w:rFonts w:ascii="微软雅黑" w:hAnsi="微软雅黑"/>
                <w:sz w:val="15"/>
              </w:rPr>
              <w:t>批量同步</w:t>
            </w:r>
          </w:p>
        </w:tc>
        <w:tc>
          <w:tcPr>
            <w:tcW w:type="dxa" w:w="850"/>
          </w:tcPr>
          <w:p>
            <w:pPr>
              <w:jc w:val="center"/>
            </w:pPr>
            <w:r/>
            <w:r>
              <w:rPr>
                <w:rFonts w:ascii="微软雅黑" w:hAnsi="微软雅黑"/>
                <w:sz w:val="15"/>
              </w:rPr>
              <w:t>双向</w:t>
            </w:r>
          </w:p>
        </w:tc>
        <w:tc>
          <w:tcPr>
            <w:tcW w:type="dxa" w:w="1417"/>
          </w:tcPr>
          <w:p>
            <w:pPr>
              <w:jc w:val="center"/>
            </w:pPr>
            <w:r/>
            <w:r>
              <w:rPr>
                <w:rFonts w:ascii="微软雅黑" w:hAnsi="微软雅黑"/>
                <w:sz w:val="15"/>
              </w:rPr>
              <w:t>REST API/文件交换</w:t>
            </w:r>
          </w:p>
        </w:tc>
        <w:tc>
          <w:tcPr>
            <w:tcW w:type="dxa" w:w="850"/>
          </w:tcPr>
          <w:p>
            <w:pPr>
              <w:jc w:val="center"/>
            </w:pPr>
            <w:r/>
            <w:r>
              <w:rPr>
                <w:rFonts w:ascii="微软雅黑" w:hAnsi="微软雅黑"/>
                <w:sz w:val="15"/>
              </w:rPr>
              <w:t>高</w:t>
            </w:r>
          </w:p>
        </w:tc>
      </w:tr>
      <w:tr>
        <w:tc>
          <w:tcPr>
            <w:tcW w:type="dxa" w:w="1417"/>
            <w:shd w:fill="F0F4FA"/>
          </w:tcPr>
          <w:p>
            <w:pPr>
              <w:jc w:val="center"/>
            </w:pPr>
            <w:r/>
            <w:r>
              <w:rPr>
                <w:rFonts w:ascii="微软雅黑" w:hAnsi="微软雅黑"/>
                <w:sz w:val="15"/>
              </w:rPr>
              <w:t>企业ERP系统</w:t>
            </w:r>
          </w:p>
        </w:tc>
        <w:tc>
          <w:tcPr>
            <w:tcW w:type="dxa" w:w="850"/>
            <w:shd w:fill="F0F4FA"/>
          </w:tcPr>
          <w:p>
            <w:pPr>
              <w:jc w:val="center"/>
            </w:pPr>
            <w:r/>
            <w:r>
              <w:rPr>
                <w:rFonts w:ascii="微软雅黑" w:hAnsi="微软雅黑"/>
                <w:sz w:val="15"/>
              </w:rPr>
              <w:t>批量同步</w:t>
            </w:r>
          </w:p>
        </w:tc>
        <w:tc>
          <w:tcPr>
            <w:tcW w:type="dxa" w:w="850"/>
            <w:shd w:fill="F0F4FA"/>
          </w:tcPr>
          <w:p>
            <w:pPr>
              <w:jc w:val="center"/>
            </w:pPr>
            <w:r/>
            <w:r>
              <w:rPr>
                <w:rFonts w:ascii="微软雅黑" w:hAnsi="微软雅黑"/>
                <w:sz w:val="15"/>
              </w:rPr>
              <w:t>双向</w:t>
            </w:r>
          </w:p>
        </w:tc>
        <w:tc>
          <w:tcPr>
            <w:tcW w:type="dxa" w:w="1417"/>
            <w:shd w:fill="F0F4FA"/>
          </w:tcPr>
          <w:p>
            <w:pPr>
              <w:jc w:val="center"/>
            </w:pPr>
            <w:r/>
            <w:r>
              <w:rPr>
                <w:rFonts w:ascii="微软雅黑" w:hAnsi="微软雅黑"/>
                <w:sz w:val="15"/>
              </w:rPr>
              <w:t>REST API/SAP RFC</w:t>
            </w:r>
          </w:p>
        </w:tc>
        <w:tc>
          <w:tcPr>
            <w:tcW w:type="dxa" w:w="850"/>
            <w:shd w:fill="F0F4FA"/>
          </w:tcPr>
          <w:p>
            <w:pPr>
              <w:jc w:val="center"/>
            </w:pPr>
            <w:r/>
            <w:r>
              <w:rPr>
                <w:rFonts w:ascii="微软雅黑" w:hAnsi="微软雅黑"/>
                <w:sz w:val="15"/>
              </w:rPr>
              <w:t>中</w:t>
            </w:r>
          </w:p>
        </w:tc>
      </w:tr>
      <w:tr>
        <w:tc>
          <w:tcPr>
            <w:tcW w:type="dxa" w:w="1417"/>
          </w:tcPr>
          <w:p>
            <w:pPr>
              <w:jc w:val="center"/>
            </w:pPr>
            <w:r/>
            <w:r>
              <w:rPr>
                <w:rFonts w:ascii="微软雅黑" w:hAnsi="微软雅黑"/>
                <w:sz w:val="15"/>
              </w:rPr>
              <w:t>设备状态监测系统</w:t>
            </w:r>
          </w:p>
        </w:tc>
        <w:tc>
          <w:tcPr>
            <w:tcW w:type="dxa" w:w="850"/>
          </w:tcPr>
          <w:p>
            <w:pPr>
              <w:jc w:val="center"/>
            </w:pPr>
            <w:r/>
            <w:r>
              <w:rPr>
                <w:rFonts w:ascii="微软雅黑" w:hAnsi="微软雅黑"/>
                <w:sz w:val="15"/>
              </w:rPr>
              <w:t>实时流式</w:t>
            </w:r>
          </w:p>
        </w:tc>
        <w:tc>
          <w:tcPr>
            <w:tcW w:type="dxa" w:w="850"/>
          </w:tcPr>
          <w:p>
            <w:pPr>
              <w:jc w:val="center"/>
            </w:pPr>
            <w:r/>
            <w:r>
              <w:rPr>
                <w:rFonts w:ascii="微软雅黑" w:hAnsi="微软雅黑"/>
                <w:sz w:val="15"/>
              </w:rPr>
              <w:t>单向（读）</w:t>
            </w:r>
          </w:p>
        </w:tc>
        <w:tc>
          <w:tcPr>
            <w:tcW w:type="dxa" w:w="1417"/>
          </w:tcPr>
          <w:p>
            <w:pPr>
              <w:jc w:val="center"/>
            </w:pPr>
            <w:r/>
            <w:r>
              <w:rPr>
                <w:rFonts w:ascii="微软雅黑" w:hAnsi="微软雅黑"/>
                <w:sz w:val="15"/>
              </w:rPr>
              <w:t>MQTT/Kafka</w:t>
            </w:r>
          </w:p>
        </w:tc>
        <w:tc>
          <w:tcPr>
            <w:tcW w:type="dxa" w:w="850"/>
          </w:tcPr>
          <w:p>
            <w:pPr>
              <w:jc w:val="center"/>
            </w:pPr>
            <w:r/>
            <w:r>
              <w:rPr>
                <w:rFonts w:ascii="微软雅黑" w:hAnsi="微软雅黑"/>
                <w:sz w:val="15"/>
              </w:rPr>
              <w:t>中</w:t>
            </w:r>
          </w:p>
        </w:tc>
      </w:tr>
      <w:tr>
        <w:tc>
          <w:tcPr>
            <w:tcW w:type="dxa" w:w="1417"/>
            <w:shd w:fill="F0F4FA"/>
          </w:tcPr>
          <w:p>
            <w:pPr>
              <w:jc w:val="center"/>
            </w:pPr>
            <w:r/>
            <w:r>
              <w:rPr>
                <w:rFonts w:ascii="微软雅黑" w:hAnsi="微软雅黑"/>
                <w:sz w:val="15"/>
              </w:rPr>
              <w:t>统一身份认证平台</w:t>
            </w:r>
          </w:p>
        </w:tc>
        <w:tc>
          <w:tcPr>
            <w:tcW w:type="dxa" w:w="850"/>
            <w:shd w:fill="F0F4FA"/>
          </w:tcPr>
          <w:p>
            <w:pPr>
              <w:jc w:val="center"/>
            </w:pPr>
            <w:r/>
            <w:r>
              <w:rPr>
                <w:rFonts w:ascii="微软雅黑" w:hAnsi="微软雅黑"/>
                <w:sz w:val="15"/>
              </w:rPr>
              <w:t>实时同步</w:t>
            </w:r>
          </w:p>
        </w:tc>
        <w:tc>
          <w:tcPr>
            <w:tcW w:type="dxa" w:w="850"/>
            <w:shd w:fill="F0F4FA"/>
          </w:tcPr>
          <w:p>
            <w:pPr>
              <w:jc w:val="center"/>
            </w:pPr>
            <w:r/>
            <w:r>
              <w:rPr>
                <w:rFonts w:ascii="微软雅黑" w:hAnsi="微软雅黑"/>
                <w:sz w:val="15"/>
              </w:rPr>
              <w:t>双向</w:t>
            </w:r>
          </w:p>
        </w:tc>
        <w:tc>
          <w:tcPr>
            <w:tcW w:type="dxa" w:w="1417"/>
            <w:shd w:fill="F0F4FA"/>
          </w:tcPr>
          <w:p>
            <w:pPr>
              <w:jc w:val="center"/>
            </w:pPr>
            <w:r/>
            <w:r>
              <w:rPr>
                <w:rFonts w:ascii="微软雅黑" w:hAnsi="微软雅黑"/>
                <w:sz w:val="15"/>
              </w:rPr>
              <w:t>OIDC/SAML 2.0/OAuth 2.0</w:t>
            </w:r>
          </w:p>
        </w:tc>
        <w:tc>
          <w:tcPr>
            <w:tcW w:type="dxa" w:w="850"/>
            <w:shd w:fill="F0F4FA"/>
          </w:tcPr>
          <w:p>
            <w:pPr>
              <w:jc w:val="center"/>
            </w:pPr>
            <w:r/>
            <w:r>
              <w:rPr>
                <w:rFonts w:ascii="微软雅黑" w:hAnsi="微软雅黑"/>
                <w:sz w:val="15"/>
              </w:rPr>
              <w:t>高</w:t>
            </w:r>
          </w:p>
        </w:tc>
      </w:tr>
      <w:tr>
        <w:tc>
          <w:tcPr>
            <w:tcW w:type="dxa" w:w="1417"/>
          </w:tcPr>
          <w:p>
            <w:pPr>
              <w:jc w:val="center"/>
            </w:pPr>
            <w:r/>
            <w:r>
              <w:rPr>
                <w:rFonts w:ascii="微软雅黑" w:hAnsi="微软雅黑"/>
                <w:sz w:val="15"/>
              </w:rPr>
              <w:t>区块链网络节点</w:t>
            </w:r>
          </w:p>
        </w:tc>
        <w:tc>
          <w:tcPr>
            <w:tcW w:type="dxa" w:w="850"/>
          </w:tcPr>
          <w:p>
            <w:pPr>
              <w:jc w:val="center"/>
            </w:pPr>
            <w:r/>
            <w:r>
              <w:rPr>
                <w:rFonts w:ascii="微软雅黑" w:hAnsi="微软雅黑"/>
                <w:sz w:val="15"/>
              </w:rPr>
              <w:t>实时</w:t>
            </w:r>
          </w:p>
        </w:tc>
        <w:tc>
          <w:tcPr>
            <w:tcW w:type="dxa" w:w="850"/>
          </w:tcPr>
          <w:p>
            <w:pPr>
              <w:jc w:val="center"/>
            </w:pPr>
            <w:r/>
            <w:r>
              <w:rPr>
                <w:rFonts w:ascii="微软雅黑" w:hAnsi="微软雅黑"/>
                <w:sz w:val="15"/>
              </w:rPr>
              <w:t>双向</w:t>
            </w:r>
          </w:p>
        </w:tc>
        <w:tc>
          <w:tcPr>
            <w:tcW w:type="dxa" w:w="1417"/>
          </w:tcPr>
          <w:p>
            <w:pPr>
              <w:jc w:val="center"/>
            </w:pPr>
            <w:r/>
            <w:r>
              <w:rPr>
                <w:rFonts w:ascii="微软雅黑" w:hAnsi="微软雅黑"/>
                <w:sz w:val="15"/>
              </w:rPr>
              <w:t>JSON-RPC/WebSocket</w:t>
            </w:r>
          </w:p>
        </w:tc>
        <w:tc>
          <w:tcPr>
            <w:tcW w:type="dxa" w:w="850"/>
          </w:tcPr>
          <w:p>
            <w:pPr>
              <w:jc w:val="center"/>
            </w:pPr>
            <w:r/>
            <w:r>
              <w:rPr>
                <w:rFonts w:ascii="微软雅黑" w:hAnsi="微软雅黑"/>
                <w:sz w:val="15"/>
              </w:rPr>
              <w:t>高</w:t>
            </w:r>
          </w:p>
        </w:tc>
      </w:tr>
    </w:tbl>
    <w:p/>
    <w:p>
      <w:r>
        <w:br w:type="page"/>
      </w:r>
    </w:p>
    <w:p>
      <w:pPr>
        <w:pStyle w:val="Heading1"/>
      </w:pPr>
      <w:r>
        <w:rPr>
          <w:rFonts w:ascii="微软雅黑" w:hAnsi="微软雅黑" w:eastAsia="微软雅黑"/>
        </w:rPr>
        <w:t>第三章  总体架构设计</w:t>
      </w:r>
    </w:p>
    <w:p>
      <w:pPr>
        <w:pStyle w:val="Heading2"/>
      </w:pPr>
      <w:r>
        <w:rPr>
          <w:rFonts w:ascii="微软雅黑" w:hAnsi="微软雅黑" w:eastAsia="微软雅黑"/>
        </w:rPr>
        <w:t>3.1  设计原则与指导思想</w:t>
      </w:r>
    </w:p>
    <w:p>
      <w:pPr>
        <w:spacing w:line="360" w:lineRule="auto" w:after="120"/>
        <w:ind w:firstLine="420"/>
      </w:pPr>
      <w:r>
        <w:rPr>
          <w:rFonts w:ascii="微软雅黑" w:hAnsi="微软雅黑" w:eastAsia="微软雅黑"/>
          <w:b w:val="0"/>
          <w:sz w:val="21"/>
        </w:rPr>
        <w:t>能源可信数据空间的架构设计遵循以下核心原则：</w:t>
      </w:r>
    </w:p>
    <w:p>
      <w:pPr>
        <w:pStyle w:val="ListBullet"/>
      </w:pPr>
      <w:r>
        <w:rPr>
          <w:rFonts w:ascii="微软雅黑" w:hAnsi="微软雅黑" w:eastAsia="微软雅黑"/>
          <w:sz w:val="20"/>
        </w:rPr>
        <w:t>数据主权原则（Data Sovereignty）：数据提供方始终保持对其数据的完全控制权，数据使用方仅在授权范围内使用数据。这是IDSA参考架构的核心思想，也是本项目架构设计的首要原则。</w:t>
      </w:r>
    </w:p>
    <w:p>
      <w:pPr>
        <w:pStyle w:val="ListBullet"/>
      </w:pPr>
      <w:r>
        <w:rPr>
          <w:rFonts w:ascii="微软雅黑" w:hAnsi="微软雅黑" w:eastAsia="微软雅黑"/>
          <w:sz w:val="20"/>
        </w:rPr>
        <w:t>安全合规原则（Security &amp; Compliance）：严格遵守数据安全法、个人信息保护法、关键信息基础设施安全保护条例等法律法规，架构设计内嵌安全控制和合规审查机制。</w:t>
      </w:r>
    </w:p>
    <w:p>
      <w:pPr>
        <w:pStyle w:val="ListBullet"/>
      </w:pPr>
      <w:r>
        <w:rPr>
          <w:rFonts w:ascii="微软雅黑" w:hAnsi="微软雅黑" w:eastAsia="微软雅黑"/>
          <w:sz w:val="20"/>
        </w:rPr>
        <w:t>开放互操作原则（Openness &amp; Interoperability）：采用W3C DID/VC、OAuth 2.0/OIDC、IDS-RAM等国际开放标准，确保与外部系统和其他数据空间的互操作性。</w:t>
      </w:r>
    </w:p>
    <w:p>
      <w:pPr>
        <w:pStyle w:val="ListBullet"/>
      </w:pPr>
      <w:r>
        <w:rPr>
          <w:rFonts w:ascii="微软雅黑" w:hAnsi="微软雅黑" w:eastAsia="微软雅黑"/>
          <w:sz w:val="20"/>
        </w:rPr>
        <w:t>技术中立原则（Technology Neutrality）：不锁定特定厂商或技术路线，隐私计算支持FL/TEE/MPC/HE多种技术路线，区块链支持多种底层链平台。</w:t>
      </w:r>
    </w:p>
    <w:p>
      <w:pPr>
        <w:pStyle w:val="ListBullet"/>
      </w:pPr>
      <w:r>
        <w:rPr>
          <w:rFonts w:ascii="微软雅黑" w:hAnsi="微软雅黑" w:eastAsia="微软雅黑"/>
          <w:sz w:val="20"/>
        </w:rPr>
        <w:t>模块化与可演进原则（Modularity &amp; Evolvability）：采用微服务架构，各功能模块松耦合、独立部署、独立演进。支持插件化扩展，新功能通过插件方式集成。</w:t>
      </w:r>
    </w:p>
    <w:p>
      <w:pPr>
        <w:pStyle w:val="ListBullet"/>
      </w:pPr>
      <w:r>
        <w:rPr>
          <w:rFonts w:ascii="微软雅黑" w:hAnsi="微软雅黑" w:eastAsia="微软雅黑"/>
          <w:sz w:val="20"/>
        </w:rPr>
        <w:t>性能与成本平衡原则（Performance-Cost Balance）：根据应用场景的安全需求等级，灵活选择适当的技术方案，避免过度保护导致性能浪费。</w:t>
      </w:r>
    </w:p>
    <w:p>
      <w:pPr>
        <w:pStyle w:val="Heading2"/>
      </w:pPr>
      <w:r>
        <w:rPr>
          <w:rFonts w:ascii="微软雅黑" w:hAnsi="微软雅黑" w:eastAsia="微软雅黑"/>
        </w:rPr>
        <w:t>3.2  "一门户五中心"总体架构</w:t>
      </w:r>
    </w:p>
    <w:p>
      <w:pPr>
        <w:spacing w:line="360" w:lineRule="auto" w:after="120"/>
        <w:ind w:firstLine="420"/>
      </w:pPr>
      <w:r>
        <w:rPr>
          <w:rFonts w:ascii="微软雅黑" w:hAnsi="微软雅黑" w:eastAsia="微软雅黑"/>
          <w:b w:val="0"/>
          <w:sz w:val="21"/>
        </w:rPr>
        <w:t>能源可信数据空间采用"一门户五中心"的总体架构设计，其中"一门户"指统一访问门户（Unified Portal），"五中心"包括可信共享中心、存证登记中心、数据授权中心、监管中心和运营分析中心。这一架构设计既符合IDSA参考架构的分层模型，又充分考虑了能源行业的业务特点和合规要求。</w:t>
      </w:r>
    </w:p>
    <w:p>
      <w:pPr>
        <w:spacing w:line="360" w:lineRule="auto" w:after="120"/>
        <w:ind w:firstLine="420"/>
      </w:pPr>
      <w:r>
        <w:rPr>
          <w:rFonts w:ascii="微软雅黑" w:hAnsi="微软雅黑" w:eastAsia="微软雅黑"/>
          <w:b w:val="0"/>
          <w:sz w:val="21"/>
        </w:rPr>
        <w:t>（1）统一访问门户。作为系统唯一入口，提供Web管理控制台和AI Agent智能助手两种交互方式。管理控制台包含数据资产管理、计算任务管理、区块链查询、安全策略配置、运营分析仪表盘等功能模块。AI Agent支持自然语言交互，实现智能数据查询和辅助决策。门户采用React 18 + MUI 5技术栈，前后端分离架构。</w:t>
      </w:r>
    </w:p>
    <w:p>
      <w:pPr>
        <w:spacing w:line="360" w:lineRule="auto" w:after="120"/>
        <w:ind w:firstLine="420"/>
      </w:pPr>
      <w:r>
        <w:rPr>
          <w:rFonts w:ascii="微软雅黑" w:hAnsi="微软雅黑" w:eastAsia="微软雅黑"/>
          <w:b w:val="0"/>
          <w:sz w:val="21"/>
        </w:rPr>
        <w:t>（2）可信共享中心。核心数据流通引擎，负责数据发布、数据发现、数据订阅、数据传输的全流程管理。内置数据连接器（Connector），支持多种传输协议和安全通道。实现数据使用控制策略（Usage Control Policy）的定义、分发和执行。集成隐私计算服务，为联邦学习、MPC、TEE计算提供任务调度和资源管理。</w:t>
      </w:r>
    </w:p>
    <w:p>
      <w:pPr>
        <w:spacing w:line="360" w:lineRule="auto" w:after="120"/>
        <w:ind w:firstLine="420"/>
      </w:pPr>
      <w:r>
        <w:rPr>
          <w:rFonts w:ascii="微软雅黑" w:hAnsi="微软雅黑" w:eastAsia="微软雅黑"/>
          <w:b w:val="0"/>
          <w:sz w:val="21"/>
        </w:rPr>
        <w:t>（3）存证登记中心。基于区块链的数据存证和登记服务，所有数据资产的操作记录（注册、发布、授权、访问、销毁）均在区块链上存证，确保不可篡改和可追溯。支持智能合约实现数据交易自动化。支持数据资产NFT铸造，赋予数据资产唯一数字身份。</w:t>
      </w:r>
    </w:p>
    <w:p>
      <w:pPr>
        <w:spacing w:line="360" w:lineRule="auto" w:after="120"/>
        <w:ind w:firstLine="420"/>
      </w:pPr>
      <w:r>
        <w:rPr>
          <w:rFonts w:ascii="微软雅黑" w:hAnsi="微软雅黑" w:eastAsia="微软雅黑"/>
          <w:b w:val="0"/>
          <w:sz w:val="21"/>
        </w:rPr>
        <w:t>（4）数据授权中心。管理数据使用授权和访问控制策略。实现基于DID的分布式身份管理，支持W3C VC标准可验证凭证。提供RBAC/ABAC/PBAC多模式授权，支持审批工作流引擎。集成MFA多因素认证和SSO单点登录。</w:t>
      </w:r>
    </w:p>
    <w:p>
      <w:pPr>
        <w:spacing w:line="360" w:lineRule="auto" w:after="120"/>
        <w:ind w:firstLine="420"/>
      </w:pPr>
      <w:r>
        <w:rPr>
          <w:rFonts w:ascii="微软雅黑" w:hAnsi="微软雅黑" w:eastAsia="微软雅黑"/>
          <w:b w:val="0"/>
          <w:sz w:val="21"/>
        </w:rPr>
        <w:t>（5）监管中心。提供数据流通全过程的监管和审计能力。实时监控数据访问行为，生成合规报告。支持数据泄露事件的溯源分析。维护数据安全策略库和风险评估模型。</w:t>
      </w:r>
    </w:p>
    <w:p>
      <w:pPr>
        <w:spacing w:line="360" w:lineRule="auto" w:after="120"/>
        <w:ind w:firstLine="420"/>
      </w:pPr>
      <w:r>
        <w:rPr>
          <w:rFonts w:ascii="微软雅黑" w:hAnsi="微软雅黑" w:eastAsia="微软雅黑"/>
          <w:b w:val="0"/>
          <w:sz w:val="21"/>
        </w:rPr>
        <w:t>（6）运营分析中心。提供系统运营数据分析和管理功能。包含KPI仪表盘、SLA监控、资源使用统计、服务质量分析等模块。支持自定义报表和可视化图表。</w:t>
      </w:r>
    </w:p>
    <w:p>
      <w:pPr>
        <w:pStyle w:val="Heading2"/>
      </w:pPr>
      <w:r>
        <w:rPr>
          <w:rFonts w:ascii="微软雅黑" w:hAnsi="微软雅黑" w:eastAsia="微软雅黑"/>
        </w:rPr>
        <w:t>3.3  技术栈选型与评审</w:t>
      </w:r>
    </w:p>
    <w:p>
      <w:pPr>
        <w:spacing w:line="360" w:lineRule="auto" w:after="120"/>
        <w:ind w:firstLine="420"/>
      </w:pPr>
      <w:r>
        <w:rPr>
          <w:rFonts w:ascii="微软雅黑" w:hAnsi="微软雅黑" w:eastAsia="微软雅黑"/>
          <w:b w:val="0"/>
          <w:sz w:val="21"/>
        </w:rPr>
        <w:t>技术栈选型遵循"成熟稳定、自主可控、开源优先"的原则，兼顾开发效率和长期维护性。</w:t>
      </w:r>
    </w:p>
    <w:p>
      <w:pPr>
        <w:spacing w:line="360" w:lineRule="auto" w:after="120"/>
        <w:jc w:val="center"/>
      </w:pPr>
      <w:r>
        <w:rPr>
          <w:rFonts w:ascii="微软雅黑" w:hAnsi="微软雅黑" w:eastAsia="微软雅黑"/>
          <w:b/>
          <w:sz w:val="18"/>
        </w:rPr>
        <w:t>表3-1  核心技术栈选型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134"/>
            <w:shd w:fill="1A3C6D"/>
          </w:tcPr>
          <w:p>
            <w:pPr>
              <w:jc w:val="center"/>
            </w:pPr>
            <w:r/>
            <w:r>
              <w:rPr>
                <w:rFonts w:ascii="微软雅黑" w:hAnsi="微软雅黑"/>
                <w:b/>
                <w:color w:val="FFFFFF"/>
                <w:sz w:val="16"/>
              </w:rPr>
              <w:t>技术层次</w:t>
            </w:r>
          </w:p>
        </w:tc>
        <w:tc>
          <w:tcPr>
            <w:tcW w:type="dxa" w:w="1417"/>
            <w:shd w:fill="1A3C6D"/>
          </w:tcPr>
          <w:p>
            <w:pPr>
              <w:jc w:val="center"/>
            </w:pPr>
            <w:r/>
            <w:r>
              <w:rPr>
                <w:rFonts w:ascii="微软雅黑" w:hAnsi="微软雅黑"/>
                <w:b/>
                <w:color w:val="FFFFFF"/>
                <w:sz w:val="16"/>
              </w:rPr>
              <w:t>技术选型</w:t>
            </w:r>
          </w:p>
        </w:tc>
        <w:tc>
          <w:tcPr>
            <w:tcW w:type="dxa" w:w="567"/>
            <w:shd w:fill="1A3C6D"/>
          </w:tcPr>
          <w:p>
            <w:pPr>
              <w:jc w:val="center"/>
            </w:pPr>
            <w:r/>
            <w:r>
              <w:rPr>
                <w:rFonts w:ascii="微软雅黑" w:hAnsi="微软雅黑"/>
                <w:b/>
                <w:color w:val="FFFFFF"/>
                <w:sz w:val="16"/>
              </w:rPr>
              <w:t>版本</w:t>
            </w:r>
          </w:p>
        </w:tc>
        <w:tc>
          <w:tcPr>
            <w:tcW w:type="dxa" w:w="3118"/>
            <w:shd w:fill="1A3C6D"/>
          </w:tcPr>
          <w:p>
            <w:pPr>
              <w:jc w:val="center"/>
            </w:pPr>
            <w:r/>
            <w:r>
              <w:rPr>
                <w:rFonts w:ascii="微软雅黑" w:hAnsi="微软雅黑"/>
                <w:b/>
                <w:color w:val="FFFFFF"/>
                <w:sz w:val="16"/>
              </w:rPr>
              <w:t>选型理由</w:t>
            </w:r>
          </w:p>
        </w:tc>
      </w:tr>
      <w:tr>
        <w:tc>
          <w:tcPr>
            <w:tcW w:type="dxa" w:w="1134"/>
          </w:tcPr>
          <w:p>
            <w:pPr>
              <w:jc w:val="center"/>
            </w:pPr>
            <w:r/>
            <w:r>
              <w:rPr>
                <w:rFonts w:ascii="微软雅黑" w:hAnsi="微软雅黑"/>
                <w:sz w:val="15"/>
              </w:rPr>
              <w:t>后端框架</w:t>
            </w:r>
          </w:p>
        </w:tc>
        <w:tc>
          <w:tcPr>
            <w:tcW w:type="dxa" w:w="1417"/>
          </w:tcPr>
          <w:p>
            <w:pPr>
              <w:jc w:val="center"/>
            </w:pPr>
            <w:r/>
            <w:r>
              <w:rPr>
                <w:rFonts w:ascii="微软雅黑" w:hAnsi="微软雅黑"/>
                <w:sz w:val="15"/>
              </w:rPr>
              <w:t>FastAPI</w:t>
            </w:r>
          </w:p>
        </w:tc>
        <w:tc>
          <w:tcPr>
            <w:tcW w:type="dxa" w:w="567"/>
          </w:tcPr>
          <w:p>
            <w:pPr>
              <w:jc w:val="center"/>
            </w:pPr>
            <w:r/>
            <w:r>
              <w:rPr>
                <w:rFonts w:ascii="微软雅黑" w:hAnsi="微软雅黑"/>
                <w:sz w:val="15"/>
              </w:rPr>
              <w:t>0.115+</w:t>
            </w:r>
          </w:p>
        </w:tc>
        <w:tc>
          <w:tcPr>
            <w:tcW w:type="dxa" w:w="3118"/>
          </w:tcPr>
          <w:p>
            <w:pPr>
              <w:jc w:val="center"/>
            </w:pPr>
            <w:r/>
            <w:r>
              <w:rPr>
                <w:rFonts w:ascii="微软雅黑" w:hAnsi="微软雅黑"/>
                <w:sz w:val="15"/>
              </w:rPr>
              <w:t>高性能异步框架，原生OpenAPI支持，Python生态丰富</w:t>
            </w:r>
          </w:p>
        </w:tc>
      </w:tr>
      <w:tr>
        <w:tc>
          <w:tcPr>
            <w:tcW w:type="dxa" w:w="1134"/>
            <w:shd w:fill="F0F4FA"/>
          </w:tcPr>
          <w:p>
            <w:pPr>
              <w:jc w:val="center"/>
            </w:pPr>
            <w:r/>
            <w:r>
              <w:rPr>
                <w:rFonts w:ascii="微软雅黑" w:hAnsi="微软雅黑"/>
                <w:sz w:val="15"/>
              </w:rPr>
              <w:t>前端框架</w:t>
            </w:r>
          </w:p>
        </w:tc>
        <w:tc>
          <w:tcPr>
            <w:tcW w:type="dxa" w:w="1417"/>
            <w:shd w:fill="F0F4FA"/>
          </w:tcPr>
          <w:p>
            <w:pPr>
              <w:jc w:val="center"/>
            </w:pPr>
            <w:r/>
            <w:r>
              <w:rPr>
                <w:rFonts w:ascii="微软雅黑" w:hAnsi="微软雅黑"/>
                <w:sz w:val="15"/>
              </w:rPr>
              <w:t>React</w:t>
            </w:r>
          </w:p>
        </w:tc>
        <w:tc>
          <w:tcPr>
            <w:tcW w:type="dxa" w:w="567"/>
            <w:shd w:fill="F0F4FA"/>
          </w:tcPr>
          <w:p>
            <w:pPr>
              <w:jc w:val="center"/>
            </w:pPr>
            <w:r/>
            <w:r>
              <w:rPr>
                <w:rFonts w:ascii="微软雅黑" w:hAnsi="微软雅黑"/>
                <w:sz w:val="15"/>
              </w:rPr>
              <w:t>18.x</w:t>
            </w:r>
          </w:p>
        </w:tc>
        <w:tc>
          <w:tcPr>
            <w:tcW w:type="dxa" w:w="3118"/>
            <w:shd w:fill="F0F4FA"/>
          </w:tcPr>
          <w:p>
            <w:pPr>
              <w:jc w:val="center"/>
            </w:pPr>
            <w:r/>
            <w:r>
              <w:rPr>
                <w:rFonts w:ascii="微软雅黑" w:hAnsi="微软雅黑"/>
                <w:sz w:val="15"/>
              </w:rPr>
              <w:t>生态成熟，TypeScript支持完善，MUI组件库丰富</w:t>
            </w:r>
          </w:p>
        </w:tc>
      </w:tr>
      <w:tr>
        <w:tc>
          <w:tcPr>
            <w:tcW w:type="dxa" w:w="1134"/>
          </w:tcPr>
          <w:p>
            <w:pPr>
              <w:jc w:val="center"/>
            </w:pPr>
            <w:r/>
            <w:r>
              <w:rPr>
                <w:rFonts w:ascii="微软雅黑" w:hAnsi="微软雅黑"/>
                <w:sz w:val="15"/>
              </w:rPr>
              <w:t>UI组件库</w:t>
            </w:r>
          </w:p>
        </w:tc>
        <w:tc>
          <w:tcPr>
            <w:tcW w:type="dxa" w:w="1417"/>
          </w:tcPr>
          <w:p>
            <w:pPr>
              <w:jc w:val="center"/>
            </w:pPr>
            <w:r/>
            <w:r>
              <w:rPr>
                <w:rFonts w:ascii="微软雅黑" w:hAnsi="微软雅黑"/>
                <w:sz w:val="15"/>
              </w:rPr>
              <w:t>MUI</w:t>
            </w:r>
          </w:p>
        </w:tc>
        <w:tc>
          <w:tcPr>
            <w:tcW w:type="dxa" w:w="567"/>
          </w:tcPr>
          <w:p>
            <w:pPr>
              <w:jc w:val="center"/>
            </w:pPr>
            <w:r/>
            <w:r>
              <w:rPr>
                <w:rFonts w:ascii="微软雅黑" w:hAnsi="微软雅黑"/>
                <w:sz w:val="15"/>
              </w:rPr>
              <w:t>5.x</w:t>
            </w:r>
          </w:p>
        </w:tc>
        <w:tc>
          <w:tcPr>
            <w:tcW w:type="dxa" w:w="3118"/>
          </w:tcPr>
          <w:p>
            <w:pPr>
              <w:jc w:val="center"/>
            </w:pPr>
            <w:r/>
            <w:r>
              <w:rPr>
                <w:rFonts w:ascii="微软雅黑" w:hAnsi="微软雅黑"/>
                <w:sz w:val="15"/>
              </w:rPr>
              <w:t>Material Design规范，企业级组件，主题定制灵活</w:t>
            </w:r>
          </w:p>
        </w:tc>
      </w:tr>
      <w:tr>
        <w:tc>
          <w:tcPr>
            <w:tcW w:type="dxa" w:w="1134"/>
            <w:shd w:fill="F0F4FA"/>
          </w:tcPr>
          <w:p>
            <w:pPr>
              <w:jc w:val="center"/>
            </w:pPr>
            <w:r/>
            <w:r>
              <w:rPr>
                <w:rFonts w:ascii="微软雅黑" w:hAnsi="微软雅黑"/>
                <w:sz w:val="15"/>
              </w:rPr>
              <w:t>数据库</w:t>
            </w:r>
          </w:p>
        </w:tc>
        <w:tc>
          <w:tcPr>
            <w:tcW w:type="dxa" w:w="1417"/>
            <w:shd w:fill="F0F4FA"/>
          </w:tcPr>
          <w:p>
            <w:pPr>
              <w:jc w:val="center"/>
            </w:pPr>
            <w:r/>
            <w:r>
              <w:rPr>
                <w:rFonts w:ascii="微软雅黑" w:hAnsi="微软雅黑"/>
                <w:sz w:val="15"/>
              </w:rPr>
              <w:t>PostgreSQL</w:t>
            </w:r>
          </w:p>
        </w:tc>
        <w:tc>
          <w:tcPr>
            <w:tcW w:type="dxa" w:w="567"/>
            <w:shd w:fill="F0F4FA"/>
          </w:tcPr>
          <w:p>
            <w:pPr>
              <w:jc w:val="center"/>
            </w:pPr>
            <w:r/>
            <w:r>
              <w:rPr>
                <w:rFonts w:ascii="微软雅黑" w:hAnsi="微软雅黑"/>
                <w:sz w:val="15"/>
              </w:rPr>
              <w:t>16.x</w:t>
            </w:r>
          </w:p>
        </w:tc>
        <w:tc>
          <w:tcPr>
            <w:tcW w:type="dxa" w:w="3118"/>
            <w:shd w:fill="F0F4FA"/>
          </w:tcPr>
          <w:p>
            <w:pPr>
              <w:jc w:val="center"/>
            </w:pPr>
            <w:r/>
            <w:r>
              <w:rPr>
                <w:rFonts w:ascii="微软雅黑" w:hAnsi="微软雅黑"/>
                <w:sz w:val="15"/>
              </w:rPr>
              <w:t>开源关系型数据库，JSONB支持，异步驱动性能优异</w:t>
            </w:r>
          </w:p>
        </w:tc>
      </w:tr>
      <w:tr>
        <w:tc>
          <w:tcPr>
            <w:tcW w:type="dxa" w:w="1134"/>
          </w:tcPr>
          <w:p>
            <w:pPr>
              <w:jc w:val="center"/>
            </w:pPr>
            <w:r/>
            <w:r>
              <w:rPr>
                <w:rFonts w:ascii="微软雅黑" w:hAnsi="微软雅黑"/>
                <w:sz w:val="15"/>
              </w:rPr>
              <w:t>ORM</w:t>
            </w:r>
          </w:p>
        </w:tc>
        <w:tc>
          <w:tcPr>
            <w:tcW w:type="dxa" w:w="1417"/>
          </w:tcPr>
          <w:p>
            <w:pPr>
              <w:jc w:val="center"/>
            </w:pPr>
            <w:r/>
            <w:r>
              <w:rPr>
                <w:rFonts w:ascii="微软雅黑" w:hAnsi="微软雅黑"/>
                <w:sz w:val="15"/>
              </w:rPr>
              <w:t>SQLAlchemy</w:t>
            </w:r>
          </w:p>
        </w:tc>
        <w:tc>
          <w:tcPr>
            <w:tcW w:type="dxa" w:w="567"/>
          </w:tcPr>
          <w:p>
            <w:pPr>
              <w:jc w:val="center"/>
            </w:pPr>
            <w:r/>
            <w:r>
              <w:rPr>
                <w:rFonts w:ascii="微软雅黑" w:hAnsi="微软雅黑"/>
                <w:sz w:val="15"/>
              </w:rPr>
              <w:t>2.0</w:t>
            </w:r>
          </w:p>
        </w:tc>
        <w:tc>
          <w:tcPr>
            <w:tcW w:type="dxa" w:w="3118"/>
          </w:tcPr>
          <w:p>
            <w:pPr>
              <w:jc w:val="center"/>
            </w:pPr>
            <w:r/>
            <w:r>
              <w:rPr>
                <w:rFonts w:ascii="微软雅黑" w:hAnsi="微软雅黑"/>
                <w:sz w:val="15"/>
              </w:rPr>
              <w:t>异步支持(asyncio)，声明式映射，生态最成熟</w:t>
            </w:r>
          </w:p>
        </w:tc>
      </w:tr>
      <w:tr>
        <w:tc>
          <w:tcPr>
            <w:tcW w:type="dxa" w:w="1134"/>
            <w:shd w:fill="F0F4FA"/>
          </w:tcPr>
          <w:p>
            <w:pPr>
              <w:jc w:val="center"/>
            </w:pPr>
            <w:r/>
            <w:r>
              <w:rPr>
                <w:rFonts w:ascii="微软雅黑" w:hAnsi="微软雅黑"/>
                <w:sz w:val="15"/>
              </w:rPr>
              <w:t>缓存</w:t>
            </w:r>
          </w:p>
        </w:tc>
        <w:tc>
          <w:tcPr>
            <w:tcW w:type="dxa" w:w="1417"/>
            <w:shd w:fill="F0F4FA"/>
          </w:tcPr>
          <w:p>
            <w:pPr>
              <w:jc w:val="center"/>
            </w:pPr>
            <w:r/>
            <w:r>
              <w:rPr>
                <w:rFonts w:ascii="微软雅黑" w:hAnsi="微软雅黑"/>
                <w:sz w:val="15"/>
              </w:rPr>
              <w:t>Redis</w:t>
            </w:r>
          </w:p>
        </w:tc>
        <w:tc>
          <w:tcPr>
            <w:tcW w:type="dxa" w:w="567"/>
            <w:shd w:fill="F0F4FA"/>
          </w:tcPr>
          <w:p>
            <w:pPr>
              <w:jc w:val="center"/>
            </w:pPr>
            <w:r/>
            <w:r>
              <w:rPr>
                <w:rFonts w:ascii="微软雅黑" w:hAnsi="微软雅黑"/>
                <w:sz w:val="15"/>
              </w:rPr>
              <w:t>7.x</w:t>
            </w:r>
          </w:p>
        </w:tc>
        <w:tc>
          <w:tcPr>
            <w:tcW w:type="dxa" w:w="3118"/>
            <w:shd w:fill="F0F4FA"/>
          </w:tcPr>
          <w:p>
            <w:pPr>
              <w:jc w:val="center"/>
            </w:pPr>
            <w:r/>
            <w:r>
              <w:rPr>
                <w:rFonts w:ascii="微软雅黑" w:hAnsi="微软雅黑"/>
                <w:sz w:val="15"/>
              </w:rPr>
              <w:t>高性能缓存，支持Pub/Sub、Stream，TOTP MFA依赖</w:t>
            </w:r>
          </w:p>
        </w:tc>
      </w:tr>
      <w:tr>
        <w:tc>
          <w:tcPr>
            <w:tcW w:type="dxa" w:w="1134"/>
          </w:tcPr>
          <w:p>
            <w:pPr>
              <w:jc w:val="center"/>
            </w:pPr>
            <w:r/>
            <w:r>
              <w:rPr>
                <w:rFonts w:ascii="微软雅黑" w:hAnsi="微软雅黑"/>
                <w:sz w:val="15"/>
              </w:rPr>
              <w:t>消息队列</w:t>
            </w:r>
          </w:p>
        </w:tc>
        <w:tc>
          <w:tcPr>
            <w:tcW w:type="dxa" w:w="1417"/>
          </w:tcPr>
          <w:p>
            <w:pPr>
              <w:jc w:val="center"/>
            </w:pPr>
            <w:r/>
            <w:r>
              <w:rPr>
                <w:rFonts w:ascii="微软雅黑" w:hAnsi="微软雅黑"/>
                <w:sz w:val="15"/>
              </w:rPr>
              <w:t>Kafka</w:t>
            </w:r>
          </w:p>
        </w:tc>
        <w:tc>
          <w:tcPr>
            <w:tcW w:type="dxa" w:w="567"/>
          </w:tcPr>
          <w:p>
            <w:pPr>
              <w:jc w:val="center"/>
            </w:pPr>
            <w:r/>
            <w:r>
              <w:rPr>
                <w:rFonts w:ascii="微软雅黑" w:hAnsi="微软雅黑"/>
                <w:sz w:val="15"/>
              </w:rPr>
              <w:t>3.x</w:t>
            </w:r>
          </w:p>
        </w:tc>
        <w:tc>
          <w:tcPr>
            <w:tcW w:type="dxa" w:w="3118"/>
          </w:tcPr>
          <w:p>
            <w:pPr>
              <w:jc w:val="center"/>
            </w:pPr>
            <w:r/>
            <w:r>
              <w:rPr>
                <w:rFonts w:ascii="微软雅黑" w:hAnsi="微软雅黑"/>
                <w:sz w:val="15"/>
              </w:rPr>
              <w:t>高吞吐量，持久化，支持流处理</w:t>
            </w:r>
          </w:p>
        </w:tc>
      </w:tr>
      <w:tr>
        <w:tc>
          <w:tcPr>
            <w:tcW w:type="dxa" w:w="1134"/>
            <w:shd w:fill="F0F4FA"/>
          </w:tcPr>
          <w:p>
            <w:pPr>
              <w:jc w:val="center"/>
            </w:pPr>
            <w:r/>
            <w:r>
              <w:rPr>
                <w:rFonts w:ascii="微软雅黑" w:hAnsi="微软雅黑"/>
                <w:sz w:val="15"/>
              </w:rPr>
              <w:t>对象存储</w:t>
            </w:r>
          </w:p>
        </w:tc>
        <w:tc>
          <w:tcPr>
            <w:tcW w:type="dxa" w:w="1417"/>
            <w:shd w:fill="F0F4FA"/>
          </w:tcPr>
          <w:p>
            <w:pPr>
              <w:jc w:val="center"/>
            </w:pPr>
            <w:r/>
            <w:r>
              <w:rPr>
                <w:rFonts w:ascii="微软雅黑" w:hAnsi="微软雅黑"/>
                <w:sz w:val="15"/>
              </w:rPr>
              <w:t>MinIO</w:t>
            </w:r>
          </w:p>
        </w:tc>
        <w:tc>
          <w:tcPr>
            <w:tcW w:type="dxa" w:w="567"/>
            <w:shd w:fill="F0F4FA"/>
          </w:tcPr>
          <w:p>
            <w:pPr>
              <w:jc w:val="center"/>
            </w:pPr>
            <w:r/>
            <w:r>
              <w:rPr>
                <w:rFonts w:ascii="微软雅黑" w:hAnsi="微软雅黑"/>
                <w:sz w:val="15"/>
              </w:rPr>
              <w:t>最新</w:t>
            </w:r>
          </w:p>
        </w:tc>
        <w:tc>
          <w:tcPr>
            <w:tcW w:type="dxa" w:w="3118"/>
            <w:shd w:fill="F0F4FA"/>
          </w:tcPr>
          <w:p>
            <w:pPr>
              <w:jc w:val="center"/>
            </w:pPr>
            <w:r/>
            <w:r>
              <w:rPr>
                <w:rFonts w:ascii="微软雅黑" w:hAnsi="微软雅黑"/>
                <w:sz w:val="15"/>
              </w:rPr>
              <w:t>S3兼容，开源，私有化部署</w:t>
            </w:r>
          </w:p>
        </w:tc>
      </w:tr>
      <w:tr>
        <w:tc>
          <w:tcPr>
            <w:tcW w:type="dxa" w:w="1134"/>
          </w:tcPr>
          <w:p>
            <w:pPr>
              <w:jc w:val="center"/>
            </w:pPr>
            <w:r/>
            <w:r>
              <w:rPr>
                <w:rFonts w:ascii="微软雅黑" w:hAnsi="微软雅黑"/>
                <w:sz w:val="15"/>
              </w:rPr>
              <w:t>AI/LLM</w:t>
            </w:r>
          </w:p>
        </w:tc>
        <w:tc>
          <w:tcPr>
            <w:tcW w:type="dxa" w:w="1417"/>
          </w:tcPr>
          <w:p>
            <w:pPr>
              <w:jc w:val="center"/>
            </w:pPr>
            <w:r/>
            <w:r>
              <w:rPr>
                <w:rFonts w:ascii="微软雅黑" w:hAnsi="微软雅黑"/>
                <w:sz w:val="15"/>
              </w:rPr>
              <w:t>DeepSeek</w:t>
            </w:r>
          </w:p>
        </w:tc>
        <w:tc>
          <w:tcPr>
            <w:tcW w:type="dxa" w:w="567"/>
          </w:tcPr>
          <w:p>
            <w:pPr>
              <w:jc w:val="center"/>
            </w:pPr>
            <w:r/>
            <w:r>
              <w:rPr>
                <w:rFonts w:ascii="微软雅黑" w:hAnsi="微软雅黑"/>
                <w:sz w:val="15"/>
              </w:rPr>
              <w:t>API v3</w:t>
            </w:r>
          </w:p>
        </w:tc>
        <w:tc>
          <w:tcPr>
            <w:tcW w:type="dxa" w:w="3118"/>
          </w:tcPr>
          <w:p>
            <w:pPr>
              <w:jc w:val="center"/>
            </w:pPr>
            <w:r/>
            <w:r>
              <w:rPr>
                <w:rFonts w:ascii="微软雅黑" w:hAnsi="微软雅黑"/>
                <w:sz w:val="15"/>
              </w:rPr>
              <w:t>高性能大语言模型，中文支持优秀，性价比高</w:t>
            </w:r>
          </w:p>
        </w:tc>
      </w:tr>
      <w:tr>
        <w:tc>
          <w:tcPr>
            <w:tcW w:type="dxa" w:w="1134"/>
            <w:shd w:fill="F0F4FA"/>
          </w:tcPr>
          <w:p>
            <w:pPr>
              <w:jc w:val="center"/>
            </w:pPr>
            <w:r/>
            <w:r>
              <w:rPr>
                <w:rFonts w:ascii="微软雅黑" w:hAnsi="微软雅黑"/>
                <w:sz w:val="15"/>
              </w:rPr>
              <w:t>联邦学习</w:t>
            </w:r>
          </w:p>
        </w:tc>
        <w:tc>
          <w:tcPr>
            <w:tcW w:type="dxa" w:w="1417"/>
            <w:shd w:fill="F0F4FA"/>
          </w:tcPr>
          <w:p>
            <w:pPr>
              <w:jc w:val="center"/>
            </w:pPr>
            <w:r/>
            <w:r>
              <w:rPr>
                <w:rFonts w:ascii="微软雅黑" w:hAnsi="微软雅黑"/>
                <w:sz w:val="15"/>
              </w:rPr>
              <w:t>FATE</w:t>
            </w:r>
          </w:p>
        </w:tc>
        <w:tc>
          <w:tcPr>
            <w:tcW w:type="dxa" w:w="567"/>
            <w:shd w:fill="F0F4FA"/>
          </w:tcPr>
          <w:p>
            <w:pPr>
              <w:jc w:val="center"/>
            </w:pPr>
            <w:r/>
            <w:r>
              <w:rPr>
                <w:rFonts w:ascii="微软雅黑" w:hAnsi="微软雅黑"/>
                <w:sz w:val="15"/>
              </w:rPr>
              <w:t>v2.x</w:t>
            </w:r>
          </w:p>
        </w:tc>
        <w:tc>
          <w:tcPr>
            <w:tcW w:type="dxa" w:w="3118"/>
            <w:shd w:fill="F0F4FA"/>
          </w:tcPr>
          <w:p>
            <w:pPr>
              <w:jc w:val="center"/>
            </w:pPr>
            <w:r/>
            <w:r>
              <w:rPr>
                <w:rFonts w:ascii="微软雅黑" w:hAnsi="微软雅黑"/>
                <w:sz w:val="15"/>
              </w:rPr>
              <w:t>开源联邦学习框架，工业级，纵向/横向联邦支持</w:t>
            </w:r>
          </w:p>
        </w:tc>
      </w:tr>
      <w:tr>
        <w:tc>
          <w:tcPr>
            <w:tcW w:type="dxa" w:w="1134"/>
          </w:tcPr>
          <w:p>
            <w:pPr>
              <w:jc w:val="center"/>
            </w:pPr>
            <w:r/>
            <w:r>
              <w:rPr>
                <w:rFonts w:ascii="微软雅黑" w:hAnsi="微软雅黑"/>
                <w:sz w:val="15"/>
              </w:rPr>
              <w:t>区块链</w:t>
            </w:r>
          </w:p>
        </w:tc>
        <w:tc>
          <w:tcPr>
            <w:tcW w:type="dxa" w:w="1417"/>
          </w:tcPr>
          <w:p>
            <w:pPr>
              <w:jc w:val="center"/>
            </w:pPr>
            <w:r/>
            <w:r>
              <w:rPr>
                <w:rFonts w:ascii="微软雅黑" w:hAnsi="微软雅黑"/>
                <w:sz w:val="15"/>
              </w:rPr>
              <w:t>以太坊/联盟链</w:t>
            </w:r>
          </w:p>
        </w:tc>
        <w:tc>
          <w:tcPr>
            <w:tcW w:type="dxa" w:w="567"/>
          </w:tcPr>
          <w:p>
            <w:pPr>
              <w:jc w:val="center"/>
            </w:pPr>
            <w:r/>
            <w:r>
              <w:rPr>
                <w:rFonts w:ascii="微软雅黑" w:hAnsi="微软雅黑"/>
                <w:sz w:val="15"/>
              </w:rPr>
              <w:t>-</w:t>
            </w:r>
          </w:p>
        </w:tc>
        <w:tc>
          <w:tcPr>
            <w:tcW w:type="dxa" w:w="3118"/>
          </w:tcPr>
          <w:p>
            <w:pPr>
              <w:jc w:val="center"/>
            </w:pPr>
            <w:r/>
            <w:r>
              <w:rPr>
                <w:rFonts w:ascii="微软雅黑" w:hAnsi="微软雅黑"/>
                <w:sz w:val="15"/>
              </w:rPr>
              <w:t>Solidity智能合约，支持私有链部署</w:t>
            </w:r>
          </w:p>
        </w:tc>
      </w:tr>
      <w:tr>
        <w:tc>
          <w:tcPr>
            <w:tcW w:type="dxa" w:w="1134"/>
            <w:shd w:fill="F0F4FA"/>
          </w:tcPr>
          <w:p>
            <w:pPr>
              <w:jc w:val="center"/>
            </w:pPr>
            <w:r/>
            <w:r>
              <w:rPr>
                <w:rFonts w:ascii="微软雅黑" w:hAnsi="微软雅黑"/>
                <w:sz w:val="15"/>
              </w:rPr>
              <w:t>容器化</w:t>
            </w:r>
          </w:p>
        </w:tc>
        <w:tc>
          <w:tcPr>
            <w:tcW w:type="dxa" w:w="1417"/>
            <w:shd w:fill="F0F4FA"/>
          </w:tcPr>
          <w:p>
            <w:pPr>
              <w:jc w:val="center"/>
            </w:pPr>
            <w:r/>
            <w:r>
              <w:rPr>
                <w:rFonts w:ascii="微软雅黑" w:hAnsi="微软雅黑"/>
                <w:sz w:val="15"/>
              </w:rPr>
              <w:t>Docker</w:t>
            </w:r>
          </w:p>
        </w:tc>
        <w:tc>
          <w:tcPr>
            <w:tcW w:type="dxa" w:w="567"/>
            <w:shd w:fill="F0F4FA"/>
          </w:tcPr>
          <w:p>
            <w:pPr>
              <w:jc w:val="center"/>
            </w:pPr>
            <w:r/>
            <w:r>
              <w:rPr>
                <w:rFonts w:ascii="微软雅黑" w:hAnsi="微软雅黑"/>
                <w:sz w:val="15"/>
              </w:rPr>
              <w:t>26.x</w:t>
            </w:r>
          </w:p>
        </w:tc>
        <w:tc>
          <w:tcPr>
            <w:tcW w:type="dxa" w:w="3118"/>
            <w:shd w:fill="F0F4FA"/>
          </w:tcPr>
          <w:p>
            <w:pPr>
              <w:jc w:val="center"/>
            </w:pPr>
            <w:r/>
            <w:r>
              <w:rPr>
                <w:rFonts w:ascii="微软雅黑" w:hAnsi="微软雅黑"/>
                <w:sz w:val="15"/>
              </w:rPr>
              <w:t>标准化部署，环境一致性</w:t>
            </w:r>
          </w:p>
        </w:tc>
      </w:tr>
      <w:tr>
        <w:tc>
          <w:tcPr>
            <w:tcW w:type="dxa" w:w="1134"/>
          </w:tcPr>
          <w:p>
            <w:pPr>
              <w:jc w:val="center"/>
            </w:pPr>
            <w:r/>
            <w:r>
              <w:rPr>
                <w:rFonts w:ascii="微软雅黑" w:hAnsi="微软雅黑"/>
                <w:sz w:val="15"/>
              </w:rPr>
              <w:t>编排</w:t>
            </w:r>
          </w:p>
        </w:tc>
        <w:tc>
          <w:tcPr>
            <w:tcW w:type="dxa" w:w="1417"/>
          </w:tcPr>
          <w:p>
            <w:pPr>
              <w:jc w:val="center"/>
            </w:pPr>
            <w:r/>
            <w:r>
              <w:rPr>
                <w:rFonts w:ascii="微软雅黑" w:hAnsi="微软雅黑"/>
                <w:sz w:val="15"/>
              </w:rPr>
              <w:t>Docker Compose</w:t>
            </w:r>
          </w:p>
        </w:tc>
        <w:tc>
          <w:tcPr>
            <w:tcW w:type="dxa" w:w="567"/>
          </w:tcPr>
          <w:p>
            <w:pPr>
              <w:jc w:val="center"/>
            </w:pPr>
            <w:r/>
            <w:r>
              <w:rPr>
                <w:rFonts w:ascii="微软雅黑" w:hAnsi="微软雅黑"/>
                <w:sz w:val="15"/>
              </w:rPr>
              <w:t>v2</w:t>
            </w:r>
          </w:p>
        </w:tc>
        <w:tc>
          <w:tcPr>
            <w:tcW w:type="dxa" w:w="3118"/>
          </w:tcPr>
          <w:p>
            <w:pPr>
              <w:jc w:val="center"/>
            </w:pPr>
            <w:r/>
            <w:r>
              <w:rPr>
                <w:rFonts w:ascii="微软雅黑" w:hAnsi="微软雅黑"/>
                <w:sz w:val="15"/>
              </w:rPr>
              <w:t>单机多容器编排，适合中小规模部署</w:t>
            </w:r>
          </w:p>
        </w:tc>
      </w:tr>
    </w:tbl>
    <w:p/>
    <w:p>
      <w:pPr>
        <w:pStyle w:val="Heading2"/>
      </w:pPr>
      <w:r>
        <w:rPr>
          <w:rFonts w:ascii="微软雅黑" w:hAnsi="微软雅黑" w:eastAsia="微软雅黑"/>
        </w:rPr>
        <w:t>3.4  微服务架构设计</w:t>
      </w:r>
    </w:p>
    <w:p>
      <w:pPr>
        <w:spacing w:line="360" w:lineRule="auto" w:after="120"/>
        <w:ind w:firstLine="420"/>
      </w:pPr>
      <w:r>
        <w:rPr>
          <w:rFonts w:ascii="微软雅黑" w:hAnsi="微软雅黑" w:eastAsia="微软雅黑"/>
          <w:b w:val="0"/>
          <w:sz w:val="21"/>
        </w:rPr>
        <w:t>能源可信数据空间采用微服务架构，将系统拆分为多个独立服务模块，每个模块具有独立的数据库访问层、业务逻辑层和API接口层。各服务通过REST API和消息队列进行通信。</w:t>
      </w:r>
    </w:p>
    <w:p>
      <w:pPr>
        <w:spacing w:line="360" w:lineRule="auto" w:after="120"/>
        <w:ind w:firstLine="420"/>
      </w:pPr>
      <w:r>
        <w:rPr>
          <w:rFonts w:ascii="微软雅黑" w:hAnsi="微软雅黑" w:eastAsia="微软雅黑"/>
          <w:b w:val="0"/>
          <w:sz w:val="21"/>
        </w:rPr>
        <w:t>后端服务模块按照业务域划分为：数据资产管理服务（data_asset）、数据共享服务（data_sharing）、隐私计算服务（privacy_compute）、区块链服务（blockchain）、用户与组织管理服务（user_org）、认证授权服务（auth）、AI Agent服务（agent）、通知服务（notification）、监控与告警服务（monitor）、门户服务（portal）、合规审计服务（compliance）、运营分析服务（ops）等12个核心服务模块。</w:t>
      </w:r>
    </w:p>
    <w:p>
      <w:pPr>
        <w:spacing w:line="360" w:lineRule="auto" w:after="120"/>
        <w:ind w:firstLine="420"/>
      </w:pPr>
      <w:r>
        <w:rPr>
          <w:rFonts w:ascii="微软雅黑" w:hAnsi="微软雅黑" w:eastAsia="微软雅黑"/>
          <w:b w:val="0"/>
          <w:sz w:val="21"/>
        </w:rPr>
        <w:t>每个服务模块遵循统一的分层架构：Router层（API端点定义）→ Service层（业务逻辑实现）→ Repository/Model层（数据访问）。服务间通过依赖注入（FastAPI Depends）方式共享数据库会话和认证服务。API响应采用统一的Response模型（code、message、data三字段格式），保证接口一致性。</w:t>
      </w:r>
    </w:p>
    <w:p>
      <w:pPr>
        <w:pStyle w:val="Heading2"/>
      </w:pPr>
      <w:r>
        <w:rPr>
          <w:rFonts w:ascii="微软雅黑" w:hAnsi="微软雅黑" w:eastAsia="微软雅黑"/>
        </w:rPr>
        <w:t>3.5  数据流与接口设计</w:t>
      </w:r>
    </w:p>
    <w:p>
      <w:pPr>
        <w:spacing w:line="360" w:lineRule="auto" w:after="120"/>
        <w:ind w:firstLine="420"/>
      </w:pPr>
      <w:r>
        <w:rPr>
          <w:rFonts w:ascii="微软雅黑" w:hAnsi="微软雅黑" w:eastAsia="微软雅黑"/>
          <w:b w:val="0"/>
          <w:sz w:val="21"/>
        </w:rPr>
        <w:t>系统的核心数据流包括：</w:t>
      </w:r>
    </w:p>
    <w:p>
      <w:pPr>
        <w:pStyle w:val="ListBullet"/>
      </w:pPr>
      <w:r>
        <w:rPr>
          <w:rFonts w:ascii="微软雅黑" w:hAnsi="微软雅黑" w:eastAsia="微软雅黑"/>
          <w:sz w:val="20"/>
        </w:rPr>
        <w:t>数据发布流：数据提供方通过管理门户注册数据资产→元数据写入数据库→数据资产摘要上链存证→元数据代理同步到数据目录。</w:t>
      </w:r>
    </w:p>
    <w:p>
      <w:pPr>
        <w:pStyle w:val="ListBullet"/>
      </w:pPr>
      <w:r>
        <w:rPr>
          <w:rFonts w:ascii="微软雅黑" w:hAnsi="微软雅黑" w:eastAsia="微软雅黑"/>
          <w:sz w:val="20"/>
        </w:rPr>
        <w:t>数据请求流：数据使用方通过门户搜索/浏览数据目录→发起数据使用申请→数据授权中心进行策略匹配和审批→审批通过后生成授权凭证（VC）→建立数据连接器安全通道→执行数据使用控制策略→开始数据传输/计算。</w:t>
      </w:r>
    </w:p>
    <w:p>
      <w:pPr>
        <w:pStyle w:val="ListBullet"/>
      </w:pPr>
      <w:r>
        <w:rPr>
          <w:rFonts w:ascii="微软雅黑" w:hAnsi="微软雅黑" w:eastAsia="微软雅黑"/>
          <w:sz w:val="20"/>
        </w:rPr>
        <w:t>联邦学习流：任务发起方定义联邦学习任务→调度中心选择参与方→各方本地数据预处理→安全梯度交换（差分隐私保护）→全局模型聚合→模型评估→模型分发。</w:t>
      </w:r>
    </w:p>
    <w:p>
      <w:pPr>
        <w:pStyle w:val="ListBullet"/>
      </w:pPr>
      <w:r>
        <w:rPr>
          <w:rFonts w:ascii="微软雅黑" w:hAnsi="微软雅黑" w:eastAsia="微软雅黑"/>
          <w:sz w:val="20"/>
        </w:rPr>
        <w:t>数据存证流：数据操作事件→事件序列化→哈希计算→批量打包→提交到区块链→获取交易哈希→本地数据库同步记录→前端展示存证信息。</w:t>
      </w:r>
    </w:p>
    <w:p>
      <w:r>
        <w:br w:type="page"/>
      </w:r>
    </w:p>
    <w:p>
      <w:pPr>
        <w:pStyle w:val="Heading1"/>
      </w:pPr>
      <w:r>
        <w:rPr>
          <w:rFonts w:ascii="微软雅黑" w:hAnsi="微软雅黑" w:eastAsia="微软雅黑"/>
        </w:rPr>
        <w:t>第四章  核心技术创新点</w:t>
      </w:r>
    </w:p>
    <w:p>
      <w:pPr>
        <w:pStyle w:val="Heading2"/>
      </w:pPr>
      <w:r>
        <w:rPr>
          <w:rFonts w:ascii="微软雅黑" w:hAnsi="微软雅黑" w:eastAsia="微软雅黑"/>
        </w:rPr>
        <w:t>4.1  多方安全计算引擎</w:t>
      </w:r>
    </w:p>
    <w:p>
      <w:pPr>
        <w:spacing w:line="360" w:lineRule="auto" w:after="120"/>
        <w:ind w:firstLine="420"/>
      </w:pPr>
      <w:r>
        <w:rPr>
          <w:rFonts w:ascii="微软雅黑" w:hAnsi="微软雅黑" w:eastAsia="微软雅黑"/>
          <w:b w:val="0"/>
          <w:sz w:val="21"/>
        </w:rPr>
        <w:t>多方安全计算引擎是本项目的核心技术创新之一，旨在在不暴露原始数据的前提下实现多方数据的联合分析和计算。引擎采用分层架构设计，包括计算协议层、安全抽象层和应用编排层三个层次。</w:t>
      </w:r>
    </w:p>
    <w:p>
      <w:pPr>
        <w:spacing w:line="360" w:lineRule="auto" w:after="120"/>
        <w:ind w:firstLine="420"/>
      </w:pPr>
      <w:r>
        <w:rPr>
          <w:rFonts w:ascii="微软雅黑" w:hAnsi="微软雅黑" w:eastAsia="微软雅黑"/>
          <w:b w:val="0"/>
          <w:sz w:val="21"/>
        </w:rPr>
        <w:t>计算协议层实现了多种安全计算协议。在秘密共享协议方面，基于Shamir秘密共享方案实现2-out-of-n门限共享，支持加法秘密共享（Additive Secret Sharing）用于高效加法运算，乘法秘密共享（Beaver Triple）用于乘法运算的预处理加速。在不经意传输（Oblivious Transfer, OT）方面，实现了Naor-Pinkas OT协议用于隐私集合求交（PSI），以及IKNP OT扩展协议将少量基础OT扩展为大量高效OT。在混淆电路（Garbled Circuit）方面，基于Yao协议实现通用布尔电路的安全计算，并集成Half-Gate优化技术将AND门通信量减半。在零知识证明（ZKP）方面，集成Bulletproofs协议实现范围证明，Groth16协议用于通用计算验证，支撑数据合规性证明和计算结果可验证性。</w:t>
      </w:r>
    </w:p>
    <w:p>
      <w:pPr>
        <w:spacing w:line="360" w:lineRule="auto" w:after="120"/>
        <w:ind w:firstLine="420"/>
      </w:pPr>
      <w:r>
        <w:rPr>
          <w:rFonts w:ascii="微软雅黑" w:hAnsi="微软雅黑" w:eastAsia="微软雅黑"/>
          <w:b w:val="0"/>
          <w:sz w:val="21"/>
        </w:rPr>
        <w:t>安全抽象层隔离了底层密码学协议的复杂性，向上层应用提供统一的安全计算接口。该层实现了安全数据类型（SecureInt、SecureFloat、SecureString）的封装，将普通算术运算自动映射为安全计算协议调用。例如，a + b在安全抽象层会被自动转换为MPC协议中的安全加法操作，开发者无需关心底层密码细节。</w:t>
      </w:r>
    </w:p>
    <w:p>
      <w:pPr>
        <w:spacing w:line="360" w:lineRule="auto" w:after="120"/>
        <w:ind w:firstLine="420"/>
      </w:pPr>
      <w:r>
        <w:rPr>
          <w:rFonts w:ascii="微软雅黑" w:hAnsi="微软雅黑" w:eastAsia="微软雅黑"/>
          <w:b w:val="0"/>
          <w:sz w:val="21"/>
        </w:rPr>
        <w:t>应用编排层负责将业务计算逻辑拆解为安全计算子任务，并协调各方执行。编排层实现了计算图优化技术，通过静态分析消除冗余通信；支持流水线并行执行，将独立的安全计算操作并行化，减少整体计算时间；提供容错机制，在参与方网络中断或计算异常时自动回滚。</w:t>
      </w:r>
    </w:p>
    <w:p>
      <w:pPr>
        <w:spacing w:line="360" w:lineRule="auto" w:after="120"/>
        <w:jc w:val="center"/>
      </w:pPr>
      <w:r>
        <w:rPr>
          <w:rFonts w:ascii="微软雅黑" w:hAnsi="微软雅黑" w:eastAsia="微软雅黑"/>
          <w:b/>
          <w:sz w:val="18"/>
        </w:rPr>
        <w:t>表4-1  MPC引擎核心协议性能指标</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417"/>
            <w:shd w:fill="1A3C6D"/>
          </w:tcPr>
          <w:p>
            <w:pPr>
              <w:jc w:val="center"/>
            </w:pPr>
            <w:r/>
            <w:r>
              <w:rPr>
                <w:rFonts w:ascii="微软雅黑" w:hAnsi="微软雅黑"/>
                <w:b/>
                <w:color w:val="FFFFFF"/>
                <w:sz w:val="16"/>
              </w:rPr>
              <w:t>协议/操作</w:t>
            </w:r>
          </w:p>
        </w:tc>
        <w:tc>
          <w:tcPr>
            <w:tcW w:type="dxa" w:w="680"/>
            <w:shd w:fill="1A3C6D"/>
          </w:tcPr>
          <w:p>
            <w:pPr>
              <w:jc w:val="center"/>
            </w:pPr>
            <w:r/>
            <w:r>
              <w:rPr>
                <w:rFonts w:ascii="微软雅黑" w:hAnsi="微软雅黑"/>
                <w:b/>
                <w:color w:val="FFFFFF"/>
                <w:sz w:val="16"/>
              </w:rPr>
              <w:t>参与方数</w:t>
            </w:r>
          </w:p>
        </w:tc>
        <w:tc>
          <w:tcPr>
            <w:tcW w:type="dxa" w:w="680"/>
            <w:shd w:fill="1A3C6D"/>
          </w:tcPr>
          <w:p>
            <w:pPr>
              <w:jc w:val="center"/>
            </w:pPr>
            <w:r/>
            <w:r>
              <w:rPr>
                <w:rFonts w:ascii="微软雅黑" w:hAnsi="微软雅黑"/>
                <w:b/>
                <w:color w:val="FFFFFF"/>
                <w:sz w:val="16"/>
              </w:rPr>
              <w:t>通信轮次</w:t>
            </w:r>
          </w:p>
        </w:tc>
        <w:tc>
          <w:tcPr>
            <w:tcW w:type="dxa" w:w="1134"/>
            <w:shd w:fill="1A3C6D"/>
          </w:tcPr>
          <w:p>
            <w:pPr>
              <w:jc w:val="center"/>
            </w:pPr>
            <w:r/>
            <w:r>
              <w:rPr>
                <w:rFonts w:ascii="微软雅黑" w:hAnsi="微软雅黑"/>
                <w:b/>
                <w:color w:val="FFFFFF"/>
                <w:sz w:val="16"/>
              </w:rPr>
              <w:t>通信量（单方）</w:t>
            </w:r>
          </w:p>
        </w:tc>
        <w:tc>
          <w:tcPr>
            <w:tcW w:type="dxa" w:w="1134"/>
            <w:shd w:fill="1A3C6D"/>
          </w:tcPr>
          <w:p>
            <w:pPr>
              <w:jc w:val="center"/>
            </w:pPr>
            <w:r/>
            <w:r>
              <w:rPr>
                <w:rFonts w:ascii="微软雅黑" w:hAnsi="微软雅黑"/>
                <w:b/>
                <w:color w:val="FFFFFF"/>
                <w:sz w:val="16"/>
              </w:rPr>
              <w:t>计算耗时</w:t>
            </w:r>
          </w:p>
        </w:tc>
        <w:tc>
          <w:tcPr>
            <w:tcW w:type="dxa" w:w="1417"/>
            <w:shd w:fill="1A3C6D"/>
          </w:tcPr>
          <w:p>
            <w:pPr>
              <w:jc w:val="center"/>
            </w:pPr>
            <w:r/>
            <w:r>
              <w:rPr>
                <w:rFonts w:ascii="微软雅黑" w:hAnsi="微软雅黑"/>
                <w:b/>
                <w:color w:val="FFFFFF"/>
                <w:sz w:val="16"/>
              </w:rPr>
              <w:t>应用场景</w:t>
            </w:r>
          </w:p>
        </w:tc>
      </w:tr>
      <w:tr>
        <w:tc>
          <w:tcPr>
            <w:tcW w:type="dxa" w:w="1417"/>
          </w:tcPr>
          <w:p>
            <w:pPr>
              <w:jc w:val="center"/>
            </w:pPr>
            <w:r/>
            <w:r>
              <w:rPr>
                <w:rFonts w:ascii="微软雅黑" w:hAnsi="微软雅黑"/>
                <w:sz w:val="15"/>
              </w:rPr>
              <w:t>安全加法</w:t>
            </w:r>
          </w:p>
        </w:tc>
        <w:tc>
          <w:tcPr>
            <w:tcW w:type="dxa" w:w="680"/>
          </w:tcPr>
          <w:p>
            <w:pPr>
              <w:jc w:val="center"/>
            </w:pPr>
            <w:r/>
            <w:r>
              <w:rPr>
                <w:rFonts w:ascii="微软雅黑" w:hAnsi="微软雅黑"/>
                <w:sz w:val="15"/>
              </w:rPr>
              <w:t>2-10</w:t>
            </w:r>
          </w:p>
        </w:tc>
        <w:tc>
          <w:tcPr>
            <w:tcW w:type="dxa" w:w="680"/>
          </w:tcPr>
          <w:p>
            <w:pPr>
              <w:jc w:val="center"/>
            </w:pPr>
            <w:r/>
            <w:r>
              <w:rPr>
                <w:rFonts w:ascii="微软雅黑" w:hAnsi="微软雅黑"/>
                <w:sz w:val="15"/>
              </w:rPr>
              <w:t>1轮</w:t>
            </w:r>
          </w:p>
        </w:tc>
        <w:tc>
          <w:tcPr>
            <w:tcW w:type="dxa" w:w="1134"/>
          </w:tcPr>
          <w:p>
            <w:pPr>
              <w:jc w:val="center"/>
            </w:pPr>
            <w:r/>
            <w:r>
              <w:rPr>
                <w:rFonts w:ascii="微软雅黑" w:hAnsi="微软雅黑"/>
                <w:sz w:val="15"/>
              </w:rPr>
              <w:t>O(1)</w:t>
            </w:r>
          </w:p>
        </w:tc>
        <w:tc>
          <w:tcPr>
            <w:tcW w:type="dxa" w:w="1134"/>
          </w:tcPr>
          <w:p>
            <w:pPr>
              <w:jc w:val="center"/>
            </w:pPr>
            <w:r/>
            <w:r>
              <w:rPr>
                <w:rFonts w:ascii="微软雅黑" w:hAnsi="微软雅黑"/>
                <w:sz w:val="15"/>
              </w:rPr>
              <w:t>&lt;1ms</w:t>
            </w:r>
          </w:p>
        </w:tc>
        <w:tc>
          <w:tcPr>
            <w:tcW w:type="dxa" w:w="1417"/>
          </w:tcPr>
          <w:p>
            <w:pPr>
              <w:jc w:val="center"/>
            </w:pPr>
            <w:r/>
            <w:r>
              <w:rPr>
                <w:rFonts w:ascii="微软雅黑" w:hAnsi="微软雅黑"/>
                <w:sz w:val="15"/>
              </w:rPr>
              <w:t>聚合统计</w:t>
            </w:r>
          </w:p>
        </w:tc>
      </w:tr>
      <w:tr>
        <w:tc>
          <w:tcPr>
            <w:tcW w:type="dxa" w:w="1417"/>
            <w:shd w:fill="F0F4FA"/>
          </w:tcPr>
          <w:p>
            <w:pPr>
              <w:jc w:val="center"/>
            </w:pPr>
            <w:r/>
            <w:r>
              <w:rPr>
                <w:rFonts w:ascii="微软雅黑" w:hAnsi="微软雅黑"/>
                <w:sz w:val="15"/>
              </w:rPr>
              <w:t>安全乘法（Beaver）</w:t>
            </w:r>
          </w:p>
        </w:tc>
        <w:tc>
          <w:tcPr>
            <w:tcW w:type="dxa" w:w="680"/>
            <w:shd w:fill="F0F4FA"/>
          </w:tcPr>
          <w:p>
            <w:pPr>
              <w:jc w:val="center"/>
            </w:pPr>
            <w:r/>
            <w:r>
              <w:rPr>
                <w:rFonts w:ascii="微软雅黑" w:hAnsi="微软雅黑"/>
                <w:sz w:val="15"/>
              </w:rPr>
              <w:t>2</w:t>
            </w:r>
          </w:p>
        </w:tc>
        <w:tc>
          <w:tcPr>
            <w:tcW w:type="dxa" w:w="680"/>
            <w:shd w:fill="F0F4FA"/>
          </w:tcPr>
          <w:p>
            <w:pPr>
              <w:jc w:val="center"/>
            </w:pPr>
            <w:r/>
            <w:r>
              <w:rPr>
                <w:rFonts w:ascii="微软雅黑" w:hAnsi="微软雅黑"/>
                <w:sz w:val="15"/>
              </w:rPr>
              <w:t>1轮</w:t>
            </w:r>
          </w:p>
        </w:tc>
        <w:tc>
          <w:tcPr>
            <w:tcW w:type="dxa" w:w="1134"/>
            <w:shd w:fill="F0F4FA"/>
          </w:tcPr>
          <w:p>
            <w:pPr>
              <w:jc w:val="center"/>
            </w:pPr>
            <w:r/>
            <w:r>
              <w:rPr>
                <w:rFonts w:ascii="微软雅黑" w:hAnsi="微软雅黑"/>
                <w:sz w:val="15"/>
              </w:rPr>
              <w:t>O(1)</w:t>
            </w:r>
          </w:p>
        </w:tc>
        <w:tc>
          <w:tcPr>
            <w:tcW w:type="dxa" w:w="1134"/>
            <w:shd w:fill="F0F4FA"/>
          </w:tcPr>
          <w:p>
            <w:pPr>
              <w:jc w:val="center"/>
            </w:pPr>
            <w:r/>
            <w:r>
              <w:rPr>
                <w:rFonts w:ascii="微软雅黑" w:hAnsi="微软雅黑"/>
                <w:sz w:val="15"/>
              </w:rPr>
              <w:t>&lt;5ms</w:t>
            </w:r>
          </w:p>
        </w:tc>
        <w:tc>
          <w:tcPr>
            <w:tcW w:type="dxa" w:w="1417"/>
            <w:shd w:fill="F0F4FA"/>
          </w:tcPr>
          <w:p>
            <w:pPr>
              <w:jc w:val="center"/>
            </w:pPr>
            <w:r/>
            <w:r>
              <w:rPr>
                <w:rFonts w:ascii="微软雅黑" w:hAnsi="微软雅黑"/>
                <w:sz w:val="15"/>
              </w:rPr>
              <w:t>矩阵乘法</w:t>
            </w:r>
          </w:p>
        </w:tc>
      </w:tr>
      <w:tr>
        <w:tc>
          <w:tcPr>
            <w:tcW w:type="dxa" w:w="1417"/>
          </w:tcPr>
          <w:p>
            <w:pPr>
              <w:jc w:val="center"/>
            </w:pPr>
            <w:r/>
            <w:r>
              <w:rPr>
                <w:rFonts w:ascii="微软雅黑" w:hAnsi="微软雅黑"/>
                <w:sz w:val="15"/>
              </w:rPr>
              <w:t>安全比较</w:t>
            </w:r>
          </w:p>
        </w:tc>
        <w:tc>
          <w:tcPr>
            <w:tcW w:type="dxa" w:w="680"/>
          </w:tcPr>
          <w:p>
            <w:pPr>
              <w:jc w:val="center"/>
            </w:pPr>
            <w:r/>
            <w:r>
              <w:rPr>
                <w:rFonts w:ascii="微软雅黑" w:hAnsi="微软雅黑"/>
                <w:sz w:val="15"/>
              </w:rPr>
              <w:t>2</w:t>
            </w:r>
          </w:p>
        </w:tc>
        <w:tc>
          <w:tcPr>
            <w:tcW w:type="dxa" w:w="680"/>
          </w:tcPr>
          <w:p>
            <w:pPr>
              <w:jc w:val="center"/>
            </w:pPr>
            <w:r/>
            <w:r>
              <w:rPr>
                <w:rFonts w:ascii="微软雅黑" w:hAnsi="微软雅黑"/>
                <w:sz w:val="15"/>
              </w:rPr>
              <w:t>log(L)轮</w:t>
            </w:r>
          </w:p>
        </w:tc>
        <w:tc>
          <w:tcPr>
            <w:tcW w:type="dxa" w:w="1134"/>
          </w:tcPr>
          <w:p>
            <w:pPr>
              <w:jc w:val="center"/>
            </w:pPr>
            <w:r/>
            <w:r>
              <w:rPr>
                <w:rFonts w:ascii="微软雅黑" w:hAnsi="微软雅黑"/>
                <w:sz w:val="15"/>
              </w:rPr>
              <w:t>O(L)</w:t>
            </w:r>
          </w:p>
        </w:tc>
        <w:tc>
          <w:tcPr>
            <w:tcW w:type="dxa" w:w="1134"/>
          </w:tcPr>
          <w:p>
            <w:pPr>
              <w:jc w:val="center"/>
            </w:pPr>
            <w:r/>
            <w:r>
              <w:rPr>
                <w:rFonts w:ascii="微软雅黑" w:hAnsi="微软雅黑"/>
                <w:sz w:val="15"/>
              </w:rPr>
              <w:t>~50ms</w:t>
            </w:r>
          </w:p>
        </w:tc>
        <w:tc>
          <w:tcPr>
            <w:tcW w:type="dxa" w:w="1417"/>
          </w:tcPr>
          <w:p>
            <w:pPr>
              <w:jc w:val="center"/>
            </w:pPr>
            <w:r/>
            <w:r>
              <w:rPr>
                <w:rFonts w:ascii="微软雅黑" w:hAnsi="微软雅黑"/>
                <w:sz w:val="15"/>
              </w:rPr>
              <w:t>隐私查询</w:t>
            </w:r>
          </w:p>
        </w:tc>
      </w:tr>
      <w:tr>
        <w:tc>
          <w:tcPr>
            <w:tcW w:type="dxa" w:w="1417"/>
            <w:shd w:fill="F0F4FA"/>
          </w:tcPr>
          <w:p>
            <w:pPr>
              <w:jc w:val="center"/>
            </w:pPr>
            <w:r/>
            <w:r>
              <w:rPr>
                <w:rFonts w:ascii="微软雅黑" w:hAnsi="微软雅黑"/>
                <w:sz w:val="15"/>
              </w:rPr>
              <w:t>隐私集合求交(PSI)</w:t>
            </w:r>
          </w:p>
        </w:tc>
        <w:tc>
          <w:tcPr>
            <w:tcW w:type="dxa" w:w="680"/>
            <w:shd w:fill="F0F4FA"/>
          </w:tcPr>
          <w:p>
            <w:pPr>
              <w:jc w:val="center"/>
            </w:pPr>
            <w:r/>
            <w:r>
              <w:rPr>
                <w:rFonts w:ascii="微软雅黑" w:hAnsi="微软雅黑"/>
                <w:sz w:val="15"/>
              </w:rPr>
              <w:t>2</w:t>
            </w:r>
          </w:p>
        </w:tc>
        <w:tc>
          <w:tcPr>
            <w:tcW w:type="dxa" w:w="680"/>
            <w:shd w:fill="F0F4FA"/>
          </w:tcPr>
          <w:p>
            <w:pPr>
              <w:jc w:val="center"/>
            </w:pPr>
            <w:r/>
            <w:r>
              <w:rPr>
                <w:rFonts w:ascii="微软雅黑" w:hAnsi="微软雅黑"/>
                <w:sz w:val="15"/>
              </w:rPr>
              <w:t>2轮</w:t>
            </w:r>
          </w:p>
        </w:tc>
        <w:tc>
          <w:tcPr>
            <w:tcW w:type="dxa" w:w="1134"/>
            <w:shd w:fill="F0F4FA"/>
          </w:tcPr>
          <w:p>
            <w:pPr>
              <w:jc w:val="center"/>
            </w:pPr>
            <w:r/>
            <w:r>
              <w:rPr>
                <w:rFonts w:ascii="微软雅黑" w:hAnsi="微软雅黑"/>
                <w:sz w:val="15"/>
              </w:rPr>
              <w:t>O(n)</w:t>
            </w:r>
          </w:p>
        </w:tc>
        <w:tc>
          <w:tcPr>
            <w:tcW w:type="dxa" w:w="1134"/>
            <w:shd w:fill="F0F4FA"/>
          </w:tcPr>
          <w:p>
            <w:pPr>
              <w:jc w:val="center"/>
            </w:pPr>
            <w:r/>
            <w:r>
              <w:rPr>
                <w:rFonts w:ascii="微软雅黑" w:hAnsi="微软雅黑"/>
                <w:sz w:val="15"/>
              </w:rPr>
              <w:t>~2s (100万元素)</w:t>
            </w:r>
          </w:p>
        </w:tc>
        <w:tc>
          <w:tcPr>
            <w:tcW w:type="dxa" w:w="1417"/>
            <w:shd w:fill="F0F4FA"/>
          </w:tcPr>
          <w:p>
            <w:pPr>
              <w:jc w:val="center"/>
            </w:pPr>
            <w:r/>
            <w:r>
              <w:rPr>
                <w:rFonts w:ascii="微软雅黑" w:hAnsi="微软雅黑"/>
                <w:sz w:val="15"/>
              </w:rPr>
              <w:t>数据对齐</w:t>
            </w:r>
          </w:p>
        </w:tc>
      </w:tr>
      <w:tr>
        <w:tc>
          <w:tcPr>
            <w:tcW w:type="dxa" w:w="1417"/>
          </w:tcPr>
          <w:p>
            <w:pPr>
              <w:jc w:val="center"/>
            </w:pPr>
            <w:r/>
            <w:r>
              <w:rPr>
                <w:rFonts w:ascii="微软雅黑" w:hAnsi="微软雅黑"/>
                <w:sz w:val="15"/>
              </w:rPr>
              <w:t>安全逻辑回归</w:t>
            </w:r>
          </w:p>
        </w:tc>
        <w:tc>
          <w:tcPr>
            <w:tcW w:type="dxa" w:w="680"/>
          </w:tcPr>
          <w:p>
            <w:pPr>
              <w:jc w:val="center"/>
            </w:pPr>
            <w:r/>
            <w:r>
              <w:rPr>
                <w:rFonts w:ascii="微软雅黑" w:hAnsi="微软雅黑"/>
                <w:sz w:val="15"/>
              </w:rPr>
              <w:t>2-5</w:t>
            </w:r>
          </w:p>
        </w:tc>
        <w:tc>
          <w:tcPr>
            <w:tcW w:type="dxa" w:w="680"/>
          </w:tcPr>
          <w:p>
            <w:pPr>
              <w:jc w:val="center"/>
            </w:pPr>
            <w:r/>
            <w:r>
              <w:rPr>
                <w:rFonts w:ascii="微软雅黑" w:hAnsi="微软雅黑"/>
                <w:sz w:val="15"/>
              </w:rPr>
              <w:t>3轮/迭代</w:t>
            </w:r>
          </w:p>
        </w:tc>
        <w:tc>
          <w:tcPr>
            <w:tcW w:type="dxa" w:w="1134"/>
          </w:tcPr>
          <w:p>
            <w:pPr>
              <w:jc w:val="center"/>
            </w:pPr>
            <w:r/>
            <w:r>
              <w:rPr>
                <w:rFonts w:ascii="微软雅黑" w:hAnsi="微软雅黑"/>
                <w:sz w:val="15"/>
              </w:rPr>
              <w:t>O(d)</w:t>
            </w:r>
          </w:p>
        </w:tc>
        <w:tc>
          <w:tcPr>
            <w:tcW w:type="dxa" w:w="1134"/>
          </w:tcPr>
          <w:p>
            <w:pPr>
              <w:jc w:val="center"/>
            </w:pPr>
            <w:r/>
            <w:r>
              <w:rPr>
                <w:rFonts w:ascii="微软雅黑" w:hAnsi="微软雅黑"/>
                <w:sz w:val="15"/>
              </w:rPr>
              <w:t>~500ms/iter</w:t>
            </w:r>
          </w:p>
        </w:tc>
        <w:tc>
          <w:tcPr>
            <w:tcW w:type="dxa" w:w="1417"/>
          </w:tcPr>
          <w:p>
            <w:pPr>
              <w:jc w:val="center"/>
            </w:pPr>
            <w:r/>
            <w:r>
              <w:rPr>
                <w:rFonts w:ascii="微软雅黑" w:hAnsi="微软雅黑"/>
                <w:sz w:val="15"/>
              </w:rPr>
              <w:t>模型训练</w:t>
            </w:r>
          </w:p>
        </w:tc>
      </w:tr>
    </w:tbl>
    <w:p/>
    <w:p>
      <w:pPr>
        <w:pStyle w:val="Heading2"/>
      </w:pPr>
      <w:r>
        <w:rPr>
          <w:rFonts w:ascii="微软雅黑" w:hAnsi="微软雅黑" w:eastAsia="微软雅黑"/>
        </w:rPr>
        <w:t>4.2  联邦学习平台</w:t>
      </w:r>
    </w:p>
    <w:p>
      <w:pPr>
        <w:spacing w:line="360" w:lineRule="auto" w:after="120"/>
        <w:ind w:firstLine="420"/>
      </w:pPr>
      <w:r>
        <w:rPr>
          <w:rFonts w:ascii="微软雅黑" w:hAnsi="微软雅黑" w:eastAsia="微软雅黑"/>
          <w:b w:val="0"/>
          <w:sz w:val="21"/>
        </w:rPr>
        <w:t>联邦学习平台是本项目的另一个核心技术创新点，旨在实现"数据不出域、模型可共享"的分布式机器学习。平台的创新之处在于将联邦学习与可信数据空间的其它组件（区块链存证、DID身份认证、数据使用控制）深度融合，构建了完整的可信联邦学习生态。</w:t>
      </w:r>
    </w:p>
    <w:p>
      <w:pPr>
        <w:spacing w:line="360" w:lineRule="auto" w:after="120"/>
        <w:ind w:firstLine="420"/>
      </w:pPr>
      <w:r>
        <w:rPr>
          <w:rFonts w:ascii="微软雅黑" w:hAnsi="微软雅黑" w:eastAsia="微软雅黑"/>
          <w:b w:val="0"/>
          <w:sz w:val="21"/>
        </w:rPr>
        <w:t>联邦学习平台支持横向联邦学习（Horizontal FL）、纵向联邦学习（Vertical FL）和联邦迁移学习（Federated Transfer Learning）三种模式。横向联邦学习适用于不同组织拥有相同特征空间但不同样本的场景，如多个省份的电网公司联合训练负荷预测模型。纵向联邦学习适用于不同组织拥有相同样本但不同特征空间的场景，如电网公司和气象局联合训练新能源功率预测模型。联邦迁移学习适用于特征空间和样本均不同的场景。</w:t>
      </w:r>
    </w:p>
    <w:p>
      <w:pPr>
        <w:spacing w:line="360" w:lineRule="auto" w:after="120"/>
        <w:ind w:firstLine="420"/>
      </w:pPr>
      <w:r>
        <w:rPr>
          <w:rFonts w:ascii="微软雅黑" w:hAnsi="微软雅黑" w:eastAsia="微软雅黑"/>
          <w:b w:val="0"/>
          <w:sz w:val="21"/>
        </w:rPr>
        <w:t>在安全性增强方面，平台集成了差分隐私（Differential Privacy）和同态加密（Homomorphic Encryption）两种安全增强技术。差分隐私在梯度上传前添加拉普拉斯噪声或高斯噪声，使得攻击者无法从模型更新中推断出单个样本的隐私信息，给定隐私预算ε=8.0时，模型精度损失控制在2%以内。同态加密在纵向联邦学习中用于保护中间计算结果，采用Paillier半同态加密方案支持安全加法运算。</w:t>
      </w:r>
    </w:p>
    <w:p>
      <w:pPr>
        <w:spacing w:line="360" w:lineRule="auto" w:after="120"/>
        <w:ind w:firstLine="420"/>
      </w:pPr>
      <w:r>
        <w:rPr>
          <w:rFonts w:ascii="微软雅黑" w:hAnsi="微软雅黑" w:eastAsia="微软雅黑"/>
          <w:b w:val="0"/>
          <w:sz w:val="21"/>
        </w:rPr>
        <w:t>在激励机制方面，平台引入联邦贡献度评估算法，基于Shapley值或影响力函数量化每个参与方对全局模型性能的贡献，作为收益分配的依据。贡献度评估结果和模型训练过程记录通过区块链存证，确保不可抵赖。</w:t>
      </w:r>
    </w:p>
    <w:p>
      <w:pPr>
        <w:spacing w:line="360" w:lineRule="auto" w:after="120"/>
        <w:jc w:val="center"/>
      </w:pPr>
      <w:r>
        <w:rPr>
          <w:rFonts w:ascii="微软雅黑" w:hAnsi="微软雅黑" w:eastAsia="微软雅黑"/>
          <w:b/>
          <w:sz w:val="18"/>
        </w:rPr>
        <w:t>表4-2  联邦学习平台支持的算法</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850"/>
            <w:shd w:fill="1A3C6D"/>
          </w:tcPr>
          <w:p>
            <w:pPr>
              <w:jc w:val="center"/>
            </w:pPr>
            <w:r/>
            <w:r>
              <w:rPr>
                <w:rFonts w:ascii="微软雅黑" w:hAnsi="微软雅黑"/>
                <w:b/>
                <w:color w:val="FFFFFF"/>
                <w:sz w:val="16"/>
              </w:rPr>
              <w:t>算法类型</w:t>
            </w:r>
          </w:p>
        </w:tc>
        <w:tc>
          <w:tcPr>
            <w:tcW w:type="dxa" w:w="1417"/>
            <w:shd w:fill="1A3C6D"/>
          </w:tcPr>
          <w:p>
            <w:pPr>
              <w:jc w:val="center"/>
            </w:pPr>
            <w:r/>
            <w:r>
              <w:rPr>
                <w:rFonts w:ascii="微软雅黑" w:hAnsi="微软雅黑"/>
                <w:b/>
                <w:color w:val="FFFFFF"/>
                <w:sz w:val="16"/>
              </w:rPr>
              <w:t>算法名称</w:t>
            </w:r>
          </w:p>
        </w:tc>
        <w:tc>
          <w:tcPr>
            <w:tcW w:type="dxa" w:w="850"/>
            <w:shd w:fill="1A3C6D"/>
          </w:tcPr>
          <w:p>
            <w:pPr>
              <w:jc w:val="center"/>
            </w:pPr>
            <w:r/>
            <w:r>
              <w:rPr>
                <w:rFonts w:ascii="微软雅黑" w:hAnsi="微软雅黑"/>
                <w:b/>
                <w:color w:val="FFFFFF"/>
                <w:sz w:val="16"/>
              </w:rPr>
              <w:t>FL模式</w:t>
            </w:r>
          </w:p>
        </w:tc>
        <w:tc>
          <w:tcPr>
            <w:tcW w:type="dxa" w:w="850"/>
            <w:shd w:fill="1A3C6D"/>
          </w:tcPr>
          <w:p>
            <w:pPr>
              <w:jc w:val="center"/>
            </w:pPr>
            <w:r/>
            <w:r>
              <w:rPr>
                <w:rFonts w:ascii="微软雅黑" w:hAnsi="微软雅黑"/>
                <w:b/>
                <w:color w:val="FFFFFF"/>
                <w:sz w:val="16"/>
              </w:rPr>
              <w:t>差分隐私支持</w:t>
            </w:r>
          </w:p>
        </w:tc>
        <w:tc>
          <w:tcPr>
            <w:tcW w:type="dxa" w:w="850"/>
            <w:shd w:fill="1A3C6D"/>
          </w:tcPr>
          <w:p>
            <w:pPr>
              <w:jc w:val="center"/>
            </w:pPr>
            <w:r/>
            <w:r>
              <w:rPr>
                <w:rFonts w:ascii="微软雅黑" w:hAnsi="微软雅黑"/>
                <w:b/>
                <w:color w:val="FFFFFF"/>
                <w:sz w:val="16"/>
              </w:rPr>
              <w:t>同态加密支持</w:t>
            </w:r>
          </w:p>
        </w:tc>
        <w:tc>
          <w:tcPr>
            <w:tcW w:type="dxa" w:w="1417"/>
            <w:shd w:fill="1A3C6D"/>
          </w:tcPr>
          <w:p>
            <w:pPr>
              <w:jc w:val="center"/>
            </w:pPr>
            <w:r/>
            <w:r>
              <w:rPr>
                <w:rFonts w:ascii="微软雅黑" w:hAnsi="微软雅黑"/>
                <w:b/>
                <w:color w:val="FFFFFF"/>
                <w:sz w:val="16"/>
              </w:rPr>
              <w:t>典型应用</w:t>
            </w:r>
          </w:p>
        </w:tc>
      </w:tr>
      <w:tr>
        <w:tc>
          <w:tcPr>
            <w:tcW w:type="dxa" w:w="850"/>
          </w:tcPr>
          <w:p>
            <w:pPr>
              <w:jc w:val="center"/>
            </w:pPr>
            <w:r/>
            <w:r>
              <w:rPr>
                <w:rFonts w:ascii="微软雅黑" w:hAnsi="微软雅黑"/>
                <w:sz w:val="15"/>
              </w:rPr>
              <w:t>线性模型</w:t>
            </w:r>
          </w:p>
        </w:tc>
        <w:tc>
          <w:tcPr>
            <w:tcW w:type="dxa" w:w="1417"/>
          </w:tcPr>
          <w:p>
            <w:pPr>
              <w:jc w:val="center"/>
            </w:pPr>
            <w:r/>
            <w:r>
              <w:rPr>
                <w:rFonts w:ascii="微软雅黑" w:hAnsi="微软雅黑"/>
                <w:sz w:val="15"/>
              </w:rPr>
              <w:t>安全逻辑回归</w:t>
            </w:r>
          </w:p>
        </w:tc>
        <w:tc>
          <w:tcPr>
            <w:tcW w:type="dxa" w:w="850"/>
          </w:tcPr>
          <w:p>
            <w:pPr>
              <w:jc w:val="center"/>
            </w:pPr>
            <w:r/>
            <w:r>
              <w:rPr>
                <w:rFonts w:ascii="微软雅黑" w:hAnsi="微软雅黑"/>
                <w:sz w:val="15"/>
              </w:rPr>
              <w:t>横向/纵向</w:t>
            </w:r>
          </w:p>
        </w:tc>
        <w:tc>
          <w:tcPr>
            <w:tcW w:type="dxa" w:w="850"/>
          </w:tcPr>
          <w:p>
            <w:pPr>
              <w:jc w:val="center"/>
            </w:pPr>
            <w:r/>
            <w:r>
              <w:rPr>
                <w:rFonts w:ascii="微软雅黑" w:hAnsi="微软雅黑"/>
                <w:sz w:val="15"/>
              </w:rPr>
              <w:t>✓</w:t>
            </w:r>
          </w:p>
        </w:tc>
        <w:tc>
          <w:tcPr>
            <w:tcW w:type="dxa" w:w="850"/>
          </w:tcPr>
          <w:p>
            <w:pPr>
              <w:jc w:val="center"/>
            </w:pPr>
            <w:r/>
            <w:r>
              <w:rPr>
                <w:rFonts w:ascii="微软雅黑" w:hAnsi="微软雅黑"/>
                <w:sz w:val="15"/>
              </w:rPr>
              <w:t>✓ (Paillier)</w:t>
            </w:r>
          </w:p>
        </w:tc>
        <w:tc>
          <w:tcPr>
            <w:tcW w:type="dxa" w:w="1417"/>
          </w:tcPr>
          <w:p>
            <w:pPr>
              <w:jc w:val="center"/>
            </w:pPr>
            <w:r/>
            <w:r>
              <w:rPr>
                <w:rFonts w:ascii="微软雅黑" w:hAnsi="微软雅黑"/>
                <w:sz w:val="15"/>
              </w:rPr>
              <w:t>负荷二分类预测</w:t>
            </w:r>
          </w:p>
        </w:tc>
      </w:tr>
      <w:tr>
        <w:tc>
          <w:tcPr>
            <w:tcW w:type="dxa" w:w="850"/>
            <w:shd w:fill="F0F4FA"/>
          </w:tcPr>
          <w:p>
            <w:pPr>
              <w:jc w:val="center"/>
            </w:pPr>
            <w:r/>
            <w:r>
              <w:rPr>
                <w:rFonts w:ascii="微软雅黑" w:hAnsi="微软雅黑"/>
                <w:sz w:val="15"/>
              </w:rPr>
              <w:t>树模型</w:t>
            </w:r>
          </w:p>
        </w:tc>
        <w:tc>
          <w:tcPr>
            <w:tcW w:type="dxa" w:w="1417"/>
            <w:shd w:fill="F0F4FA"/>
          </w:tcPr>
          <w:p>
            <w:pPr>
              <w:jc w:val="center"/>
            </w:pPr>
            <w:r/>
            <w:r>
              <w:rPr>
                <w:rFonts w:ascii="微软雅黑" w:hAnsi="微软雅黑"/>
                <w:sz w:val="15"/>
              </w:rPr>
              <w:t>SecureBoost</w:t>
            </w:r>
          </w:p>
        </w:tc>
        <w:tc>
          <w:tcPr>
            <w:tcW w:type="dxa" w:w="850"/>
            <w:shd w:fill="F0F4FA"/>
          </w:tcPr>
          <w:p>
            <w:pPr>
              <w:jc w:val="center"/>
            </w:pPr>
            <w:r/>
            <w:r>
              <w:rPr>
                <w:rFonts w:ascii="微软雅黑" w:hAnsi="微软雅黑"/>
                <w:sz w:val="15"/>
              </w:rPr>
              <w:t>纵向</w:t>
            </w:r>
          </w:p>
        </w:tc>
        <w:tc>
          <w:tcPr>
            <w:tcW w:type="dxa" w:w="850"/>
            <w:shd w:fill="F0F4FA"/>
          </w:tcPr>
          <w:p>
            <w:pPr>
              <w:jc w:val="center"/>
            </w:pPr>
            <w:r/>
            <w:r>
              <w:rPr>
                <w:rFonts w:ascii="微软雅黑" w:hAnsi="微软雅黑"/>
                <w:sz w:val="15"/>
              </w:rPr>
              <w:t>--</w:t>
            </w:r>
          </w:p>
        </w:tc>
        <w:tc>
          <w:tcPr>
            <w:tcW w:type="dxa" w:w="850"/>
            <w:shd w:fill="F0F4FA"/>
          </w:tcPr>
          <w:p>
            <w:pPr>
              <w:jc w:val="center"/>
            </w:pPr>
            <w:r/>
            <w:r>
              <w:rPr>
                <w:rFonts w:ascii="微软雅黑" w:hAnsi="微软雅黑"/>
                <w:sz w:val="15"/>
              </w:rPr>
              <w:t>✓ (Paillier)</w:t>
            </w:r>
          </w:p>
        </w:tc>
        <w:tc>
          <w:tcPr>
            <w:tcW w:type="dxa" w:w="1417"/>
            <w:shd w:fill="F0F4FA"/>
          </w:tcPr>
          <w:p>
            <w:pPr>
              <w:jc w:val="center"/>
            </w:pPr>
            <w:r/>
            <w:r>
              <w:rPr>
                <w:rFonts w:ascii="微软雅黑" w:hAnsi="微软雅黑"/>
                <w:sz w:val="15"/>
              </w:rPr>
              <w:t>设备故障诊断</w:t>
            </w:r>
          </w:p>
        </w:tc>
      </w:tr>
      <w:tr>
        <w:tc>
          <w:tcPr>
            <w:tcW w:type="dxa" w:w="850"/>
          </w:tcPr>
          <w:p>
            <w:pPr>
              <w:jc w:val="center"/>
            </w:pPr>
            <w:r/>
            <w:r>
              <w:rPr>
                <w:rFonts w:ascii="微软雅黑" w:hAnsi="微软雅黑"/>
                <w:sz w:val="15"/>
              </w:rPr>
              <w:t>神经网络</w:t>
            </w:r>
          </w:p>
        </w:tc>
        <w:tc>
          <w:tcPr>
            <w:tcW w:type="dxa" w:w="1417"/>
          </w:tcPr>
          <w:p>
            <w:pPr>
              <w:jc w:val="center"/>
            </w:pPr>
            <w:r/>
            <w:r>
              <w:rPr>
                <w:rFonts w:ascii="微软雅黑" w:hAnsi="微软雅黑"/>
                <w:sz w:val="15"/>
              </w:rPr>
              <w:t>FedAvg CNN/MLP</w:t>
            </w:r>
          </w:p>
        </w:tc>
        <w:tc>
          <w:tcPr>
            <w:tcW w:type="dxa" w:w="850"/>
          </w:tcPr>
          <w:p>
            <w:pPr>
              <w:jc w:val="center"/>
            </w:pPr>
            <w:r/>
            <w:r>
              <w:rPr>
                <w:rFonts w:ascii="微软雅黑" w:hAnsi="微软雅黑"/>
                <w:sz w:val="15"/>
              </w:rPr>
              <w:t>横向</w:t>
            </w:r>
          </w:p>
        </w:tc>
        <w:tc>
          <w:tcPr>
            <w:tcW w:type="dxa" w:w="850"/>
          </w:tcPr>
          <w:p>
            <w:pPr>
              <w:jc w:val="center"/>
            </w:pPr>
            <w:r/>
            <w:r>
              <w:rPr>
                <w:rFonts w:ascii="微软雅黑" w:hAnsi="微软雅黑"/>
                <w:sz w:val="15"/>
              </w:rPr>
              <w:t>✓</w:t>
            </w:r>
          </w:p>
        </w:tc>
        <w:tc>
          <w:tcPr>
            <w:tcW w:type="dxa" w:w="850"/>
          </w:tcPr>
          <w:p>
            <w:pPr>
              <w:jc w:val="center"/>
            </w:pPr>
            <w:r/>
            <w:r>
              <w:rPr>
                <w:rFonts w:ascii="微软雅黑" w:hAnsi="微软雅黑"/>
                <w:sz w:val="15"/>
              </w:rPr>
              <w:t>--</w:t>
            </w:r>
          </w:p>
        </w:tc>
        <w:tc>
          <w:tcPr>
            <w:tcW w:type="dxa" w:w="1417"/>
          </w:tcPr>
          <w:p>
            <w:pPr>
              <w:jc w:val="center"/>
            </w:pPr>
            <w:r/>
            <w:r>
              <w:rPr>
                <w:rFonts w:ascii="微软雅黑" w:hAnsi="微软雅黑"/>
                <w:sz w:val="15"/>
              </w:rPr>
              <w:t>新能源功率预测</w:t>
            </w:r>
          </w:p>
        </w:tc>
      </w:tr>
      <w:tr>
        <w:tc>
          <w:tcPr>
            <w:tcW w:type="dxa" w:w="850"/>
            <w:shd w:fill="F0F4FA"/>
          </w:tcPr>
          <w:p>
            <w:pPr>
              <w:jc w:val="center"/>
            </w:pPr>
            <w:r/>
            <w:r>
              <w:rPr>
                <w:rFonts w:ascii="微软雅黑" w:hAnsi="微软雅黑"/>
                <w:sz w:val="15"/>
              </w:rPr>
              <w:t>深度学习</w:t>
            </w:r>
          </w:p>
        </w:tc>
        <w:tc>
          <w:tcPr>
            <w:tcW w:type="dxa" w:w="1417"/>
            <w:shd w:fill="F0F4FA"/>
          </w:tcPr>
          <w:p>
            <w:pPr>
              <w:jc w:val="center"/>
            </w:pPr>
            <w:r/>
            <w:r>
              <w:rPr>
                <w:rFonts w:ascii="微软雅黑" w:hAnsi="微软雅黑"/>
                <w:sz w:val="15"/>
              </w:rPr>
              <w:t>FedProx LSTM</w:t>
            </w:r>
          </w:p>
        </w:tc>
        <w:tc>
          <w:tcPr>
            <w:tcW w:type="dxa" w:w="850"/>
            <w:shd w:fill="F0F4FA"/>
          </w:tcPr>
          <w:p>
            <w:pPr>
              <w:jc w:val="center"/>
            </w:pPr>
            <w:r/>
            <w:r>
              <w:rPr>
                <w:rFonts w:ascii="微软雅黑" w:hAnsi="微软雅黑"/>
                <w:sz w:val="15"/>
              </w:rPr>
              <w:t>横向</w:t>
            </w:r>
          </w:p>
        </w:tc>
        <w:tc>
          <w:tcPr>
            <w:tcW w:type="dxa" w:w="850"/>
            <w:shd w:fill="F0F4FA"/>
          </w:tcPr>
          <w:p>
            <w:pPr>
              <w:jc w:val="center"/>
            </w:pPr>
            <w:r/>
            <w:r>
              <w:rPr>
                <w:rFonts w:ascii="微软雅黑" w:hAnsi="微软雅黑"/>
                <w:sz w:val="15"/>
              </w:rPr>
              <w:t>✓</w:t>
            </w:r>
          </w:p>
        </w:tc>
        <w:tc>
          <w:tcPr>
            <w:tcW w:type="dxa" w:w="850"/>
            <w:shd w:fill="F0F4FA"/>
          </w:tcPr>
          <w:p>
            <w:pPr>
              <w:jc w:val="center"/>
            </w:pPr>
            <w:r/>
            <w:r>
              <w:rPr>
                <w:rFonts w:ascii="微软雅黑" w:hAnsi="微软雅黑"/>
                <w:sz w:val="15"/>
              </w:rPr>
              <w:t>--</w:t>
            </w:r>
          </w:p>
        </w:tc>
        <w:tc>
          <w:tcPr>
            <w:tcW w:type="dxa" w:w="1417"/>
            <w:shd w:fill="F0F4FA"/>
          </w:tcPr>
          <w:p>
            <w:pPr>
              <w:jc w:val="center"/>
            </w:pPr>
            <w:r/>
            <w:r>
              <w:rPr>
                <w:rFonts w:ascii="微软雅黑" w:hAnsi="微软雅黑"/>
                <w:sz w:val="15"/>
              </w:rPr>
              <w:t>时序负荷预测</w:t>
            </w:r>
          </w:p>
        </w:tc>
      </w:tr>
      <w:tr>
        <w:tc>
          <w:tcPr>
            <w:tcW w:type="dxa" w:w="850"/>
          </w:tcPr>
          <w:p>
            <w:pPr>
              <w:jc w:val="center"/>
            </w:pPr>
            <w:r/>
            <w:r>
              <w:rPr>
                <w:rFonts w:ascii="微软雅黑" w:hAnsi="微软雅黑"/>
                <w:sz w:val="15"/>
              </w:rPr>
              <w:t>推荐系统</w:t>
            </w:r>
          </w:p>
        </w:tc>
        <w:tc>
          <w:tcPr>
            <w:tcW w:type="dxa" w:w="1417"/>
          </w:tcPr>
          <w:p>
            <w:pPr>
              <w:jc w:val="center"/>
            </w:pPr>
            <w:r/>
            <w:r>
              <w:rPr>
                <w:rFonts w:ascii="微软雅黑" w:hAnsi="微软雅黑"/>
                <w:sz w:val="15"/>
              </w:rPr>
              <w:t>联邦矩阵分解</w:t>
            </w:r>
          </w:p>
        </w:tc>
        <w:tc>
          <w:tcPr>
            <w:tcW w:type="dxa" w:w="850"/>
          </w:tcPr>
          <w:p>
            <w:pPr>
              <w:jc w:val="center"/>
            </w:pPr>
            <w:r/>
            <w:r>
              <w:rPr>
                <w:rFonts w:ascii="微软雅黑" w:hAnsi="微软雅黑"/>
                <w:sz w:val="15"/>
              </w:rPr>
              <w:t>横向</w:t>
            </w:r>
          </w:p>
        </w:tc>
        <w:tc>
          <w:tcPr>
            <w:tcW w:type="dxa" w:w="850"/>
          </w:tcPr>
          <w:p>
            <w:pPr>
              <w:jc w:val="center"/>
            </w:pPr>
            <w:r/>
            <w:r>
              <w:rPr>
                <w:rFonts w:ascii="微软雅黑" w:hAnsi="微软雅黑"/>
                <w:sz w:val="15"/>
              </w:rPr>
              <w:t>✓</w:t>
            </w:r>
          </w:p>
        </w:tc>
        <w:tc>
          <w:tcPr>
            <w:tcW w:type="dxa" w:w="850"/>
          </w:tcPr>
          <w:p>
            <w:pPr>
              <w:jc w:val="center"/>
            </w:pPr>
            <w:r/>
            <w:r>
              <w:rPr>
                <w:rFonts w:ascii="微软雅黑" w:hAnsi="微软雅黑"/>
                <w:sz w:val="15"/>
              </w:rPr>
              <w:t>--</w:t>
            </w:r>
          </w:p>
        </w:tc>
        <w:tc>
          <w:tcPr>
            <w:tcW w:type="dxa" w:w="1417"/>
          </w:tcPr>
          <w:p>
            <w:pPr>
              <w:jc w:val="center"/>
            </w:pPr>
            <w:r/>
            <w:r>
              <w:rPr>
                <w:rFonts w:ascii="微软雅黑" w:hAnsi="微软雅黑"/>
                <w:sz w:val="15"/>
              </w:rPr>
              <w:t>数据产品推荐</w:t>
            </w:r>
          </w:p>
        </w:tc>
      </w:tr>
    </w:tbl>
    <w:p/>
    <w:p>
      <w:pPr>
        <w:pStyle w:val="Heading2"/>
      </w:pPr>
      <w:r>
        <w:rPr>
          <w:rFonts w:ascii="微软雅黑" w:hAnsi="微软雅黑" w:eastAsia="微软雅黑"/>
        </w:rPr>
        <w:t>4.3  区块链存证与智能合约体系</w:t>
      </w:r>
    </w:p>
    <w:p>
      <w:pPr>
        <w:spacing w:line="360" w:lineRule="auto" w:after="120"/>
        <w:ind w:firstLine="420"/>
      </w:pPr>
      <w:r>
        <w:rPr>
          <w:rFonts w:ascii="微软雅黑" w:hAnsi="微软雅黑" w:eastAsia="微软雅黑"/>
          <w:b w:val="0"/>
          <w:sz w:val="21"/>
        </w:rPr>
        <w:t>区块链模块作为能源可信数据空间的信任锚点，提供了数据存证的不可篡改性和智能合约的自动执行能力。本项目的区块链技术创新体现在以下几个方面：</w:t>
      </w:r>
    </w:p>
    <w:p>
      <w:pPr>
        <w:spacing w:line="360" w:lineRule="auto" w:after="120"/>
        <w:ind w:firstLine="420"/>
      </w:pPr>
      <w:r>
        <w:rPr>
          <w:rFonts w:ascii="微软雅黑" w:hAnsi="微软雅黑" w:eastAsia="微软雅黑"/>
          <w:b w:val="0"/>
          <w:sz w:val="21"/>
        </w:rPr>
        <w:t>（1）分层存证架构。针对区块链存储成本高、吞吐量有限的问题，设计了"链上哈希+链下存储"的分层存证架构。数据资产的完整内容和元数据存储在PostgreSQL数据库中，仅将数据哈希值（SHA-256）和关键元数据摘要上链存证。同时采用Merkle树聚合批量存证请求，将多个存证事件聚合为一笔区块链交易，降低交易费用。</w:t>
      </w:r>
    </w:p>
    <w:p>
      <w:pPr>
        <w:spacing w:line="360" w:lineRule="auto" w:after="120"/>
        <w:ind w:firstLine="420"/>
      </w:pPr>
      <w:r>
        <w:rPr>
          <w:rFonts w:ascii="微软雅黑" w:hAnsi="微软雅黑" w:eastAsia="微软雅黑"/>
          <w:b w:val="0"/>
          <w:sz w:val="21"/>
        </w:rPr>
        <w:t>（2）智能合约体系。项目设计了完整的智能合约生态系统，包括数据资产注册合约（AssetRegistry）、数据交易合约（DataTrade）、授权管理合约（AuthorizationManager）、收益分配合约（RevenueDistributor）和身份注册合约（IdentityRegistry）。合约采用模块化设计，支持代理升级模式（Proxy Pattern），可在不丢失状态的情况下升级合约逻辑。</w:t>
      </w:r>
    </w:p>
    <w:p>
      <w:pPr>
        <w:spacing w:line="360" w:lineRule="auto" w:after="120"/>
        <w:ind w:firstLine="420"/>
      </w:pPr>
      <w:r>
        <w:rPr>
          <w:rFonts w:ascii="微软雅黑" w:hAnsi="微软雅黑" w:eastAsia="微软雅黑"/>
          <w:b w:val="0"/>
          <w:sz w:val="21"/>
        </w:rPr>
        <w:t>（3）数据NFT铸造。基于ERC-721标准扩展的数据NFT合约，将数据资产铸造为具有唯一标识和可追溯所有权记录的数字资产。NFT元数据包含数据资产的描述信息、授权条款、定价信息和使用历史，符合EIP-721元数据扩展标准。</w:t>
      </w:r>
    </w:p>
    <w:p>
      <w:pPr>
        <w:spacing w:line="360" w:lineRule="auto" w:after="120"/>
        <w:ind w:firstLine="420"/>
      </w:pPr>
      <w:r>
        <w:rPr>
          <w:rFonts w:ascii="微软雅黑" w:hAnsi="微软雅黑" w:eastAsia="微软雅黑"/>
          <w:b w:val="0"/>
          <w:sz w:val="21"/>
        </w:rPr>
        <w:t>（4）多链适配。系统设计了区块链抽象层（Blockchain Abstraction Layer），通过适配器模式支持多种底层链平台的接入，包括以太坊（Ethereum）、Hyperledger Fabric、FISCO BCOS（国产联盟链）和长安链（ChainMaker）。抽象层提供了统一的接口（sendTransaction、callContract、getReceipt、subscribeEvent），上层业务代码无需关心底层链的具体实现。</w:t>
      </w:r>
    </w:p>
    <w:p>
      <w:pPr>
        <w:spacing w:line="360" w:lineRule="auto" w:after="120"/>
        <w:jc w:val="center"/>
      </w:pPr>
      <w:r>
        <w:rPr>
          <w:rFonts w:ascii="微软雅黑" w:hAnsi="微软雅黑" w:eastAsia="微软雅黑"/>
          <w:b/>
          <w:sz w:val="18"/>
        </w:rPr>
        <w:t>表4-3  智能合约清单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417"/>
            <w:shd w:fill="1A3C6D"/>
          </w:tcPr>
          <w:p>
            <w:pPr>
              <w:jc w:val="center"/>
            </w:pPr>
            <w:r/>
            <w:r>
              <w:rPr>
                <w:rFonts w:ascii="微软雅黑" w:hAnsi="微软雅黑"/>
                <w:b/>
                <w:color w:val="FFFFFF"/>
                <w:sz w:val="16"/>
              </w:rPr>
              <w:t>合约名称</w:t>
            </w:r>
          </w:p>
        </w:tc>
        <w:tc>
          <w:tcPr>
            <w:tcW w:type="dxa" w:w="1701"/>
            <w:shd w:fill="1A3C6D"/>
          </w:tcPr>
          <w:p>
            <w:pPr>
              <w:jc w:val="center"/>
            </w:pPr>
            <w:r/>
            <w:r>
              <w:rPr>
                <w:rFonts w:ascii="微软雅黑" w:hAnsi="微软雅黑"/>
                <w:b/>
                <w:color w:val="FFFFFF"/>
                <w:sz w:val="16"/>
              </w:rPr>
              <w:t>主要功能</w:t>
            </w:r>
          </w:p>
        </w:tc>
        <w:tc>
          <w:tcPr>
            <w:tcW w:type="dxa" w:w="2268"/>
            <w:shd w:fill="1A3C6D"/>
          </w:tcPr>
          <w:p>
            <w:pPr>
              <w:jc w:val="center"/>
            </w:pPr>
            <w:r/>
            <w:r>
              <w:rPr>
                <w:rFonts w:ascii="微软雅黑" w:hAnsi="微软雅黑"/>
                <w:b/>
                <w:color w:val="FFFFFF"/>
                <w:sz w:val="16"/>
              </w:rPr>
              <w:t>关键方法</w:t>
            </w:r>
          </w:p>
        </w:tc>
        <w:tc>
          <w:tcPr>
            <w:tcW w:type="dxa" w:w="850"/>
            <w:shd w:fill="1A3C6D"/>
          </w:tcPr>
          <w:p>
            <w:pPr>
              <w:jc w:val="center"/>
            </w:pPr>
            <w:r/>
            <w:r>
              <w:rPr>
                <w:rFonts w:ascii="微软雅黑" w:hAnsi="微软雅黑"/>
                <w:b/>
                <w:color w:val="FFFFFF"/>
                <w:sz w:val="16"/>
              </w:rPr>
              <w:t>接口数量</w:t>
            </w:r>
          </w:p>
        </w:tc>
        <w:tc>
          <w:tcPr>
            <w:tcW w:type="dxa" w:w="850"/>
            <w:shd w:fill="1A3C6D"/>
          </w:tcPr>
          <w:p>
            <w:pPr>
              <w:jc w:val="center"/>
            </w:pPr>
            <w:r/>
            <w:r>
              <w:rPr>
                <w:rFonts w:ascii="微软雅黑" w:hAnsi="微软雅黑"/>
                <w:b/>
                <w:color w:val="FFFFFF"/>
                <w:sz w:val="16"/>
              </w:rPr>
              <w:t>代码行数</w:t>
            </w:r>
          </w:p>
        </w:tc>
      </w:tr>
      <w:tr>
        <w:tc>
          <w:tcPr>
            <w:tcW w:type="dxa" w:w="1417"/>
          </w:tcPr>
          <w:p>
            <w:pPr>
              <w:jc w:val="center"/>
            </w:pPr>
            <w:r/>
            <w:r>
              <w:rPr>
                <w:rFonts w:ascii="微软雅黑" w:hAnsi="微软雅黑"/>
                <w:sz w:val="15"/>
              </w:rPr>
              <w:t>AssetRegistry</w:t>
            </w:r>
          </w:p>
        </w:tc>
        <w:tc>
          <w:tcPr>
            <w:tcW w:type="dxa" w:w="1701"/>
          </w:tcPr>
          <w:p>
            <w:pPr>
              <w:jc w:val="center"/>
            </w:pPr>
            <w:r/>
            <w:r>
              <w:rPr>
                <w:rFonts w:ascii="微软雅黑" w:hAnsi="微软雅黑"/>
                <w:sz w:val="15"/>
              </w:rPr>
              <w:t>数据资产注册、更新、注销</w:t>
            </w:r>
          </w:p>
        </w:tc>
        <w:tc>
          <w:tcPr>
            <w:tcW w:type="dxa" w:w="2268"/>
          </w:tcPr>
          <w:p>
            <w:pPr>
              <w:jc w:val="center"/>
            </w:pPr>
            <w:r/>
            <w:r>
              <w:rPr>
                <w:rFonts w:ascii="微软雅黑" w:hAnsi="微软雅黑"/>
                <w:sz w:val="15"/>
              </w:rPr>
              <w:t>register(), update(), revoke(), getAsset()</w:t>
            </w:r>
          </w:p>
        </w:tc>
        <w:tc>
          <w:tcPr>
            <w:tcW w:type="dxa" w:w="850"/>
          </w:tcPr>
          <w:p>
            <w:pPr>
              <w:jc w:val="center"/>
            </w:pPr>
            <w:r/>
            <w:r>
              <w:rPr>
                <w:rFonts w:ascii="微软雅黑" w:hAnsi="微软雅黑"/>
                <w:sz w:val="15"/>
              </w:rPr>
              <w:t>8</w:t>
            </w:r>
          </w:p>
        </w:tc>
        <w:tc>
          <w:tcPr>
            <w:tcW w:type="dxa" w:w="850"/>
          </w:tcPr>
          <w:p>
            <w:pPr>
              <w:jc w:val="center"/>
            </w:pPr>
            <w:r/>
            <w:r>
              <w:rPr>
                <w:rFonts w:ascii="微软雅黑" w:hAnsi="微软雅黑"/>
                <w:sz w:val="15"/>
              </w:rPr>
              <w:t>~350行</w:t>
            </w:r>
          </w:p>
        </w:tc>
      </w:tr>
      <w:tr>
        <w:tc>
          <w:tcPr>
            <w:tcW w:type="dxa" w:w="1417"/>
            <w:shd w:fill="F0F4FA"/>
          </w:tcPr>
          <w:p>
            <w:pPr>
              <w:jc w:val="center"/>
            </w:pPr>
            <w:r/>
            <w:r>
              <w:rPr>
                <w:rFonts w:ascii="微软雅黑" w:hAnsi="微软雅黑"/>
                <w:sz w:val="15"/>
              </w:rPr>
              <w:t>DataTrade</w:t>
            </w:r>
          </w:p>
        </w:tc>
        <w:tc>
          <w:tcPr>
            <w:tcW w:type="dxa" w:w="1701"/>
            <w:shd w:fill="F0F4FA"/>
          </w:tcPr>
          <w:p>
            <w:pPr>
              <w:jc w:val="center"/>
            </w:pPr>
            <w:r/>
            <w:r>
              <w:rPr>
                <w:rFonts w:ascii="微软雅黑" w:hAnsi="微软雅黑"/>
                <w:sz w:val="15"/>
              </w:rPr>
              <w:t>数据产品上架/下架、购买、订阅</w:t>
            </w:r>
          </w:p>
        </w:tc>
        <w:tc>
          <w:tcPr>
            <w:tcW w:type="dxa" w:w="2268"/>
            <w:shd w:fill="F0F4FA"/>
          </w:tcPr>
          <w:p>
            <w:pPr>
              <w:jc w:val="center"/>
            </w:pPr>
            <w:r/>
            <w:r>
              <w:rPr>
                <w:rFonts w:ascii="微软雅黑" w:hAnsi="微软雅黑"/>
                <w:sz w:val="15"/>
              </w:rPr>
              <w:t>list(), purchase(), subscribe(), settle()</w:t>
            </w:r>
          </w:p>
        </w:tc>
        <w:tc>
          <w:tcPr>
            <w:tcW w:type="dxa" w:w="850"/>
            <w:shd w:fill="F0F4FA"/>
          </w:tcPr>
          <w:p>
            <w:pPr>
              <w:jc w:val="center"/>
            </w:pPr>
            <w:r/>
            <w:r>
              <w:rPr>
                <w:rFonts w:ascii="微软雅黑" w:hAnsi="微软雅黑"/>
                <w:sz w:val="15"/>
              </w:rPr>
              <w:t>12</w:t>
            </w:r>
          </w:p>
        </w:tc>
        <w:tc>
          <w:tcPr>
            <w:tcW w:type="dxa" w:w="850"/>
            <w:shd w:fill="F0F4FA"/>
          </w:tcPr>
          <w:p>
            <w:pPr>
              <w:jc w:val="center"/>
            </w:pPr>
            <w:r/>
            <w:r>
              <w:rPr>
                <w:rFonts w:ascii="微软雅黑" w:hAnsi="微软雅黑"/>
                <w:sz w:val="15"/>
              </w:rPr>
              <w:t>~480行</w:t>
            </w:r>
          </w:p>
        </w:tc>
      </w:tr>
      <w:tr>
        <w:tc>
          <w:tcPr>
            <w:tcW w:type="dxa" w:w="1417"/>
          </w:tcPr>
          <w:p>
            <w:pPr>
              <w:jc w:val="center"/>
            </w:pPr>
            <w:r/>
            <w:r>
              <w:rPr>
                <w:rFonts w:ascii="微软雅黑" w:hAnsi="微软雅黑"/>
                <w:sz w:val="15"/>
              </w:rPr>
              <w:t>AuthorizationManager</w:t>
            </w:r>
          </w:p>
        </w:tc>
        <w:tc>
          <w:tcPr>
            <w:tcW w:type="dxa" w:w="1701"/>
          </w:tcPr>
          <w:p>
            <w:pPr>
              <w:jc w:val="center"/>
            </w:pPr>
            <w:r/>
            <w:r>
              <w:rPr>
                <w:rFonts w:ascii="微软雅黑" w:hAnsi="微软雅黑"/>
                <w:sz w:val="15"/>
              </w:rPr>
              <w:t>授权策略管理、权限验证</w:t>
            </w:r>
          </w:p>
        </w:tc>
        <w:tc>
          <w:tcPr>
            <w:tcW w:type="dxa" w:w="2268"/>
          </w:tcPr>
          <w:p>
            <w:pPr>
              <w:jc w:val="center"/>
            </w:pPr>
            <w:r/>
            <w:r>
              <w:rPr>
                <w:rFonts w:ascii="微软雅黑" w:hAnsi="微软雅黑"/>
                <w:sz w:val="15"/>
              </w:rPr>
              <w:t>grant(), revoke(), checkPermission()</w:t>
            </w:r>
          </w:p>
        </w:tc>
        <w:tc>
          <w:tcPr>
            <w:tcW w:type="dxa" w:w="850"/>
          </w:tcPr>
          <w:p>
            <w:pPr>
              <w:jc w:val="center"/>
            </w:pPr>
            <w:r/>
            <w:r>
              <w:rPr>
                <w:rFonts w:ascii="微软雅黑" w:hAnsi="微软雅黑"/>
                <w:sz w:val="15"/>
              </w:rPr>
              <w:t>10</w:t>
            </w:r>
          </w:p>
        </w:tc>
        <w:tc>
          <w:tcPr>
            <w:tcW w:type="dxa" w:w="850"/>
          </w:tcPr>
          <w:p>
            <w:pPr>
              <w:jc w:val="center"/>
            </w:pPr>
            <w:r/>
            <w:r>
              <w:rPr>
                <w:rFonts w:ascii="微软雅黑" w:hAnsi="微软雅黑"/>
                <w:sz w:val="15"/>
              </w:rPr>
              <w:t>~400行</w:t>
            </w:r>
          </w:p>
        </w:tc>
      </w:tr>
      <w:tr>
        <w:tc>
          <w:tcPr>
            <w:tcW w:type="dxa" w:w="1417"/>
            <w:shd w:fill="F0F4FA"/>
          </w:tcPr>
          <w:p>
            <w:pPr>
              <w:jc w:val="center"/>
            </w:pPr>
            <w:r/>
            <w:r>
              <w:rPr>
                <w:rFonts w:ascii="微软雅黑" w:hAnsi="微软雅黑"/>
                <w:sz w:val="15"/>
              </w:rPr>
              <w:t>RevenueDistributor</w:t>
            </w:r>
          </w:p>
        </w:tc>
        <w:tc>
          <w:tcPr>
            <w:tcW w:type="dxa" w:w="1701"/>
            <w:shd w:fill="F0F4FA"/>
          </w:tcPr>
          <w:p>
            <w:pPr>
              <w:jc w:val="center"/>
            </w:pPr>
            <w:r/>
            <w:r>
              <w:rPr>
                <w:rFonts w:ascii="微软雅黑" w:hAnsi="微软雅黑"/>
                <w:sz w:val="15"/>
              </w:rPr>
              <w:t>收益计算和自动分配</w:t>
            </w:r>
          </w:p>
        </w:tc>
        <w:tc>
          <w:tcPr>
            <w:tcW w:type="dxa" w:w="2268"/>
            <w:shd w:fill="F0F4FA"/>
          </w:tcPr>
          <w:p>
            <w:pPr>
              <w:jc w:val="center"/>
            </w:pPr>
            <w:r/>
            <w:r>
              <w:rPr>
                <w:rFonts w:ascii="微软雅黑" w:hAnsi="微软雅黑"/>
                <w:sz w:val="15"/>
              </w:rPr>
              <w:t>calculateShare(), distribute(), withdraw()</w:t>
            </w:r>
          </w:p>
        </w:tc>
        <w:tc>
          <w:tcPr>
            <w:tcW w:type="dxa" w:w="850"/>
            <w:shd w:fill="F0F4FA"/>
          </w:tcPr>
          <w:p>
            <w:pPr>
              <w:jc w:val="center"/>
            </w:pPr>
            <w:r/>
            <w:r>
              <w:rPr>
                <w:rFonts w:ascii="微软雅黑" w:hAnsi="微软雅黑"/>
                <w:sz w:val="15"/>
              </w:rPr>
              <w:t>8</w:t>
            </w:r>
          </w:p>
        </w:tc>
        <w:tc>
          <w:tcPr>
            <w:tcW w:type="dxa" w:w="850"/>
            <w:shd w:fill="F0F4FA"/>
          </w:tcPr>
          <w:p>
            <w:pPr>
              <w:jc w:val="center"/>
            </w:pPr>
            <w:r/>
            <w:r>
              <w:rPr>
                <w:rFonts w:ascii="微软雅黑" w:hAnsi="微软雅黑"/>
                <w:sz w:val="15"/>
              </w:rPr>
              <w:t>~320行</w:t>
            </w:r>
          </w:p>
        </w:tc>
      </w:tr>
      <w:tr>
        <w:tc>
          <w:tcPr>
            <w:tcW w:type="dxa" w:w="1417"/>
          </w:tcPr>
          <w:p>
            <w:pPr>
              <w:jc w:val="center"/>
            </w:pPr>
            <w:r/>
            <w:r>
              <w:rPr>
                <w:rFonts w:ascii="微软雅黑" w:hAnsi="微软雅黑"/>
                <w:sz w:val="15"/>
              </w:rPr>
              <w:t>IdentityRegistry</w:t>
            </w:r>
          </w:p>
        </w:tc>
        <w:tc>
          <w:tcPr>
            <w:tcW w:type="dxa" w:w="1701"/>
          </w:tcPr>
          <w:p>
            <w:pPr>
              <w:jc w:val="center"/>
            </w:pPr>
            <w:r/>
            <w:r>
              <w:rPr>
                <w:rFonts w:ascii="微软雅黑" w:hAnsi="微软雅黑"/>
                <w:sz w:val="15"/>
              </w:rPr>
              <w:t>DID身份注册、公钥管理</w:t>
            </w:r>
          </w:p>
        </w:tc>
        <w:tc>
          <w:tcPr>
            <w:tcW w:type="dxa" w:w="2268"/>
          </w:tcPr>
          <w:p>
            <w:pPr>
              <w:jc w:val="center"/>
            </w:pPr>
            <w:r/>
            <w:r>
              <w:rPr>
                <w:rFonts w:ascii="微软雅黑" w:hAnsi="微软雅黑"/>
                <w:sz w:val="15"/>
              </w:rPr>
              <w:t>registerDID(), rotateKey(), resolveDID()</w:t>
            </w:r>
          </w:p>
        </w:tc>
        <w:tc>
          <w:tcPr>
            <w:tcW w:type="dxa" w:w="850"/>
          </w:tcPr>
          <w:p>
            <w:pPr>
              <w:jc w:val="center"/>
            </w:pPr>
            <w:r/>
            <w:r>
              <w:rPr>
                <w:rFonts w:ascii="微软雅黑" w:hAnsi="微软雅黑"/>
                <w:sz w:val="15"/>
              </w:rPr>
              <w:t>10</w:t>
            </w:r>
          </w:p>
        </w:tc>
        <w:tc>
          <w:tcPr>
            <w:tcW w:type="dxa" w:w="850"/>
          </w:tcPr>
          <w:p>
            <w:pPr>
              <w:jc w:val="center"/>
            </w:pPr>
            <w:r/>
            <w:r>
              <w:rPr>
                <w:rFonts w:ascii="微软雅黑" w:hAnsi="微软雅黑"/>
                <w:sz w:val="15"/>
              </w:rPr>
              <w:t>~380行</w:t>
            </w:r>
          </w:p>
        </w:tc>
      </w:tr>
      <w:tr>
        <w:tc>
          <w:tcPr>
            <w:tcW w:type="dxa" w:w="1417"/>
            <w:shd w:fill="F0F4FA"/>
          </w:tcPr>
          <w:p>
            <w:pPr>
              <w:jc w:val="center"/>
            </w:pPr>
            <w:r/>
            <w:r>
              <w:rPr>
                <w:rFonts w:ascii="微软雅黑" w:hAnsi="微软雅黑"/>
                <w:sz w:val="15"/>
              </w:rPr>
              <w:t>NFTFactory</w:t>
            </w:r>
          </w:p>
        </w:tc>
        <w:tc>
          <w:tcPr>
            <w:tcW w:type="dxa" w:w="1701"/>
            <w:shd w:fill="F0F4FA"/>
          </w:tcPr>
          <w:p>
            <w:pPr>
              <w:jc w:val="center"/>
            </w:pPr>
            <w:r/>
            <w:r>
              <w:rPr>
                <w:rFonts w:ascii="微软雅黑" w:hAnsi="微软雅黑"/>
                <w:sz w:val="15"/>
              </w:rPr>
              <w:t>数据资产铸造为NFT</w:t>
            </w:r>
          </w:p>
        </w:tc>
        <w:tc>
          <w:tcPr>
            <w:tcW w:type="dxa" w:w="2268"/>
            <w:shd w:fill="F0F4FA"/>
          </w:tcPr>
          <w:p>
            <w:pPr>
              <w:jc w:val="center"/>
            </w:pPr>
            <w:r/>
            <w:r>
              <w:rPr>
                <w:rFonts w:ascii="微软雅黑" w:hAnsi="微软雅黑"/>
                <w:sz w:val="15"/>
              </w:rPr>
              <w:t>mint(), transfer(), burn(), tokenURI()</w:t>
            </w:r>
          </w:p>
        </w:tc>
        <w:tc>
          <w:tcPr>
            <w:tcW w:type="dxa" w:w="850"/>
            <w:shd w:fill="F0F4FA"/>
          </w:tcPr>
          <w:p>
            <w:pPr>
              <w:jc w:val="center"/>
            </w:pPr>
            <w:r/>
            <w:r>
              <w:rPr>
                <w:rFonts w:ascii="微软雅黑" w:hAnsi="微软雅黑"/>
                <w:sz w:val="15"/>
              </w:rPr>
              <w:t>8</w:t>
            </w:r>
          </w:p>
        </w:tc>
        <w:tc>
          <w:tcPr>
            <w:tcW w:type="dxa" w:w="850"/>
            <w:shd w:fill="F0F4FA"/>
          </w:tcPr>
          <w:p>
            <w:pPr>
              <w:jc w:val="center"/>
            </w:pPr>
            <w:r/>
            <w:r>
              <w:rPr>
                <w:rFonts w:ascii="微软雅黑" w:hAnsi="微软雅黑"/>
                <w:sz w:val="15"/>
              </w:rPr>
              <w:t>~300行</w:t>
            </w:r>
          </w:p>
        </w:tc>
      </w:tr>
    </w:tbl>
    <w:p/>
    <w:p>
      <w:pPr>
        <w:pStyle w:val="Heading2"/>
      </w:pPr>
      <w:r>
        <w:rPr>
          <w:rFonts w:ascii="微软雅黑" w:hAnsi="微软雅黑" w:eastAsia="微软雅黑"/>
        </w:rPr>
        <w:t>4.4  分布式数字身份与可验证凭证</w:t>
      </w:r>
    </w:p>
    <w:p>
      <w:pPr>
        <w:spacing w:line="360" w:lineRule="auto" w:after="120"/>
        <w:ind w:firstLine="420"/>
      </w:pPr>
      <w:r>
        <w:rPr>
          <w:rFonts w:ascii="微软雅黑" w:hAnsi="微软雅黑" w:eastAsia="微软雅黑"/>
          <w:b w:val="0"/>
          <w:sz w:val="21"/>
        </w:rPr>
        <w:t>分布式数字身份（DID）和可验证凭证（VC）体系是能源可信数据空间中跨组织身份互认的技术基础，遵循W3C国际标准，实现了去中心化、自主可控的身份管理方案。</w:t>
      </w:r>
    </w:p>
    <w:p>
      <w:pPr>
        <w:spacing w:line="360" w:lineRule="auto" w:after="120"/>
        <w:ind w:firstLine="420"/>
      </w:pPr>
      <w:r>
        <w:rPr>
          <w:rFonts w:ascii="微软雅黑" w:hAnsi="微软雅黑" w:eastAsia="微软雅黑"/>
          <w:b w:val="0"/>
          <w:sz w:val="21"/>
        </w:rPr>
        <w:t>（1）DID方法实现。系统实现了三种DID方法：did:key——基于Ed25519密钥对的轻量级DID方法，适用于简单场景；did:web——基于域名解析的DID方法，适用于有固定域名的企业和组织；did:ethr——基于以太坊区块链的DID方法，利用智能合约管理DID文档，适用于需要最高安全等级的场景。DID文档的CRUD操作与区块链存证中心联动，确保身份信息的不可篡改性。</w:t>
      </w:r>
    </w:p>
    <w:p>
      <w:pPr>
        <w:spacing w:line="360" w:lineRule="auto" w:after="120"/>
        <w:ind w:firstLine="420"/>
      </w:pPr>
      <w:r>
        <w:rPr>
          <w:rFonts w:ascii="微软雅黑" w:hAnsi="微软雅黑" w:eastAsia="微软雅黑"/>
          <w:b w:val="0"/>
          <w:sz w:val="21"/>
        </w:rPr>
        <w:t>（2）VC类型与生命周期。系统定义了多种VC类型：IdentityCredential（身份凭证，证明持有者的组织身份和角色）、DataAccessCredential（数据访问凭证，证明持有者对特定数据资产的访问权限）、ComputeCredential（计算凭证，授权持有者使用特定计算资源）、ComplianceCredential（合规凭证，证明数据产品通过了合规审查）。VC的完整生命周期包括：Issuer签发→ Holder存储→ Holder出示→ Verifier验证→ Issuer撤销。</w:t>
      </w:r>
    </w:p>
    <w:p>
      <w:pPr>
        <w:spacing w:line="360" w:lineRule="auto" w:after="120"/>
        <w:ind w:firstLine="420"/>
      </w:pPr>
      <w:r>
        <w:rPr>
          <w:rFonts w:ascii="微软雅黑" w:hAnsi="微软雅黑" w:eastAsia="微软雅黑"/>
          <w:b w:val="0"/>
          <w:sz w:val="21"/>
        </w:rPr>
        <w:t>（3）选择性披露与零知识证明。系统在标准VC基础上集成了BBS+签名方案，支持选择性披露。持有者可以在出示VC时仅披露必要属性，而隐藏其他属性。例如，证明自己属于某组织但无需透露具体部门，证明自己拥有某数据访问权限但无需透露具体的权限细节。同时集成Schnorr零知识证明协议，支持"我有权访问数据资产X"这类陈述的零知识证明，而不泄露凭证本身。</w:t>
      </w:r>
    </w:p>
    <w:p>
      <w:pPr>
        <w:spacing w:line="360" w:lineRule="auto" w:after="120"/>
        <w:jc w:val="center"/>
      </w:pPr>
      <w:r>
        <w:rPr>
          <w:rFonts w:ascii="微软雅黑" w:hAnsi="微软雅黑" w:eastAsia="微软雅黑"/>
          <w:b/>
          <w:sz w:val="18"/>
        </w:rPr>
        <w:t>表4-4  DID/VC 关键技术指标</w:t>
      </w:r>
    </w:p>
    <w:tbl>
      <w:tblPr>
        <w:tblStyle w:val="TableGrid"/>
        <w:tblW w:type="auto" w:w="0"/>
        <w:jc w:val="center"/>
        <w:tblLook w:firstColumn="1" w:firstRow="1" w:lastColumn="0" w:lastRow="0" w:noHBand="0" w:noVBand="1" w:val="04A0"/>
      </w:tblPr>
      <w:tblGrid>
        <w:gridCol w:w="2771"/>
        <w:gridCol w:w="2771"/>
        <w:gridCol w:w="2771"/>
      </w:tblGrid>
      <w:tr>
        <w:tc>
          <w:tcPr>
            <w:tcW w:type="dxa" w:w="1417"/>
            <w:shd w:fill="1A3C6D"/>
          </w:tcPr>
          <w:p>
            <w:pPr>
              <w:jc w:val="center"/>
            </w:pPr>
            <w:r/>
            <w:r>
              <w:rPr>
                <w:rFonts w:ascii="微软雅黑" w:hAnsi="微软雅黑"/>
                <w:b/>
                <w:color w:val="FFFFFF"/>
                <w:sz w:val="16"/>
              </w:rPr>
              <w:t>技术指标</w:t>
            </w:r>
          </w:p>
        </w:tc>
        <w:tc>
          <w:tcPr>
            <w:tcW w:type="dxa" w:w="1984"/>
            <w:shd w:fill="1A3C6D"/>
          </w:tcPr>
          <w:p>
            <w:pPr>
              <w:jc w:val="center"/>
            </w:pPr>
            <w:r/>
            <w:r>
              <w:rPr>
                <w:rFonts w:ascii="微软雅黑" w:hAnsi="微软雅黑"/>
                <w:b/>
                <w:color w:val="FFFFFF"/>
                <w:sz w:val="16"/>
              </w:rPr>
              <w:t>参数值</w:t>
            </w:r>
          </w:p>
        </w:tc>
        <w:tc>
          <w:tcPr>
            <w:tcW w:type="dxa" w:w="2551"/>
            <w:shd w:fill="1A3C6D"/>
          </w:tcPr>
          <w:p>
            <w:pPr>
              <w:jc w:val="center"/>
            </w:pPr>
            <w:r/>
            <w:r>
              <w:rPr>
                <w:rFonts w:ascii="微软雅黑" w:hAnsi="微软雅黑"/>
                <w:b/>
                <w:color w:val="FFFFFF"/>
                <w:sz w:val="16"/>
              </w:rPr>
              <w:t>说明</w:t>
            </w:r>
          </w:p>
        </w:tc>
      </w:tr>
      <w:tr>
        <w:tc>
          <w:tcPr>
            <w:tcW w:type="dxa" w:w="1417"/>
          </w:tcPr>
          <w:p>
            <w:pPr>
              <w:jc w:val="center"/>
            </w:pPr>
            <w:r/>
            <w:r>
              <w:rPr>
                <w:rFonts w:ascii="微软雅黑" w:hAnsi="微软雅黑"/>
                <w:sz w:val="15"/>
              </w:rPr>
              <w:t>DID方法</w:t>
            </w:r>
          </w:p>
        </w:tc>
        <w:tc>
          <w:tcPr>
            <w:tcW w:type="dxa" w:w="1984"/>
          </w:tcPr>
          <w:p>
            <w:pPr>
              <w:jc w:val="center"/>
            </w:pPr>
            <w:r/>
            <w:r>
              <w:rPr>
                <w:rFonts w:ascii="微软雅黑" w:hAnsi="微软雅黑"/>
                <w:sz w:val="15"/>
              </w:rPr>
              <w:t>did:key, did:web, did:ethr</w:t>
            </w:r>
          </w:p>
        </w:tc>
        <w:tc>
          <w:tcPr>
            <w:tcW w:type="dxa" w:w="2551"/>
          </w:tcPr>
          <w:p>
            <w:pPr>
              <w:jc w:val="center"/>
            </w:pPr>
            <w:r/>
            <w:r>
              <w:rPr>
                <w:rFonts w:ascii="微软雅黑" w:hAnsi="微软雅黑"/>
                <w:sz w:val="15"/>
              </w:rPr>
              <w:t>三种方法覆盖不同安全等级</w:t>
            </w:r>
          </w:p>
        </w:tc>
      </w:tr>
      <w:tr>
        <w:tc>
          <w:tcPr>
            <w:tcW w:type="dxa" w:w="1417"/>
            <w:shd w:fill="F0F4FA"/>
          </w:tcPr>
          <w:p>
            <w:pPr>
              <w:jc w:val="center"/>
            </w:pPr>
            <w:r/>
            <w:r>
              <w:rPr>
                <w:rFonts w:ascii="微软雅黑" w:hAnsi="微软雅黑"/>
                <w:sz w:val="15"/>
              </w:rPr>
              <w:t>签名算法</w:t>
            </w:r>
          </w:p>
        </w:tc>
        <w:tc>
          <w:tcPr>
            <w:tcW w:type="dxa" w:w="1984"/>
            <w:shd w:fill="F0F4FA"/>
          </w:tcPr>
          <w:p>
            <w:pPr>
              <w:jc w:val="center"/>
            </w:pPr>
            <w:r/>
            <w:r>
              <w:rPr>
                <w:rFonts w:ascii="微软雅黑" w:hAnsi="微软雅黑"/>
                <w:sz w:val="15"/>
              </w:rPr>
              <w:t>Ed25519, ES256K, BBS+</w:t>
            </w:r>
          </w:p>
        </w:tc>
        <w:tc>
          <w:tcPr>
            <w:tcW w:type="dxa" w:w="2551"/>
            <w:shd w:fill="F0F4FA"/>
          </w:tcPr>
          <w:p>
            <w:pPr>
              <w:jc w:val="center"/>
            </w:pPr>
            <w:r/>
            <w:r>
              <w:rPr>
                <w:rFonts w:ascii="微软雅黑" w:hAnsi="微软雅黑"/>
                <w:sz w:val="15"/>
              </w:rPr>
              <w:t>Ed25519用于一般场景，BBS+支持SD</w:t>
            </w:r>
          </w:p>
        </w:tc>
      </w:tr>
      <w:tr>
        <w:tc>
          <w:tcPr>
            <w:tcW w:type="dxa" w:w="1417"/>
          </w:tcPr>
          <w:p>
            <w:pPr>
              <w:jc w:val="center"/>
            </w:pPr>
            <w:r/>
            <w:r>
              <w:rPr>
                <w:rFonts w:ascii="微软雅黑" w:hAnsi="微软雅黑"/>
                <w:sz w:val="15"/>
              </w:rPr>
              <w:t>VC格式</w:t>
            </w:r>
          </w:p>
        </w:tc>
        <w:tc>
          <w:tcPr>
            <w:tcW w:type="dxa" w:w="1984"/>
          </w:tcPr>
          <w:p>
            <w:pPr>
              <w:jc w:val="center"/>
            </w:pPr>
            <w:r/>
            <w:r>
              <w:rPr>
                <w:rFonts w:ascii="微软雅黑" w:hAnsi="微软雅黑"/>
                <w:sz w:val="15"/>
              </w:rPr>
              <w:t>JSON-LD + JWT</w:t>
            </w:r>
          </w:p>
        </w:tc>
        <w:tc>
          <w:tcPr>
            <w:tcW w:type="dxa" w:w="2551"/>
          </w:tcPr>
          <w:p>
            <w:pPr>
              <w:jc w:val="center"/>
            </w:pPr>
            <w:r/>
            <w:r>
              <w:rPr>
                <w:rFonts w:ascii="微软雅黑" w:hAnsi="微软雅黑"/>
                <w:sz w:val="15"/>
              </w:rPr>
              <w:t>两种序列化格式双支持</w:t>
            </w:r>
          </w:p>
        </w:tc>
      </w:tr>
      <w:tr>
        <w:tc>
          <w:tcPr>
            <w:tcW w:type="dxa" w:w="1417"/>
            <w:shd w:fill="F0F4FA"/>
          </w:tcPr>
          <w:p>
            <w:pPr>
              <w:jc w:val="center"/>
            </w:pPr>
            <w:r/>
            <w:r>
              <w:rPr>
                <w:rFonts w:ascii="微软雅黑" w:hAnsi="微软雅黑"/>
                <w:sz w:val="15"/>
              </w:rPr>
              <w:t>凭证状态管理</w:t>
            </w:r>
          </w:p>
        </w:tc>
        <w:tc>
          <w:tcPr>
            <w:tcW w:type="dxa" w:w="1984"/>
            <w:shd w:fill="F0F4FA"/>
          </w:tcPr>
          <w:p>
            <w:pPr>
              <w:jc w:val="center"/>
            </w:pPr>
            <w:r/>
            <w:r>
              <w:rPr>
                <w:rFonts w:ascii="微软雅黑" w:hAnsi="微软雅黑"/>
                <w:sz w:val="15"/>
              </w:rPr>
              <w:t>StatusList2021 + 区块链</w:t>
            </w:r>
          </w:p>
        </w:tc>
        <w:tc>
          <w:tcPr>
            <w:tcW w:type="dxa" w:w="2551"/>
            <w:shd w:fill="F0F4FA"/>
          </w:tcPr>
          <w:p>
            <w:pPr>
              <w:jc w:val="center"/>
            </w:pPr>
            <w:r/>
            <w:r>
              <w:rPr>
                <w:rFonts w:ascii="微软雅黑" w:hAnsi="微软雅黑"/>
                <w:sz w:val="15"/>
              </w:rPr>
              <w:t>标准吊销列表+链上吊销双重保障</w:t>
            </w:r>
          </w:p>
        </w:tc>
      </w:tr>
      <w:tr>
        <w:tc>
          <w:tcPr>
            <w:tcW w:type="dxa" w:w="1417"/>
          </w:tcPr>
          <w:p>
            <w:pPr>
              <w:jc w:val="center"/>
            </w:pPr>
            <w:r/>
            <w:r>
              <w:rPr>
                <w:rFonts w:ascii="微软雅黑" w:hAnsi="微软雅黑"/>
                <w:sz w:val="15"/>
              </w:rPr>
              <w:t>密钥轮换周期</w:t>
            </w:r>
          </w:p>
        </w:tc>
        <w:tc>
          <w:tcPr>
            <w:tcW w:type="dxa" w:w="1984"/>
          </w:tcPr>
          <w:p>
            <w:pPr>
              <w:jc w:val="center"/>
            </w:pPr>
            <w:r/>
            <w:r>
              <w:rPr>
                <w:rFonts w:ascii="微软雅黑" w:hAnsi="微软雅黑"/>
                <w:sz w:val="15"/>
              </w:rPr>
              <w:t>支持自动/手动轮换</w:t>
            </w:r>
          </w:p>
        </w:tc>
        <w:tc>
          <w:tcPr>
            <w:tcW w:type="dxa" w:w="2551"/>
          </w:tcPr>
          <w:p>
            <w:pPr>
              <w:jc w:val="center"/>
            </w:pPr>
            <w:r/>
            <w:r>
              <w:rPr>
                <w:rFonts w:ascii="微软雅黑" w:hAnsi="微软雅黑"/>
                <w:sz w:val="15"/>
              </w:rPr>
              <w:t>默认90天自动轮换</w:t>
            </w:r>
          </w:p>
        </w:tc>
      </w:tr>
      <w:tr>
        <w:tc>
          <w:tcPr>
            <w:tcW w:type="dxa" w:w="1417"/>
            <w:shd w:fill="F0F4FA"/>
          </w:tcPr>
          <w:p>
            <w:pPr>
              <w:jc w:val="center"/>
            </w:pPr>
            <w:r/>
            <w:r>
              <w:rPr>
                <w:rFonts w:ascii="微软雅黑" w:hAnsi="微软雅黑"/>
                <w:sz w:val="15"/>
              </w:rPr>
              <w:t>选择性披露</w:t>
            </w:r>
          </w:p>
        </w:tc>
        <w:tc>
          <w:tcPr>
            <w:tcW w:type="dxa" w:w="1984"/>
            <w:shd w:fill="F0F4FA"/>
          </w:tcPr>
          <w:p>
            <w:pPr>
              <w:jc w:val="center"/>
            </w:pPr>
            <w:r/>
            <w:r>
              <w:rPr>
                <w:rFonts w:ascii="微软雅黑" w:hAnsi="微软雅黑"/>
                <w:sz w:val="15"/>
              </w:rPr>
              <w:t>BBS+签名方案</w:t>
            </w:r>
          </w:p>
        </w:tc>
        <w:tc>
          <w:tcPr>
            <w:tcW w:type="dxa" w:w="2551"/>
            <w:shd w:fill="F0F4FA"/>
          </w:tcPr>
          <w:p>
            <w:pPr>
              <w:jc w:val="center"/>
            </w:pPr>
            <w:r/>
            <w:r>
              <w:rPr>
                <w:rFonts w:ascii="微软雅黑" w:hAnsi="微软雅黑"/>
                <w:sz w:val="15"/>
              </w:rPr>
              <w:t>支持隐藏凭证中部分属性</w:t>
            </w:r>
          </w:p>
        </w:tc>
      </w:tr>
    </w:tbl>
    <w:p/>
    <w:p>
      <w:pPr>
        <w:pStyle w:val="Heading2"/>
      </w:pPr>
      <w:r>
        <w:rPr>
          <w:rFonts w:ascii="微软雅黑" w:hAnsi="微软雅黑" w:eastAsia="微软雅黑"/>
        </w:rPr>
        <w:t>4.5  AI Agent智能体</w:t>
      </w:r>
    </w:p>
    <w:p>
      <w:pPr>
        <w:spacing w:line="360" w:lineRule="auto" w:after="120"/>
        <w:ind w:firstLine="420"/>
      </w:pPr>
      <w:r>
        <w:rPr>
          <w:rFonts w:ascii="微软雅黑" w:hAnsi="微软雅黑" w:eastAsia="微软雅黑"/>
          <w:b w:val="0"/>
          <w:sz w:val="21"/>
        </w:rPr>
        <w:t>AI Agent智能体是能源可信数据空间的智能交互层，利用大语言模型（LLM）技术提供自然语言交互的数据查询、分析和交易辅助能力。本项目的AI Agent技术创新体现在以下几个方面：</w:t>
      </w:r>
    </w:p>
    <w:p>
      <w:pPr>
        <w:spacing w:line="360" w:lineRule="auto" w:after="120"/>
        <w:ind w:firstLine="420"/>
      </w:pPr>
      <w:r>
        <w:rPr>
          <w:rFonts w:ascii="微软雅黑" w:hAnsi="微软雅黑" w:eastAsia="微软雅黑"/>
          <w:b w:val="0"/>
          <w:sz w:val="21"/>
        </w:rPr>
        <w:t>（1）多Agent协作架构。系统设计了四种专业Agent协同工作的架构：查询Agent（Query Agent）负责理解用户的数据查询需求，将其转化为结构化的API调用或SQL查询；交易Agent（Trade Agent）负责分析市场行情，提供交易建议和风险评估；安全Agent（Security Agent）负责安全策略审查和威胁预警；调度Agent（Dispatch Agent）负责计算任务的调度优化和资源分配。四种Agent共享知识库，但各自拥有独立的系统提示词和专业知识领域。</w:t>
      </w:r>
    </w:p>
    <w:p>
      <w:pPr>
        <w:spacing w:line="360" w:lineRule="auto" w:after="120"/>
        <w:ind w:firstLine="420"/>
      </w:pPr>
      <w:r>
        <w:rPr>
          <w:rFonts w:ascii="微软雅黑" w:hAnsi="微软雅黑" w:eastAsia="微软雅黑"/>
          <w:b w:val="0"/>
          <w:sz w:val="21"/>
        </w:rPr>
        <w:t>（2）LLM集成架构。系统采用优先级递减的LLM调用策略：优先使用DeepSeek API进行真实LLM推理；当API不可用时回退到预定义问答库；当预定义库也未命中时，基于关键词匹配提供基础引导。这一架构保证了系统在各种网络条件下的可用性。LLM调用通过AsyncOpenAI客户端进行，支持流式输出（SSE），为用户提供实时感知的交互体验。</w:t>
      </w:r>
    </w:p>
    <w:p>
      <w:pPr>
        <w:spacing w:line="360" w:lineRule="auto" w:after="120"/>
        <w:ind w:firstLine="420"/>
      </w:pPr>
      <w:r>
        <w:rPr>
          <w:rFonts w:ascii="微软雅黑" w:hAnsi="微软雅黑" w:eastAsia="微软雅黑"/>
          <w:b w:val="0"/>
          <w:sz w:val="21"/>
        </w:rPr>
        <w:t>（3）知识库管理。系统为AI Agent建立了结构化的领域知识库，包括能源行业术语词典（500+术语）、数据标准规范（DCMM、DAMA相关）、业务流程知识（数据发布、授权、交易流程）和安全合规知识（法律法规条款、安全最佳实践）。知识库支持文档上传、自动分块、嵌入向量化和语义检索，为Agent提供领域知识增强（RAG, Retrieval-Augmented Generation）。</w:t>
      </w:r>
    </w:p>
    <w:p>
      <w:r>
        <w:br w:type="page"/>
      </w:r>
    </w:p>
    <w:p>
      <w:pPr>
        <w:pStyle w:val="Heading1"/>
      </w:pPr>
      <w:r>
        <w:rPr>
          <w:rFonts w:ascii="微软雅黑" w:hAnsi="微软雅黑" w:eastAsia="微软雅黑"/>
        </w:rPr>
        <w:t>第五章  关键技术实现细节</w:t>
      </w:r>
    </w:p>
    <w:p>
      <w:pPr>
        <w:pStyle w:val="Heading2"/>
      </w:pPr>
      <w:r>
        <w:rPr>
          <w:rFonts w:ascii="微软雅黑" w:hAnsi="微软雅黑" w:eastAsia="微软雅黑"/>
        </w:rPr>
        <w:t>5.1  隐私计算模块实现</w:t>
      </w:r>
    </w:p>
    <w:p>
      <w:pPr>
        <w:spacing w:line="360" w:lineRule="auto" w:after="120"/>
        <w:ind w:firstLine="420"/>
      </w:pPr>
      <w:r>
        <w:rPr>
          <w:rFonts w:ascii="微软雅黑" w:hAnsi="微软雅黑" w:eastAsia="微软雅黑"/>
          <w:b w:val="0"/>
          <w:sz w:val="21"/>
        </w:rPr>
        <w:t>隐私计算模块是能源可信数据空间的技术核心，集成了联邦学习（FL）、可信执行环境（TEE）、安全多方计算（MPC）和同态加密（HE）四种技术路线。本节详细阐述各子模块的实现细节。</w:t>
      </w:r>
    </w:p>
    <w:p>
      <w:pPr>
        <w:pStyle w:val="Heading3"/>
      </w:pPr>
      <w:r>
        <w:rPr>
          <w:rFonts w:ascii="微软雅黑" w:hAnsi="微软雅黑" w:eastAsia="微软雅黑"/>
        </w:rPr>
        <w:t>5.1.1  联邦学习子模块</w:t>
      </w:r>
    </w:p>
    <w:p>
      <w:pPr>
        <w:spacing w:line="360" w:lineRule="auto" w:after="120"/>
        <w:ind w:firstLine="420"/>
      </w:pPr>
      <w:r>
        <w:rPr>
          <w:rFonts w:ascii="微软雅黑" w:hAnsi="微软雅黑" w:eastAsia="微软雅黑"/>
          <w:b w:val="0"/>
          <w:sz w:val="21"/>
        </w:rPr>
        <w:t>联邦学习子模块基于微众银行开源FATE框架进行定制开发，实现了对能源行业场景的深度适配。后端服务层实现了任务管理服务（FateJob）、模型管理服务（FlModel）和会话管理服务（MpcSession）。任务管理服务负责联邦学习任务的全生命周期管理，包括任务创建、参数配置、参与方选择、任务启动/暂停/终止。模型管理服务负责训练完成的模型存储、版本管理、模型评估和模型部署。</w:t>
      </w:r>
    </w:p>
    <w:p>
      <w:pPr>
        <w:spacing w:line="360" w:lineRule="auto" w:after="120"/>
        <w:ind w:firstLine="420"/>
      </w:pPr>
      <w:r>
        <w:rPr>
          <w:rFonts w:ascii="微软雅黑" w:hAnsi="微软雅黑" w:eastAsia="微软雅黑"/>
          <w:b w:val="0"/>
          <w:sz w:val="21"/>
        </w:rPr>
        <w:t>在安全增强方面，模块在梯度交换阶段集成了差分隐私机制。具体实现中，对每个参与方上传的模型梯度进行L2范数裁剪（Clipping），裁剪阈值C由超参数控制，然后添加高斯噪声N(0, σ²)，其中σ = C × sqrt(2×ln(1.25/δ)) / ε。通过调节隐私预算ε（默认8.0）和δ（默认10⁻⁵），可以在隐私保护和模型精度之间取得平衡。</w:t>
      </w:r>
    </w:p>
    <w:p>
      <w:pPr>
        <w:pStyle w:val="Heading3"/>
      </w:pPr>
      <w:r>
        <w:rPr>
          <w:rFonts w:ascii="微软雅黑" w:hAnsi="微软雅黑" w:eastAsia="微软雅黑"/>
        </w:rPr>
        <w:t>5.1.2  TEE可信执行环境子模块</w:t>
      </w:r>
    </w:p>
    <w:p>
      <w:pPr>
        <w:spacing w:line="360" w:lineRule="auto" w:after="120"/>
        <w:ind w:firstLine="420"/>
      </w:pPr>
      <w:r>
        <w:rPr>
          <w:rFonts w:ascii="微软雅黑" w:hAnsi="微软雅黑" w:eastAsia="微软雅黑"/>
          <w:b w:val="0"/>
          <w:sz w:val="21"/>
        </w:rPr>
        <w:t>TEE子模块基于Intel SGX技术实现，提供了硬件级别的隔离计算环境。模块核心组件包括TEE实例管理器（TeeInstance）、飞地（Enclave）生命周期管理和远程证明（Remote Attestation）验证。TeeInstance模型记录了每个TEE实例的唯一标识、Enclave度量值（MRENCLAVE）、安全版本号（ISVSVN）、CPU SGX版本和状态信息。</w:t>
      </w:r>
    </w:p>
    <w:p>
      <w:pPr>
        <w:spacing w:line="360" w:lineRule="auto" w:after="120"/>
        <w:ind w:firstLine="420"/>
      </w:pPr>
      <w:r>
        <w:rPr>
          <w:rFonts w:ascii="微软雅黑" w:hAnsi="微软雅黑" w:eastAsia="微软雅黑"/>
          <w:b w:val="0"/>
          <w:sz w:val="21"/>
        </w:rPr>
        <w:t>远程证明是TEE安全性的核心保障，确保代码确实在真实的SGX Enclave中运行且未被篡改。系统实现了基于Intel IAS（Intel Attestation Service）或DCAP（Data Center Attestation Primitives）的远程证明流程：Enclave生成Quote→发送给IAS/DCAP验证→返回验证报告→验证报告包含Enclave身份、执行环境可信状态等信息。</w:t>
      </w:r>
    </w:p>
    <w:p>
      <w:pPr>
        <w:pStyle w:val="Heading3"/>
      </w:pPr>
      <w:r>
        <w:rPr>
          <w:rFonts w:ascii="微软雅黑" w:hAnsi="微软雅黑" w:eastAsia="微软雅黑"/>
        </w:rPr>
        <w:t>5.1.3  MPC安全多方计算子模块</w:t>
      </w:r>
    </w:p>
    <w:p>
      <w:pPr>
        <w:spacing w:line="360" w:lineRule="auto" w:after="120"/>
        <w:ind w:firstLine="420"/>
      </w:pPr>
      <w:r>
        <w:rPr>
          <w:rFonts w:ascii="微软雅黑" w:hAnsi="微软雅黑" w:eastAsia="微软雅黑"/>
          <w:b w:val="0"/>
          <w:sz w:val="21"/>
        </w:rPr>
        <w:t>MPC子模块基于安全多方计算协议实现，支持2-N方的联合安全计算。模块引入了MpcSession会话管理机制，每个MPC会话跟踪参与方列表、计算协议类型、会话状态和计算结果哈希。会话状态包括：init（初始化）、waiting_peers（等待参与方加入）、computing（计算中）、completed（完成）、failed（失败）。</w:t>
      </w:r>
    </w:p>
    <w:p>
      <w:pPr>
        <w:spacing w:line="360" w:lineRule="auto" w:after="120"/>
        <w:ind w:firstLine="420"/>
      </w:pPr>
      <w:r>
        <w:rPr>
          <w:rFonts w:ascii="微软雅黑" w:hAnsi="微软雅黑" w:eastAsia="微软雅黑"/>
          <w:b w:val="0"/>
          <w:sz w:val="21"/>
        </w:rPr>
        <w:t>通信层采用基于gRPC的安全通信框架，所有参与方之间通过TLS 1.3加密通道通信。计算层实现了秘密共享协议的完整生命周期：秘密分发（Share）→ 本地计算（Local Compute）→ 秘密重构（Reconstruct）。对于复杂计算，采用电路编译技术将计算逻辑编译为算术电路，然后分解为可并行执行的安全加法门和乘法门。</w:t>
      </w:r>
    </w:p>
    <w:p>
      <w:pPr>
        <w:pStyle w:val="Heading3"/>
      </w:pPr>
      <w:r>
        <w:rPr>
          <w:rFonts w:ascii="微软雅黑" w:hAnsi="微软雅黑" w:eastAsia="微软雅黑"/>
        </w:rPr>
        <w:t>5.1.4  同态加密子模块</w:t>
      </w:r>
    </w:p>
    <w:p>
      <w:pPr>
        <w:spacing w:line="360" w:lineRule="auto" w:after="120"/>
        <w:ind w:firstLine="420"/>
      </w:pPr>
      <w:r>
        <w:rPr>
          <w:rFonts w:ascii="微软雅黑" w:hAnsi="微软雅黑" w:eastAsia="微软雅黑"/>
          <w:b w:val="0"/>
          <w:sz w:val="21"/>
        </w:rPr>
        <w:t>同态加密子模块实现了HeKey（密钥管理）和HeCiphertext（密文管理）两个核心数据模型。HeKey模型记录了密钥对的唯一标识、算法类型（Paillier、BFV、CKKS）、密钥参数（如Paillier的n和g，BFV的poly_modulus_degree等）、公钥和加密的私钥。HeCiphertext模型关联到对应的密钥，记录密文数据和加密元数据。</w:t>
      </w:r>
    </w:p>
    <w:p>
      <w:pPr>
        <w:spacing w:line="360" w:lineRule="auto" w:after="120"/>
        <w:ind w:firstLine="420"/>
      </w:pPr>
      <w:r>
        <w:rPr>
          <w:rFonts w:ascii="微软雅黑" w:hAnsi="微软雅黑" w:eastAsia="微软雅黑"/>
          <w:b w:val="0"/>
          <w:sz w:val="21"/>
        </w:rPr>
        <w:t>模块目前主要集成Paillier半同态加密方案用于纵向联邦学习中的安全梯度聚合。Paillier方案支持加法同态运算：Enc(m1) × Enc(m2) = Enc(m1 + m2)，且支持标量乘法：Enc(m)ᵏ = Enc(k×m)。这两条性质足以支持许多机器学习算法（如逻辑回归、线性回归）的安全梯度计算。对于需要全同态加密（支持任意密文计算）的场景，模块预留了BFV和CKKS方案的接口。</w:t>
      </w:r>
    </w:p>
    <w:p>
      <w:pPr>
        <w:pStyle w:val="Heading2"/>
      </w:pPr>
      <w:r>
        <w:rPr>
          <w:rFonts w:ascii="微软雅黑" w:hAnsi="微软雅黑" w:eastAsia="微软雅黑"/>
        </w:rPr>
        <w:t>5.2  区块链模块实现</w:t>
      </w:r>
    </w:p>
    <w:p>
      <w:pPr>
        <w:spacing w:line="360" w:lineRule="auto" w:after="120"/>
        <w:ind w:firstLine="420"/>
      </w:pPr>
      <w:r>
        <w:rPr>
          <w:rFonts w:ascii="微软雅黑" w:hAnsi="微软雅黑" w:eastAsia="微软雅黑"/>
          <w:b w:val="0"/>
          <w:sz w:val="21"/>
        </w:rPr>
        <w:t>区块链模块实现了数据存证、智能合约执行和NFT铸造三大核心功能。模块架构分为三层：接入层（Blockchain Abstraction Layer）提供统一的区块链操作接口；合约层管理智能合约的部署、调用和升级；同步层负责链上数据与本地数据库的同步。</w:t>
      </w:r>
    </w:p>
    <w:p>
      <w:pPr>
        <w:spacing w:line="360" w:lineRule="auto" w:after="120"/>
        <w:ind w:firstLine="420"/>
      </w:pPr>
      <w:r>
        <w:rPr>
          <w:rFonts w:ascii="微软雅黑" w:hAnsi="微软雅黑" w:eastAsia="微软雅黑"/>
          <w:b w:val="0"/>
          <w:sz w:val="21"/>
        </w:rPr>
        <w:t>数据模型层面，模块定义了三个核心数据模型：NftAsset——记录数据NFT的铸造信息，包括token_id、合约地址、元数据URI、所有者和铸造者；EvidenceRecord——记录数据存证信息，包括证据类型、证据哈希（SHA-256）、存证交易哈希、区块号和确认数；BlockchainTransaction——记录所有区块链交易信息，包括from/to地址、交易数据、gas费用、状态（pending/confirmed/failed）和交易回执。</w:t>
      </w:r>
    </w:p>
    <w:p>
      <w:pPr>
        <w:spacing w:line="360" w:lineRule="auto" w:after="120"/>
        <w:ind w:firstLine="420"/>
      </w:pPr>
      <w:r>
        <w:rPr>
          <w:rFonts w:ascii="微软雅黑" w:hAnsi="微软雅黑" w:eastAsia="微软雅黑"/>
          <w:b w:val="0"/>
          <w:sz w:val="21"/>
        </w:rPr>
        <w:t>智能合约采用Solidity语言编写，使用Hardhat开发框架。项目包含21个智能合约文件，涵盖数据资产管理、交易匹配、授权控制、收益分配等业务场景。合约编译后通过Web3.py与以太坊节点交互，支持Infura公共节点和私有链节点两种连接方式。合约部署采用Factory模式，主合约通过工厂合约部署，支持同一逻辑合约创建多个实例。</w:t>
      </w:r>
    </w:p>
    <w:p>
      <w:pPr>
        <w:pStyle w:val="Heading2"/>
      </w:pPr>
      <w:r>
        <w:rPr>
          <w:rFonts w:ascii="微软雅黑" w:hAnsi="微软雅黑" w:eastAsia="微软雅黑"/>
        </w:rPr>
        <w:t>5.3  数据资产管理模块实现</w:t>
      </w:r>
    </w:p>
    <w:p>
      <w:pPr>
        <w:spacing w:line="360" w:lineRule="auto" w:after="120"/>
        <w:ind w:firstLine="420"/>
      </w:pPr>
      <w:r>
        <w:rPr>
          <w:rFonts w:ascii="微软雅黑" w:hAnsi="微软雅黑" w:eastAsia="微软雅黑"/>
          <w:b w:val="0"/>
          <w:sz w:val="21"/>
        </w:rPr>
        <w:t>数据资产管理模块是系统的数据底座，实现了数据的全生命周期管理。后端定义了DataSource（数据源）、DataAsset（数据资产）、Metadata（元数据）、Tag（标签）、AssetTag（资产标签关联）、AccessLog（访问日志）、DataVersion（数据版本）、VersionTag（版本标签）、CurrentVersion（当前版本）等多个数据库模型，形成了完整的数据资产管理体系。</w:t>
      </w:r>
    </w:p>
    <w:p>
      <w:pPr>
        <w:spacing w:line="360" w:lineRule="auto" w:after="120"/>
        <w:ind w:firstLine="420"/>
      </w:pPr>
      <w:r>
        <w:rPr>
          <w:rFonts w:ascii="微软雅黑" w:hAnsi="微软雅黑" w:eastAsia="微软雅黑"/>
          <w:b w:val="0"/>
          <w:sz w:val="21"/>
        </w:rPr>
        <w:t>数据血缘追踪是数据资产管理的关键功能。系统通过解析数据处理的ETL流程（Extract-Transform-Load），自动构建字段级别的数据血缘关系。血缘图谱以有向无环图（DAG）的形式存储和展示，节点代表数据资产，边代表数据流转关系。前端使用React Flow库实现血缘图谱的交互式可视化。</w:t>
      </w:r>
    </w:p>
    <w:p>
      <w:pPr>
        <w:spacing w:line="360" w:lineRule="auto" w:after="120"/>
        <w:ind w:firstLine="420"/>
      </w:pPr>
      <w:r>
        <w:rPr>
          <w:rFonts w:ascii="微软雅黑" w:hAnsi="微软雅黑" w:eastAsia="微软雅黑"/>
          <w:b w:val="0"/>
          <w:sz w:val="21"/>
        </w:rPr>
        <w:t>数据质量管理模块实现了基于CAUTUV模型的六维度质量评估。每个维度支持配置多条质量规则，如完整性规则检查非空值比例，准确性规则检查数值范围，一致性规则检查跨表约束。质量检查任务支持定时执行和事件触发执行，检查结果写入DataQualityReport模型，不达标项自动生成告警。</w:t>
      </w:r>
    </w:p>
    <w:p>
      <w:pPr>
        <w:pStyle w:val="Heading2"/>
      </w:pPr>
      <w:r>
        <w:rPr>
          <w:rFonts w:ascii="微软雅黑" w:hAnsi="微软雅黑" w:eastAsia="微软雅黑"/>
        </w:rPr>
        <w:t>5.4  安全认证与访问控制实现</w:t>
      </w:r>
    </w:p>
    <w:p>
      <w:pPr>
        <w:spacing w:line="360" w:lineRule="auto" w:after="120"/>
        <w:ind w:firstLine="420"/>
      </w:pPr>
      <w:r>
        <w:rPr>
          <w:rFonts w:ascii="微软雅黑" w:hAnsi="微软雅黑" w:eastAsia="微软雅黑"/>
          <w:b w:val="0"/>
          <w:sz w:val="21"/>
        </w:rPr>
        <w:t>安全认证模块实现了多层次的身份认证和访问控制机制：</w:t>
      </w:r>
    </w:p>
    <w:p>
      <w:pPr>
        <w:spacing w:line="360" w:lineRule="auto" w:after="120"/>
        <w:ind w:firstLine="420"/>
      </w:pPr>
      <w:r>
        <w:rPr>
          <w:rFonts w:ascii="微软雅黑" w:hAnsi="微软雅黑" w:eastAsia="微软雅黑"/>
          <w:b w:val="0"/>
          <w:sz w:val="21"/>
        </w:rPr>
        <w:t>（1）多模式认证。系统支持三种认证模式：密码认证——基于bcrypt哈希的密码验证，JWT令牌签发；DID认证——基于分布式数字身份的挑战-响应认证（Challenge-Response）；证书认证——基于X.509证书的mTLS双向认证。所有认证模式通过统一的认证接口（/api/v1/auth/login）暴露。</w:t>
      </w:r>
    </w:p>
    <w:p>
      <w:pPr>
        <w:spacing w:line="360" w:lineRule="auto" w:after="120"/>
        <w:ind w:firstLine="420"/>
      </w:pPr>
      <w:r>
        <w:rPr>
          <w:rFonts w:ascii="微软雅黑" w:hAnsi="微软雅黑" w:eastAsia="微软雅黑"/>
          <w:b w:val="0"/>
          <w:sz w:val="21"/>
        </w:rPr>
        <w:t>（2）MFA多因素认证。基于TOTP标准（RFC 6238）实现，支持Google Authenticator、Microsoft Authenticator等通用认证器App。MFA流程包括：用户绑定MFA→服务端生成TOTP密钥和QR码→用户扫码绑定→登录时输入6位动态码→服务端验证。系统为每个用户预生成8个备用恢复码，用于认证器不可用时的应急登录。</w:t>
      </w:r>
    </w:p>
    <w:p>
      <w:pPr>
        <w:spacing w:line="360" w:lineRule="auto" w:after="120"/>
        <w:ind w:firstLine="420"/>
      </w:pPr>
      <w:r>
        <w:rPr>
          <w:rFonts w:ascii="微软雅黑" w:hAnsi="微软雅黑" w:eastAsia="微软雅黑"/>
          <w:b w:val="0"/>
          <w:sz w:val="21"/>
        </w:rPr>
        <w:t>（3）RBAC+ABAC混合访问控制。角色分admin（系统管理员）、operator（运维人员）、data_provider（数据提供方）、data_consumer（数据使用方）、auditor（审计员）五种。每个角色具有不同的菜单权限、API权限和数据权限。在RBAC基础上叠加ABAC，通过评估请求方属性（角色、组织、安全等级）、资源属性（数据分类、敏感等级）和环境属性（时间、网络位置）动态决策。</w:t>
      </w:r>
    </w:p>
    <w:p>
      <w:pPr>
        <w:spacing w:line="360" w:lineRule="auto" w:after="120"/>
        <w:ind w:firstLine="420"/>
      </w:pPr>
      <w:r>
        <w:rPr>
          <w:rFonts w:ascii="微软雅黑" w:hAnsi="微软雅黑" w:eastAsia="微软雅黑"/>
          <w:b w:val="0"/>
          <w:sz w:val="21"/>
        </w:rPr>
        <w:t>（4）审计日志。所有数据访问操作记录到AuditLog模型，包含操作主体（user_id）、操作类型（action_type）、操作对象（resource_type + resource_id）、操作详情（details JSONB）、IP地址和User-Agent。审计日志表设置为仅追加（Append-Only），通过数据库权限禁止DELETE和UPDATE操作，确保日志的不可篡改性。</w:t>
      </w:r>
    </w:p>
    <w:p>
      <w:pPr>
        <w:pStyle w:val="Heading2"/>
      </w:pPr>
      <w:r>
        <w:rPr>
          <w:rFonts w:ascii="微软雅黑" w:hAnsi="微软雅黑" w:eastAsia="微软雅黑"/>
        </w:rPr>
        <w:t>5.5  前端交互与可视化实现</w:t>
      </w:r>
    </w:p>
    <w:p>
      <w:pPr>
        <w:spacing w:line="360" w:lineRule="auto" w:after="120"/>
        <w:ind w:firstLine="420"/>
      </w:pPr>
      <w:r>
        <w:rPr>
          <w:rFonts w:ascii="微软雅黑" w:hAnsi="微软雅黑" w:eastAsia="微软雅黑"/>
          <w:b w:val="0"/>
          <w:sz w:val="21"/>
        </w:rPr>
        <w:t>前端采用React 18 + TypeScript + MUI 5 + Vite技术栈构建，实现了约50个功能页面。关键技术实现包括：</w:t>
      </w:r>
    </w:p>
    <w:p>
      <w:pPr>
        <w:spacing w:line="360" w:lineRule="auto" w:after="120"/>
        <w:ind w:firstLine="420"/>
      </w:pPr>
      <w:r>
        <w:rPr>
          <w:rFonts w:ascii="微软雅黑" w:hAnsi="微软雅黑" w:eastAsia="微软雅黑"/>
          <w:b w:val="0"/>
          <w:sz w:val="21"/>
        </w:rPr>
        <w:t>（1）状态管理。采用Zustand轻量级状态管理库，结合@tanstack/react-query进行服务端状态管理。authStore管理认证状态和用户信息，mfaStore管理MFA流程状态。服务端数据通过react-query的useQuery/useMutation hooks获取，自动处理缓存、重新获取和乐观更新。</w:t>
      </w:r>
    </w:p>
    <w:p>
      <w:pPr>
        <w:spacing w:line="360" w:lineRule="auto" w:after="120"/>
        <w:ind w:firstLine="420"/>
      </w:pPr>
      <w:r>
        <w:rPr>
          <w:rFonts w:ascii="微软雅黑" w:hAnsi="微软雅黑" w:eastAsia="微软雅黑"/>
          <w:b w:val="0"/>
          <w:sz w:val="21"/>
        </w:rPr>
        <w:t>（2）数据可视化。集成ECharts 5和Recharts图表库，提供丰富的可视化组件。运营分析中心实现了KPI仪表盘、趋势折线图、饼图、热力图等多种图表类型。数据血缘关系使用React Flow实现交互式DAG图。区块链浏览器展示交易列表和区块详情。</w:t>
      </w:r>
    </w:p>
    <w:p>
      <w:pPr>
        <w:spacing w:line="360" w:lineRule="auto" w:after="120"/>
        <w:ind w:firstLine="420"/>
      </w:pPr>
      <w:r>
        <w:rPr>
          <w:rFonts w:ascii="微软雅黑" w:hAnsi="微软雅黑" w:eastAsia="微软雅黑"/>
          <w:b w:val="0"/>
          <w:sz w:val="21"/>
        </w:rPr>
        <w:t>（3）前端服务层。定义了16个API Service模块，每个模块封装一类API的调用逻辑，统一处理请求/响应拦截、错误处理和令牌刷新。Service模块包括：authService、dataAssetService、computeService、blockchainService、securityService、portalService、agentService、monitorService、notificationService等。</w:t>
      </w:r>
    </w:p>
    <w:p>
      <w:pPr>
        <w:spacing w:line="360" w:lineRule="auto" w:after="120"/>
        <w:ind w:firstLine="420"/>
      </w:pPr>
      <w:r>
        <w:rPr>
          <w:rFonts w:ascii="微软雅黑" w:hAnsi="微软雅黑" w:eastAsia="微软雅黑"/>
          <w:b w:val="0"/>
          <w:sz w:val="21"/>
        </w:rPr>
        <w:t>（4）主题与国际化。基于MUI ThemeProvider实现亮色/暗色双主题切换。虽然当前版本主要面向中文用户，但架构上预留了i18n国际化支持，使用react-i18next框架可快速扩展多语言。</w:t>
      </w:r>
    </w:p>
    <w:p>
      <w:r>
        <w:br w:type="page"/>
      </w:r>
    </w:p>
    <w:p>
      <w:pPr>
        <w:pStyle w:val="Heading1"/>
      </w:pPr>
      <w:r>
        <w:rPr>
          <w:rFonts w:ascii="微软雅黑" w:hAnsi="微软雅黑" w:eastAsia="微软雅黑"/>
        </w:rPr>
        <w:t>第六章  实验验证方案</w:t>
      </w:r>
    </w:p>
    <w:p>
      <w:pPr>
        <w:pStyle w:val="Heading2"/>
      </w:pPr>
      <w:r>
        <w:rPr>
          <w:rFonts w:ascii="微软雅黑" w:hAnsi="微软雅黑" w:eastAsia="微软雅黑"/>
        </w:rPr>
        <w:t>6.1  验证总体策略</w:t>
      </w:r>
    </w:p>
    <w:p>
      <w:pPr>
        <w:spacing w:line="360" w:lineRule="auto" w:after="120"/>
        <w:ind w:firstLine="420"/>
      </w:pPr>
      <w:r>
        <w:rPr>
          <w:rFonts w:ascii="微软雅黑" w:hAnsi="微软雅黑" w:eastAsia="微软雅黑"/>
          <w:b w:val="0"/>
          <w:sz w:val="21"/>
        </w:rPr>
        <w:t>能源可信数据空间的验证策略遵循"分层次、分阶段、全覆盖"的原则。验证工作从单元测试、集成测试、系统测试到验收测试四个层次递进展开，每个层次设定明确的测试目标、测试范围和通过标准。验证策略覆盖功能正确性、性能达标性、安全合规性和用户体验四个维度的质量属性。</w:t>
      </w:r>
    </w:p>
    <w:p>
      <w:pPr>
        <w:spacing w:line="360" w:lineRule="auto" w:after="120"/>
        <w:ind w:firstLine="420"/>
      </w:pPr>
      <w:r>
        <w:rPr>
          <w:rFonts w:ascii="微软雅黑" w:hAnsi="微软雅黑" w:eastAsia="微软雅黑"/>
          <w:b w:val="0"/>
          <w:sz w:val="21"/>
        </w:rPr>
        <w:t>验证环境设计遵循"三环境分离"原则：开发环境（DEV）用于功能开发和单元测试，测试环境（TEST）用于集成测试和性能测试，预生产环境（PRE）用于验收测试和压力测试。各环境具有独立的数据库、中间件和网络隔离，确保测试结果的真实性和可复现性。</w:t>
      </w:r>
    </w:p>
    <w:p>
      <w:pPr>
        <w:spacing w:line="360" w:lineRule="auto" w:after="120"/>
        <w:jc w:val="center"/>
      </w:pPr>
      <w:r>
        <w:rPr>
          <w:rFonts w:ascii="微软雅黑" w:hAnsi="微软雅黑" w:eastAsia="微软雅黑"/>
          <w:b/>
          <w:sz w:val="18"/>
        </w:rPr>
        <w:t>表6-1  测试环境配置</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850"/>
            <w:shd w:fill="1A3C6D"/>
          </w:tcPr>
          <w:p>
            <w:pPr>
              <w:jc w:val="center"/>
            </w:pPr>
            <w:r/>
            <w:r>
              <w:rPr>
                <w:rFonts w:ascii="微软雅黑" w:hAnsi="微软雅黑"/>
                <w:b/>
                <w:color w:val="FFFFFF"/>
                <w:sz w:val="16"/>
              </w:rPr>
              <w:t>环境</w:t>
            </w:r>
          </w:p>
        </w:tc>
        <w:tc>
          <w:tcPr>
            <w:tcW w:type="dxa" w:w="1417"/>
            <w:shd w:fill="1A3C6D"/>
          </w:tcPr>
          <w:p>
            <w:pPr>
              <w:jc w:val="center"/>
            </w:pPr>
            <w:r/>
            <w:r>
              <w:rPr>
                <w:rFonts w:ascii="微软雅黑" w:hAnsi="微软雅黑"/>
                <w:b/>
                <w:color w:val="FFFFFF"/>
                <w:sz w:val="16"/>
              </w:rPr>
              <w:t>服务器配置</w:t>
            </w:r>
          </w:p>
        </w:tc>
        <w:tc>
          <w:tcPr>
            <w:tcW w:type="dxa" w:w="1417"/>
            <w:shd w:fill="1A3C6D"/>
          </w:tcPr>
          <w:p>
            <w:pPr>
              <w:jc w:val="center"/>
            </w:pPr>
            <w:r/>
            <w:r>
              <w:rPr>
                <w:rFonts w:ascii="微软雅黑" w:hAnsi="微软雅黑"/>
                <w:b/>
                <w:color w:val="FFFFFF"/>
                <w:sz w:val="16"/>
              </w:rPr>
              <w:t>操作系统</w:t>
            </w:r>
          </w:p>
        </w:tc>
        <w:tc>
          <w:tcPr>
            <w:tcW w:type="dxa" w:w="2268"/>
            <w:shd w:fill="1A3C6D"/>
          </w:tcPr>
          <w:p>
            <w:pPr>
              <w:jc w:val="center"/>
            </w:pPr>
            <w:r/>
            <w:r>
              <w:rPr>
                <w:rFonts w:ascii="微软雅黑" w:hAnsi="微软雅黑"/>
                <w:b/>
                <w:color w:val="FFFFFF"/>
                <w:sz w:val="16"/>
              </w:rPr>
              <w:t>基础软件</w:t>
            </w:r>
          </w:p>
        </w:tc>
        <w:tc>
          <w:tcPr>
            <w:tcW w:type="dxa" w:w="1701"/>
            <w:shd w:fill="1A3C6D"/>
          </w:tcPr>
          <w:p>
            <w:pPr>
              <w:jc w:val="center"/>
            </w:pPr>
            <w:r/>
            <w:r>
              <w:rPr>
                <w:rFonts w:ascii="微软雅黑" w:hAnsi="微软雅黑"/>
                <w:b/>
                <w:color w:val="FFFFFF"/>
                <w:sz w:val="16"/>
              </w:rPr>
              <w:t>用途</w:t>
            </w:r>
          </w:p>
        </w:tc>
      </w:tr>
      <w:tr>
        <w:tc>
          <w:tcPr>
            <w:tcW w:type="dxa" w:w="850"/>
          </w:tcPr>
          <w:p>
            <w:pPr>
              <w:jc w:val="center"/>
            </w:pPr>
            <w:r/>
            <w:r>
              <w:rPr>
                <w:rFonts w:ascii="微软雅黑" w:hAnsi="微软雅黑"/>
                <w:sz w:val="15"/>
              </w:rPr>
              <w:t>DEV</w:t>
            </w:r>
          </w:p>
        </w:tc>
        <w:tc>
          <w:tcPr>
            <w:tcW w:type="dxa" w:w="1417"/>
          </w:tcPr>
          <w:p>
            <w:pPr>
              <w:jc w:val="center"/>
            </w:pPr>
            <w:r/>
            <w:r>
              <w:rPr>
                <w:rFonts w:ascii="微软雅黑" w:hAnsi="微软雅黑"/>
                <w:sz w:val="15"/>
              </w:rPr>
              <w:t>2C8G Linux</w:t>
            </w:r>
          </w:p>
        </w:tc>
        <w:tc>
          <w:tcPr>
            <w:tcW w:type="dxa" w:w="1417"/>
          </w:tcPr>
          <w:p>
            <w:pPr>
              <w:jc w:val="center"/>
            </w:pPr>
            <w:r/>
            <w:r>
              <w:rPr>
                <w:rFonts w:ascii="微软雅黑" w:hAnsi="微软雅黑"/>
                <w:sz w:val="15"/>
              </w:rPr>
              <w:t>Ubuntu 22.04 LTS</w:t>
            </w:r>
          </w:p>
        </w:tc>
        <w:tc>
          <w:tcPr>
            <w:tcW w:type="dxa" w:w="2268"/>
          </w:tcPr>
          <w:p>
            <w:pPr>
              <w:jc w:val="center"/>
            </w:pPr>
            <w:r/>
            <w:r>
              <w:rPr>
                <w:rFonts w:ascii="微软雅黑" w:hAnsi="微软雅黑"/>
                <w:sz w:val="15"/>
              </w:rPr>
              <w:t>PostgreSQL 16, Redis 7, MinIO</w:t>
            </w:r>
          </w:p>
        </w:tc>
        <w:tc>
          <w:tcPr>
            <w:tcW w:type="dxa" w:w="1701"/>
          </w:tcPr>
          <w:p>
            <w:pPr>
              <w:jc w:val="center"/>
            </w:pPr>
            <w:r/>
            <w:r>
              <w:rPr>
                <w:rFonts w:ascii="微软雅黑" w:hAnsi="微软雅黑"/>
                <w:sz w:val="15"/>
              </w:rPr>
              <w:t>功能开发与单元测试</w:t>
            </w:r>
          </w:p>
        </w:tc>
      </w:tr>
      <w:tr>
        <w:tc>
          <w:tcPr>
            <w:tcW w:type="dxa" w:w="850"/>
            <w:shd w:fill="F0F4FA"/>
          </w:tcPr>
          <w:p>
            <w:pPr>
              <w:jc w:val="center"/>
            </w:pPr>
            <w:r/>
            <w:r>
              <w:rPr>
                <w:rFonts w:ascii="微软雅黑" w:hAnsi="微软雅黑"/>
                <w:sz w:val="15"/>
              </w:rPr>
              <w:t>TEST</w:t>
            </w:r>
          </w:p>
        </w:tc>
        <w:tc>
          <w:tcPr>
            <w:tcW w:type="dxa" w:w="1417"/>
            <w:shd w:fill="F0F4FA"/>
          </w:tcPr>
          <w:p>
            <w:pPr>
              <w:jc w:val="center"/>
            </w:pPr>
            <w:r/>
            <w:r>
              <w:rPr>
                <w:rFonts w:ascii="微软雅黑" w:hAnsi="微软雅黑"/>
                <w:sz w:val="15"/>
              </w:rPr>
              <w:t>4C16G Linux</w:t>
            </w:r>
          </w:p>
        </w:tc>
        <w:tc>
          <w:tcPr>
            <w:tcW w:type="dxa" w:w="1417"/>
            <w:shd w:fill="F0F4FA"/>
          </w:tcPr>
          <w:p>
            <w:pPr>
              <w:jc w:val="center"/>
            </w:pPr>
            <w:r/>
            <w:r>
              <w:rPr>
                <w:rFonts w:ascii="微软雅黑" w:hAnsi="微软雅黑"/>
                <w:sz w:val="15"/>
              </w:rPr>
              <w:t>Ubuntu 22.04 LTS</w:t>
            </w:r>
          </w:p>
        </w:tc>
        <w:tc>
          <w:tcPr>
            <w:tcW w:type="dxa" w:w="2268"/>
            <w:shd w:fill="F0F4FA"/>
          </w:tcPr>
          <w:p>
            <w:pPr>
              <w:jc w:val="center"/>
            </w:pPr>
            <w:r/>
            <w:r>
              <w:rPr>
                <w:rFonts w:ascii="微软雅黑" w:hAnsi="微软雅黑"/>
                <w:sz w:val="15"/>
              </w:rPr>
              <w:t>PostgreSQL 16, Redis 7, MinIO, Kafka</w:t>
            </w:r>
          </w:p>
        </w:tc>
        <w:tc>
          <w:tcPr>
            <w:tcW w:type="dxa" w:w="1701"/>
            <w:shd w:fill="F0F4FA"/>
          </w:tcPr>
          <w:p>
            <w:pPr>
              <w:jc w:val="center"/>
            </w:pPr>
            <w:r/>
            <w:r>
              <w:rPr>
                <w:rFonts w:ascii="微软雅黑" w:hAnsi="微软雅黑"/>
                <w:sz w:val="15"/>
              </w:rPr>
              <w:t>集成测试与常规性能测试</w:t>
            </w:r>
          </w:p>
        </w:tc>
      </w:tr>
      <w:tr>
        <w:tc>
          <w:tcPr>
            <w:tcW w:type="dxa" w:w="850"/>
          </w:tcPr>
          <w:p>
            <w:pPr>
              <w:jc w:val="center"/>
            </w:pPr>
            <w:r/>
            <w:r>
              <w:rPr>
                <w:rFonts w:ascii="微软雅黑" w:hAnsi="微软雅黑"/>
                <w:sz w:val="15"/>
              </w:rPr>
              <w:t>PERF</w:t>
            </w:r>
          </w:p>
        </w:tc>
        <w:tc>
          <w:tcPr>
            <w:tcW w:type="dxa" w:w="1417"/>
          </w:tcPr>
          <w:p>
            <w:pPr>
              <w:jc w:val="center"/>
            </w:pPr>
            <w:r/>
            <w:r>
              <w:rPr>
                <w:rFonts w:ascii="微软雅黑" w:hAnsi="微软雅黑"/>
                <w:sz w:val="15"/>
              </w:rPr>
              <w:t>8C32G Linux×3</w:t>
            </w:r>
          </w:p>
        </w:tc>
        <w:tc>
          <w:tcPr>
            <w:tcW w:type="dxa" w:w="1417"/>
          </w:tcPr>
          <w:p>
            <w:pPr>
              <w:jc w:val="center"/>
            </w:pPr>
            <w:r/>
            <w:r>
              <w:rPr>
                <w:rFonts w:ascii="微软雅黑" w:hAnsi="微软雅黑"/>
                <w:sz w:val="15"/>
              </w:rPr>
              <w:t>Ubuntu 22.04 LTS</w:t>
            </w:r>
          </w:p>
        </w:tc>
        <w:tc>
          <w:tcPr>
            <w:tcW w:type="dxa" w:w="2268"/>
          </w:tcPr>
          <w:p>
            <w:pPr>
              <w:jc w:val="center"/>
            </w:pPr>
            <w:r/>
            <w:r>
              <w:rPr>
                <w:rFonts w:ascii="微软雅黑" w:hAnsi="微软雅黑"/>
                <w:sz w:val="15"/>
              </w:rPr>
              <w:t>PostgreSQL+读写分离, Redis Cluster</w:t>
            </w:r>
          </w:p>
        </w:tc>
        <w:tc>
          <w:tcPr>
            <w:tcW w:type="dxa" w:w="1701"/>
          </w:tcPr>
          <w:p>
            <w:pPr>
              <w:jc w:val="center"/>
            </w:pPr>
            <w:r/>
            <w:r>
              <w:rPr>
                <w:rFonts w:ascii="微软雅黑" w:hAnsi="微软雅黑"/>
                <w:sz w:val="15"/>
              </w:rPr>
              <w:t>压力测试与高并发测试</w:t>
            </w:r>
          </w:p>
        </w:tc>
      </w:tr>
      <w:tr>
        <w:tc>
          <w:tcPr>
            <w:tcW w:type="dxa" w:w="850"/>
            <w:shd w:fill="F0F4FA"/>
          </w:tcPr>
          <w:p>
            <w:pPr>
              <w:jc w:val="center"/>
            </w:pPr>
            <w:r/>
            <w:r>
              <w:rPr>
                <w:rFonts w:ascii="微软雅黑" w:hAnsi="微软雅黑"/>
                <w:sz w:val="15"/>
              </w:rPr>
              <w:t>BLOCKCHAIN</w:t>
            </w:r>
          </w:p>
        </w:tc>
        <w:tc>
          <w:tcPr>
            <w:tcW w:type="dxa" w:w="1417"/>
            <w:shd w:fill="F0F4FA"/>
          </w:tcPr>
          <w:p>
            <w:pPr>
              <w:jc w:val="center"/>
            </w:pPr>
            <w:r/>
            <w:r>
              <w:rPr>
                <w:rFonts w:ascii="微软雅黑" w:hAnsi="微软雅黑"/>
                <w:sz w:val="15"/>
              </w:rPr>
              <w:t>4C8G Linux×3</w:t>
            </w:r>
          </w:p>
        </w:tc>
        <w:tc>
          <w:tcPr>
            <w:tcW w:type="dxa" w:w="1417"/>
            <w:shd w:fill="F0F4FA"/>
          </w:tcPr>
          <w:p>
            <w:pPr>
              <w:jc w:val="center"/>
            </w:pPr>
            <w:r/>
            <w:r>
              <w:rPr>
                <w:rFonts w:ascii="微软雅黑" w:hAnsi="微软雅黑"/>
                <w:sz w:val="15"/>
              </w:rPr>
              <w:t>Ubuntu 22.04 LTS</w:t>
            </w:r>
          </w:p>
        </w:tc>
        <w:tc>
          <w:tcPr>
            <w:tcW w:type="dxa" w:w="2268"/>
            <w:shd w:fill="F0F4FA"/>
          </w:tcPr>
          <w:p>
            <w:pPr>
              <w:jc w:val="center"/>
            </w:pPr>
            <w:r/>
            <w:r>
              <w:rPr>
                <w:rFonts w:ascii="微软雅黑" w:hAnsi="微软雅黑"/>
                <w:sz w:val="15"/>
              </w:rPr>
              <w:t>Geth/Eth私链3节点</w:t>
            </w:r>
          </w:p>
        </w:tc>
        <w:tc>
          <w:tcPr>
            <w:tcW w:type="dxa" w:w="1701"/>
            <w:shd w:fill="F0F4FA"/>
          </w:tcPr>
          <w:p>
            <w:pPr>
              <w:jc w:val="center"/>
            </w:pPr>
            <w:r/>
            <w:r>
              <w:rPr>
                <w:rFonts w:ascii="微软雅黑" w:hAnsi="微软雅黑"/>
                <w:sz w:val="15"/>
              </w:rPr>
              <w:t>区块链功能与性能测试</w:t>
            </w:r>
          </w:p>
        </w:tc>
      </w:tr>
    </w:tbl>
    <w:p/>
    <w:p>
      <w:pPr>
        <w:pStyle w:val="Heading2"/>
      </w:pPr>
      <w:r>
        <w:rPr>
          <w:rFonts w:ascii="微软雅黑" w:hAnsi="微软雅黑" w:eastAsia="微软雅黑"/>
        </w:rPr>
        <w:t>6.2  功能验证方案</w:t>
      </w:r>
    </w:p>
    <w:p>
      <w:pPr>
        <w:spacing w:line="360" w:lineRule="auto" w:after="120"/>
        <w:ind w:firstLine="420"/>
      </w:pPr>
      <w:r>
        <w:rPr>
          <w:rFonts w:ascii="微软雅黑" w:hAnsi="微软雅黑" w:eastAsia="微软雅黑"/>
          <w:b w:val="0"/>
          <w:sz w:val="21"/>
        </w:rPr>
        <w:t>功能验证覆盖系统全部功能模块的604个API端点和约50个前端页面。测试用例设计采用等价类划分、边界值分析、场景法等方法，目标测试用例覆盖率达到100%。</w:t>
      </w:r>
    </w:p>
    <w:p>
      <w:pPr>
        <w:pStyle w:val="Heading3"/>
      </w:pPr>
      <w:r>
        <w:rPr>
          <w:rFonts w:ascii="微软雅黑" w:hAnsi="微软雅黑" w:eastAsia="微软雅黑"/>
        </w:rPr>
        <w:t>6.2.1  数据资产管理模块验证</w:t>
      </w:r>
    </w:p>
    <w:p>
      <w:pPr>
        <w:spacing w:line="360" w:lineRule="auto" w:after="120"/>
        <w:ind w:firstLine="420"/>
      </w:pPr>
      <w:r>
        <w:rPr>
          <w:rFonts w:ascii="微软雅黑" w:hAnsi="微软雅黑" w:eastAsia="微软雅黑"/>
          <w:b w:val="0"/>
          <w:sz w:val="21"/>
        </w:rPr>
        <w:t>数据资产管理模块是系统的基础模块，功能验证要点包括：</w:t>
      </w:r>
    </w:p>
    <w:p>
      <w:pPr>
        <w:pStyle w:val="ListBullet"/>
      </w:pPr>
      <w:r>
        <w:rPr>
          <w:rFonts w:ascii="微软雅黑" w:hAnsi="微软雅黑" w:eastAsia="微软雅黑"/>
          <w:sz w:val="20"/>
        </w:rPr>
        <w:t>数据源管理：验证多类型数据源（PostgreSQL、MySQL、MinIO）的注册、连通性测试、元数据自动发现、连接断开重连等功能，预期成功率100%。</w:t>
      </w:r>
    </w:p>
    <w:p>
      <w:pPr>
        <w:pStyle w:val="ListBullet"/>
      </w:pPr>
      <w:r>
        <w:rPr>
          <w:rFonts w:ascii="微软雅黑" w:hAnsi="微软雅黑" w:eastAsia="微软雅黑"/>
          <w:sz w:val="20"/>
        </w:rPr>
        <w:t>数据资产CRUD：验证数据资产的创建、查询、更新、删除操作，包括必填项校验、字段格式校验、唯一性约束校验等，覆盖正常和异常路径。</w:t>
      </w:r>
    </w:p>
    <w:p>
      <w:pPr>
        <w:pStyle w:val="ListBullet"/>
      </w:pPr>
      <w:r>
        <w:rPr>
          <w:rFonts w:ascii="微软雅黑" w:hAnsi="微软雅黑" w:eastAsia="微软雅黑"/>
          <w:sz w:val="20"/>
        </w:rPr>
        <w:t>数据目录：验证关键词搜索的准确率（目标&gt;99%），标签过滤的精确匹配能力，分类浏览的层级展开/折叠功能，搜索响应时间（目标&lt;1s）。</w:t>
      </w:r>
    </w:p>
    <w:p>
      <w:pPr>
        <w:pStyle w:val="ListBullet"/>
      </w:pPr>
      <w:r>
        <w:rPr>
          <w:rFonts w:ascii="微软雅黑" w:hAnsi="微软雅黑" w:eastAsia="微软雅黑"/>
          <w:sz w:val="20"/>
        </w:rPr>
        <w:t>数据血缘：验证字段级血缘关系的自动追踪准确率（目标&gt;95%），向前/向后追溯的完整性，DAG可视化渲染的正确性和交互流畅性。</w:t>
      </w:r>
    </w:p>
    <w:p>
      <w:pPr>
        <w:pStyle w:val="ListBullet"/>
      </w:pPr>
      <w:r>
        <w:rPr>
          <w:rFonts w:ascii="微软雅黑" w:hAnsi="微软雅黑" w:eastAsia="微软雅黑"/>
          <w:sz w:val="20"/>
        </w:rPr>
        <w:t>数据质量：验证6维度（完整性、准确性、一致性、时效性、唯一性、有效性）质量规则的配置和执行功能，不达标数据告警触发机制，质量报告生成功能。</w:t>
      </w:r>
    </w:p>
    <w:p>
      <w:pPr>
        <w:pStyle w:val="Heading3"/>
      </w:pPr>
      <w:r>
        <w:rPr>
          <w:rFonts w:ascii="微软雅黑" w:hAnsi="微软雅黑" w:eastAsia="微软雅黑"/>
        </w:rPr>
        <w:t>6.2.2  可信数据共享模块验证</w:t>
      </w:r>
    </w:p>
    <w:p>
      <w:pPr>
        <w:spacing w:line="360" w:lineRule="auto" w:after="120"/>
        <w:ind w:firstLine="420"/>
      </w:pPr>
      <w:r>
        <w:rPr>
          <w:rFonts w:ascii="微软雅黑" w:hAnsi="微软雅黑" w:eastAsia="微软雅黑"/>
          <w:b w:val="0"/>
          <w:sz w:val="21"/>
        </w:rPr>
        <w:t>可信数据共享模块是系统的核心模块，验证要点包括：</w:t>
      </w:r>
    </w:p>
    <w:p>
      <w:pPr>
        <w:pStyle w:val="ListBullet"/>
      </w:pPr>
      <w:r>
        <w:rPr>
          <w:rFonts w:ascii="微软雅黑" w:hAnsi="微软雅黑" w:eastAsia="微软雅黑"/>
          <w:sz w:val="20"/>
        </w:rPr>
        <w:t>数据使用控制策略：验证策略创建（Purpose/Scope/Duration/Frequency/Environment五维度）、策略分发（推送到连接器）、策略执行（在数据访问时自动拦截越权操作），采用黑盒+白盒测试相结合的方法。</w:t>
      </w:r>
    </w:p>
    <w:p>
      <w:pPr>
        <w:pStyle w:val="ListBullet"/>
      </w:pPr>
      <w:r>
        <w:rPr>
          <w:rFonts w:ascii="微软雅黑" w:hAnsi="微软雅黑" w:eastAsia="微软雅黑"/>
          <w:sz w:val="20"/>
        </w:rPr>
        <w:t>隐私计算：联邦学习验证多参与方联合训练的模型精度和通信开销，测试2-10个参与方场景；TEE验证enclave环境安全性和计算完整性；MPC验证3-5方联合计算的功能正确性和性能开销；同态加密验证CKKS方案的密文计算精度。</w:t>
      </w:r>
    </w:p>
    <w:p>
      <w:pPr>
        <w:pStyle w:val="ListBullet"/>
      </w:pPr>
      <w:r>
        <w:rPr>
          <w:rFonts w:ascii="微软雅黑" w:hAnsi="微软雅黑" w:eastAsia="微软雅黑"/>
          <w:sz w:val="20"/>
        </w:rPr>
        <w:t>数据连接器：验证提供者连接器和消费者连接器的全生命周期功能——注册、握手、数据传输、策略执行、日志上报。兼容性测试覆盖HTTP/REST、gRPC、MQTT三种传输协议。</w:t>
      </w:r>
    </w:p>
    <w:p>
      <w:pPr>
        <w:pStyle w:val="ListBullet"/>
      </w:pPr>
      <w:r>
        <w:rPr>
          <w:rFonts w:ascii="微软雅黑" w:hAnsi="微软雅黑" w:eastAsia="微软雅黑"/>
          <w:sz w:val="20"/>
        </w:rPr>
        <w:t>数据授权审批：验证审批流程引擎的正确性（单人审批/多人审批/会签/自动审批四种模式）、审批超时自动处理机制、审批历史区块链存证完整性。</w:t>
      </w:r>
    </w:p>
    <w:p>
      <w:pPr>
        <w:pStyle w:val="Heading3"/>
      </w:pPr>
      <w:r>
        <w:rPr>
          <w:rFonts w:ascii="微软雅黑" w:hAnsi="微软雅黑" w:eastAsia="微软雅黑"/>
        </w:rPr>
        <w:t>6.2.3  区块链存证模块验证</w:t>
      </w:r>
    </w:p>
    <w:p>
      <w:pPr>
        <w:spacing w:line="360" w:lineRule="auto" w:after="120"/>
        <w:ind w:firstLine="420"/>
      </w:pPr>
      <w:r>
        <w:rPr>
          <w:rFonts w:ascii="微软雅黑" w:hAnsi="微软雅黑" w:eastAsia="微软雅黑"/>
          <w:b w:val="0"/>
          <w:sz w:val="21"/>
        </w:rPr>
        <w:t>区块链存证模块验证覆盖智能合约正确性、存证完整性和链上查询功能：</w:t>
      </w:r>
    </w:p>
    <w:p>
      <w:pPr>
        <w:pStyle w:val="ListBullet"/>
      </w:pPr>
      <w:r>
        <w:rPr>
          <w:rFonts w:ascii="微软雅黑" w:hAnsi="微软雅黑" w:eastAsia="微软雅黑"/>
          <w:sz w:val="20"/>
        </w:rPr>
        <w:t>智能合约功能：验证6个核心合约（DataRegistry、DataTrade、EvidenceRegistry、DataNFT、AuthorizationHub、ContractManager）的部署、调用、事件触发和目标函数执行正确性。</w:t>
      </w:r>
    </w:p>
    <w:p>
      <w:pPr>
        <w:pStyle w:val="ListBullet"/>
      </w:pPr>
      <w:r>
        <w:rPr>
          <w:rFonts w:ascii="微软雅黑" w:hAnsi="微软雅黑" w:eastAsia="微软雅黑"/>
          <w:sz w:val="20"/>
        </w:rPr>
        <w:t>存证完整性：验证数据注册、授权、访问、销毁全生命周期操作的链上存证完整性，存证内容包括操作类型、时间戳、主体DID、数据哈希、操作结果等字段。</w:t>
      </w:r>
    </w:p>
    <w:p>
      <w:pPr>
        <w:pStyle w:val="ListBullet"/>
      </w:pPr>
      <w:r>
        <w:rPr>
          <w:rFonts w:ascii="微软雅黑" w:hAnsi="微软雅黑" w:eastAsia="微软雅黑"/>
          <w:sz w:val="20"/>
        </w:rPr>
        <w:t>链上查询：验证按操作类型、时间范围、主体DID等多维度条件组合查询的准确性和响应时间（目标&lt;3s）。</w:t>
      </w:r>
    </w:p>
    <w:p>
      <w:pPr>
        <w:pStyle w:val="Heading3"/>
      </w:pPr>
      <w:r>
        <w:rPr>
          <w:rFonts w:ascii="微软雅黑" w:hAnsi="微软雅黑" w:eastAsia="微软雅黑"/>
        </w:rPr>
        <w:t>6.2.4  安全认证模块验证</w:t>
      </w:r>
    </w:p>
    <w:p>
      <w:pPr>
        <w:spacing w:line="360" w:lineRule="auto" w:after="120"/>
        <w:ind w:firstLine="420"/>
      </w:pPr>
      <w:r>
        <w:rPr>
          <w:rFonts w:ascii="微软雅黑" w:hAnsi="微软雅黑" w:eastAsia="微软雅黑"/>
          <w:b w:val="0"/>
          <w:sz w:val="21"/>
        </w:rPr>
        <w:t>安全认证模块验证覆盖身份管理、认证和访问控制三大子模块：</w:t>
      </w:r>
    </w:p>
    <w:p>
      <w:pPr>
        <w:pStyle w:val="ListBullet"/>
      </w:pPr>
      <w:r>
        <w:rPr>
          <w:rFonts w:ascii="微软雅黑" w:hAnsi="微软雅黑" w:eastAsia="微软雅黑"/>
          <w:sz w:val="20"/>
        </w:rPr>
        <w:t>DID身份管理：验证did:key、did:web、did:ethr三种DID方法的创建、解析、更新、注销全生命周期，以及DID Document的正确性。</w:t>
      </w:r>
    </w:p>
    <w:p>
      <w:pPr>
        <w:pStyle w:val="ListBullet"/>
      </w:pPr>
      <w:r>
        <w:rPr>
          <w:rFonts w:ascii="微软雅黑" w:hAnsi="微软雅黑" w:eastAsia="微软雅黑"/>
          <w:sz w:val="20"/>
        </w:rPr>
        <w:t>VC凭证管理：验证VC的签发（Issuer签名）、持有（Holder验证和存储）、验证（Verifier验证签名和状态）、撤销（Revocation Registry）的完整流程。</w:t>
      </w:r>
    </w:p>
    <w:p>
      <w:pPr>
        <w:pStyle w:val="ListBullet"/>
      </w:pPr>
      <w:r>
        <w:rPr>
          <w:rFonts w:ascii="微软雅黑" w:hAnsi="微软雅黑" w:eastAsia="微软雅黑"/>
          <w:sz w:val="20"/>
        </w:rPr>
        <w:t>多因素认证：验证TOTP MFA的绑定流程（QR码生成、密钥存储）、验证流程（6位动态码输入校验、时间窗口容差）、解绑流程、设备丢失的应急恢复流程。</w:t>
      </w:r>
    </w:p>
    <w:p>
      <w:pPr>
        <w:pStyle w:val="ListBullet"/>
      </w:pPr>
      <w:r>
        <w:rPr>
          <w:rFonts w:ascii="微软雅黑" w:hAnsi="微软雅黑" w:eastAsia="微软雅黑"/>
          <w:sz w:val="20"/>
        </w:rPr>
        <w:t>访问控制：验证RBAC角色权限矩阵的正确性（admin/operator/analyst/viewer四角色），ABAC属性策略的灵活组合（部门+安全等级+时间），最小权限原则的执行效果。</w:t>
      </w:r>
    </w:p>
    <w:p>
      <w:pPr>
        <w:pStyle w:val="Heading3"/>
      </w:pPr>
      <w:r>
        <w:rPr>
          <w:rFonts w:ascii="微软雅黑" w:hAnsi="微软雅黑" w:eastAsia="微软雅黑"/>
        </w:rPr>
        <w:t>6.2.5  AI Agent模块验证</w:t>
      </w:r>
    </w:p>
    <w:p>
      <w:pPr>
        <w:spacing w:line="360" w:lineRule="auto" w:after="120"/>
        <w:ind w:firstLine="420"/>
      </w:pPr>
      <w:r>
        <w:rPr>
          <w:rFonts w:ascii="微软雅黑" w:hAnsi="微软雅黑" w:eastAsia="微软雅黑"/>
          <w:b w:val="0"/>
          <w:sz w:val="21"/>
        </w:rPr>
        <w:t>AI Agent模块验证要点包括：</w:t>
      </w:r>
    </w:p>
    <w:p>
      <w:pPr>
        <w:pStyle w:val="ListBullet"/>
      </w:pPr>
      <w:r>
        <w:rPr>
          <w:rFonts w:ascii="微软雅黑" w:hAnsi="微软雅黑" w:eastAsia="微软雅黑"/>
          <w:sz w:val="20"/>
        </w:rPr>
        <w:t>自然语言查询准确率：设计50组标准查询问题（涵盖数据查询、资产检索、统计分析等场景），验证AI Agent正确理解用户意图并生成准确SQL/API调用的比例（目标&gt;90%）。</w:t>
      </w:r>
    </w:p>
    <w:p>
      <w:pPr>
        <w:pStyle w:val="ListBullet"/>
      </w:pPr>
      <w:r>
        <w:rPr>
          <w:rFonts w:ascii="微软雅黑" w:hAnsi="微软雅黑" w:eastAsia="微软雅黑"/>
          <w:sz w:val="20"/>
        </w:rPr>
        <w:t>多Agent协作：验证Query/Trade/Security/Dispatch四种Agent在复杂任务（如"查询某电厂近30天发电数据，如果数据质量评分&gt;90就发布到数据市场"）中的协同工作能力。</w:t>
      </w:r>
    </w:p>
    <w:p>
      <w:pPr>
        <w:pStyle w:val="ListBullet"/>
      </w:pPr>
      <w:r>
        <w:rPr>
          <w:rFonts w:ascii="微软雅黑" w:hAnsi="微软雅黑" w:eastAsia="微软雅黑"/>
          <w:sz w:val="20"/>
        </w:rPr>
        <w:t>知识库检索：验证RAG检索增强生成的效果，确保AI Agent回答基于正确的领域知识（目标准确率&gt;95%）。</w:t>
      </w:r>
    </w:p>
    <w:p>
      <w:pPr>
        <w:pStyle w:val="Heading2"/>
      </w:pPr>
      <w:r>
        <w:rPr>
          <w:rFonts w:ascii="微软雅黑" w:hAnsi="微软雅黑" w:eastAsia="微软雅黑"/>
        </w:rPr>
        <w:t>6.3  性能验证方案</w:t>
      </w:r>
    </w:p>
    <w:p>
      <w:pPr>
        <w:spacing w:line="360" w:lineRule="auto" w:after="120"/>
        <w:ind w:firstLine="420"/>
      </w:pPr>
      <w:r>
        <w:rPr>
          <w:rFonts w:ascii="微软雅黑" w:hAnsi="微软雅黑" w:eastAsia="微软雅黑"/>
          <w:b w:val="0"/>
          <w:sz w:val="21"/>
        </w:rPr>
        <w:t>性能验证采用阶梯加压法，从低负载逐步增加到目标负载，最终达到极限负载，记录各阶段性能指标变化。测试工具采用Locust进行HTTP/API压力测试，WRK2进行端点延迟测试，Prometheus+Grafana进行资源监控。</w:t>
      </w:r>
    </w:p>
    <w:p>
      <w:pPr>
        <w:pStyle w:val="Heading3"/>
      </w:pPr>
      <w:r>
        <w:rPr>
          <w:rFonts w:ascii="微软雅黑" w:hAnsi="微软雅黑" w:eastAsia="微软雅黑"/>
        </w:rPr>
        <w:t>6.3.1  API性能测试用例</w:t>
      </w:r>
    </w:p>
    <w:p>
      <w:pPr>
        <w:spacing w:line="360" w:lineRule="auto" w:after="120"/>
        <w:jc w:val="center"/>
      </w:pPr>
      <w:r>
        <w:rPr>
          <w:rFonts w:ascii="微软雅黑" w:hAnsi="微软雅黑" w:eastAsia="微软雅黑"/>
          <w:b/>
          <w:sz w:val="18"/>
        </w:rPr>
        <w:t>表6-2  API性能测试用例</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417"/>
            <w:shd w:fill="1A3C6D"/>
          </w:tcPr>
          <w:p>
            <w:pPr>
              <w:jc w:val="center"/>
            </w:pPr>
            <w:r/>
            <w:r>
              <w:rPr>
                <w:rFonts w:ascii="微软雅黑" w:hAnsi="微软雅黑"/>
                <w:b/>
                <w:color w:val="FFFFFF"/>
                <w:sz w:val="16"/>
              </w:rPr>
              <w:t>测试场景</w:t>
            </w:r>
          </w:p>
        </w:tc>
        <w:tc>
          <w:tcPr>
            <w:tcW w:type="dxa" w:w="1984"/>
            <w:shd w:fill="1A3C6D"/>
          </w:tcPr>
          <w:p>
            <w:pPr>
              <w:jc w:val="center"/>
            </w:pPr>
            <w:r/>
            <w:r>
              <w:rPr>
                <w:rFonts w:ascii="微软雅黑" w:hAnsi="微软雅黑"/>
                <w:b/>
                <w:color w:val="FFFFFF"/>
                <w:sz w:val="16"/>
              </w:rPr>
              <w:t>API端点</w:t>
            </w:r>
          </w:p>
        </w:tc>
        <w:tc>
          <w:tcPr>
            <w:tcW w:type="dxa" w:w="850"/>
            <w:shd w:fill="1A3C6D"/>
          </w:tcPr>
          <w:p>
            <w:pPr>
              <w:jc w:val="center"/>
            </w:pPr>
            <w:r/>
            <w:r>
              <w:rPr>
                <w:rFonts w:ascii="微软雅黑" w:hAnsi="微软雅黑"/>
                <w:b/>
                <w:color w:val="FFFFFF"/>
                <w:sz w:val="16"/>
              </w:rPr>
              <w:t>并发数</w:t>
            </w:r>
          </w:p>
        </w:tc>
        <w:tc>
          <w:tcPr>
            <w:tcW w:type="dxa" w:w="850"/>
            <w:shd w:fill="1A3C6D"/>
          </w:tcPr>
          <w:p>
            <w:pPr>
              <w:jc w:val="center"/>
            </w:pPr>
            <w:r/>
            <w:r>
              <w:rPr>
                <w:rFonts w:ascii="微软雅黑" w:hAnsi="微软雅黑"/>
                <w:b/>
                <w:color w:val="FFFFFF"/>
                <w:sz w:val="16"/>
              </w:rPr>
              <w:t>持续时间</w:t>
            </w:r>
          </w:p>
        </w:tc>
        <w:tc>
          <w:tcPr>
            <w:tcW w:type="dxa" w:w="1134"/>
            <w:shd w:fill="1A3C6D"/>
          </w:tcPr>
          <w:p>
            <w:pPr>
              <w:jc w:val="center"/>
            </w:pPr>
            <w:r/>
            <w:r>
              <w:rPr>
                <w:rFonts w:ascii="微软雅黑" w:hAnsi="微软雅黑"/>
                <w:b/>
                <w:color w:val="FFFFFF"/>
                <w:sz w:val="16"/>
              </w:rPr>
              <w:t>期望P95延迟</w:t>
            </w:r>
          </w:p>
        </w:tc>
        <w:tc>
          <w:tcPr>
            <w:tcW w:type="dxa" w:w="850"/>
            <w:shd w:fill="1A3C6D"/>
          </w:tcPr>
          <w:p>
            <w:pPr>
              <w:jc w:val="center"/>
            </w:pPr>
            <w:r/>
            <w:r>
              <w:rPr>
                <w:rFonts w:ascii="微软雅黑" w:hAnsi="微软雅黑"/>
                <w:b/>
                <w:color w:val="FFFFFF"/>
                <w:sz w:val="16"/>
              </w:rPr>
              <w:t>期望成功率</w:t>
            </w:r>
          </w:p>
        </w:tc>
      </w:tr>
      <w:tr>
        <w:tc>
          <w:tcPr>
            <w:tcW w:type="dxa" w:w="1417"/>
          </w:tcPr>
          <w:p>
            <w:pPr>
              <w:jc w:val="center"/>
            </w:pPr>
            <w:r/>
            <w:r>
              <w:rPr>
                <w:rFonts w:ascii="微软雅黑" w:hAnsi="微软雅黑"/>
                <w:sz w:val="15"/>
              </w:rPr>
              <w:t>数据资产查询</w:t>
            </w:r>
          </w:p>
        </w:tc>
        <w:tc>
          <w:tcPr>
            <w:tcW w:type="dxa" w:w="1984"/>
          </w:tcPr>
          <w:p>
            <w:pPr>
              <w:jc w:val="center"/>
            </w:pPr>
            <w:r/>
            <w:r>
              <w:rPr>
                <w:rFonts w:ascii="微软雅黑" w:hAnsi="微软雅黑"/>
                <w:sz w:val="15"/>
              </w:rPr>
              <w:t>GET /api/v1/data-assets</w:t>
            </w:r>
          </w:p>
        </w:tc>
        <w:tc>
          <w:tcPr>
            <w:tcW w:type="dxa" w:w="850"/>
          </w:tcPr>
          <w:p>
            <w:pPr>
              <w:jc w:val="center"/>
            </w:pPr>
            <w:r/>
            <w:r>
              <w:rPr>
                <w:rFonts w:ascii="微软雅黑" w:hAnsi="微软雅黑"/>
                <w:sz w:val="15"/>
              </w:rPr>
              <w:t>100/500/1000</w:t>
            </w:r>
          </w:p>
        </w:tc>
        <w:tc>
          <w:tcPr>
            <w:tcW w:type="dxa" w:w="850"/>
          </w:tcPr>
          <w:p>
            <w:pPr>
              <w:jc w:val="center"/>
            </w:pPr>
            <w:r/>
            <w:r>
              <w:rPr>
                <w:rFonts w:ascii="微软雅黑" w:hAnsi="微软雅黑"/>
                <w:sz w:val="15"/>
              </w:rPr>
              <w:t>5min</w:t>
            </w:r>
          </w:p>
        </w:tc>
        <w:tc>
          <w:tcPr>
            <w:tcW w:type="dxa" w:w="1134"/>
          </w:tcPr>
          <w:p>
            <w:pPr>
              <w:jc w:val="center"/>
            </w:pPr>
            <w:r/>
            <w:r>
              <w:rPr>
                <w:rFonts w:ascii="微软雅黑" w:hAnsi="微软雅黑"/>
                <w:sz w:val="15"/>
              </w:rPr>
              <w:t>&lt;200/500/1000ms</w:t>
            </w:r>
          </w:p>
        </w:tc>
        <w:tc>
          <w:tcPr>
            <w:tcW w:type="dxa" w:w="850"/>
          </w:tcPr>
          <w:p>
            <w:pPr>
              <w:jc w:val="center"/>
            </w:pPr>
            <w:r/>
            <w:r>
              <w:rPr>
                <w:rFonts w:ascii="微软雅黑" w:hAnsi="微软雅黑"/>
                <w:sz w:val="15"/>
              </w:rPr>
              <w:t>&gt;99.9%</w:t>
            </w:r>
          </w:p>
        </w:tc>
      </w:tr>
      <w:tr>
        <w:tc>
          <w:tcPr>
            <w:tcW w:type="dxa" w:w="1417"/>
            <w:shd w:fill="F0F4FA"/>
          </w:tcPr>
          <w:p>
            <w:pPr>
              <w:jc w:val="center"/>
            </w:pPr>
            <w:r/>
            <w:r>
              <w:rPr>
                <w:rFonts w:ascii="微软雅黑" w:hAnsi="微软雅黑"/>
                <w:sz w:val="15"/>
              </w:rPr>
              <w:t>数据目录搜索</w:t>
            </w:r>
          </w:p>
        </w:tc>
        <w:tc>
          <w:tcPr>
            <w:tcW w:type="dxa" w:w="1984"/>
            <w:shd w:fill="F0F4FA"/>
          </w:tcPr>
          <w:p>
            <w:pPr>
              <w:jc w:val="center"/>
            </w:pPr>
            <w:r/>
            <w:r>
              <w:rPr>
                <w:rFonts w:ascii="微软雅黑" w:hAnsi="微软雅黑"/>
                <w:sz w:val="15"/>
              </w:rPr>
              <w:t>GET /api/v1/data-catalog/search</w:t>
            </w:r>
          </w:p>
        </w:tc>
        <w:tc>
          <w:tcPr>
            <w:tcW w:type="dxa" w:w="850"/>
            <w:shd w:fill="F0F4FA"/>
          </w:tcPr>
          <w:p>
            <w:pPr>
              <w:jc w:val="center"/>
            </w:pPr>
            <w:r/>
            <w:r>
              <w:rPr>
                <w:rFonts w:ascii="微软雅黑" w:hAnsi="微软雅黑"/>
                <w:sz w:val="15"/>
              </w:rPr>
              <w:t>100/500/1000</w:t>
            </w:r>
          </w:p>
        </w:tc>
        <w:tc>
          <w:tcPr>
            <w:tcW w:type="dxa" w:w="850"/>
            <w:shd w:fill="F0F4FA"/>
          </w:tcPr>
          <w:p>
            <w:pPr>
              <w:jc w:val="center"/>
            </w:pPr>
            <w:r/>
            <w:r>
              <w:rPr>
                <w:rFonts w:ascii="微软雅黑" w:hAnsi="微软雅黑"/>
                <w:sz w:val="15"/>
              </w:rPr>
              <w:t>5min</w:t>
            </w:r>
          </w:p>
        </w:tc>
        <w:tc>
          <w:tcPr>
            <w:tcW w:type="dxa" w:w="1134"/>
            <w:shd w:fill="F0F4FA"/>
          </w:tcPr>
          <w:p>
            <w:pPr>
              <w:jc w:val="center"/>
            </w:pPr>
            <w:r/>
            <w:r>
              <w:rPr>
                <w:rFonts w:ascii="微软雅黑" w:hAnsi="微软雅黑"/>
                <w:sz w:val="15"/>
              </w:rPr>
              <w:t>&lt;500/1000/2000ms</w:t>
            </w:r>
          </w:p>
        </w:tc>
        <w:tc>
          <w:tcPr>
            <w:tcW w:type="dxa" w:w="850"/>
            <w:shd w:fill="F0F4FA"/>
          </w:tcPr>
          <w:p>
            <w:pPr>
              <w:jc w:val="center"/>
            </w:pPr>
            <w:r/>
            <w:r>
              <w:rPr>
                <w:rFonts w:ascii="微软雅黑" w:hAnsi="微软雅黑"/>
                <w:sz w:val="15"/>
              </w:rPr>
              <w:t>&gt;99.9%</w:t>
            </w:r>
          </w:p>
        </w:tc>
      </w:tr>
      <w:tr>
        <w:tc>
          <w:tcPr>
            <w:tcW w:type="dxa" w:w="1417"/>
          </w:tcPr>
          <w:p>
            <w:pPr>
              <w:jc w:val="center"/>
            </w:pPr>
            <w:r/>
            <w:r>
              <w:rPr>
                <w:rFonts w:ascii="微软雅黑" w:hAnsi="微软雅黑"/>
                <w:sz w:val="15"/>
              </w:rPr>
              <w:t>用户登录认证</w:t>
            </w:r>
          </w:p>
        </w:tc>
        <w:tc>
          <w:tcPr>
            <w:tcW w:type="dxa" w:w="1984"/>
          </w:tcPr>
          <w:p>
            <w:pPr>
              <w:jc w:val="center"/>
            </w:pPr>
            <w:r/>
            <w:r>
              <w:rPr>
                <w:rFonts w:ascii="微软雅黑" w:hAnsi="微软雅黑"/>
                <w:sz w:val="15"/>
              </w:rPr>
              <w:t>POST /api/v1/auth/login</w:t>
            </w:r>
          </w:p>
        </w:tc>
        <w:tc>
          <w:tcPr>
            <w:tcW w:type="dxa" w:w="850"/>
          </w:tcPr>
          <w:p>
            <w:pPr>
              <w:jc w:val="center"/>
            </w:pPr>
            <w:r/>
            <w:r>
              <w:rPr>
                <w:rFonts w:ascii="微软雅黑" w:hAnsi="微软雅黑"/>
                <w:sz w:val="15"/>
              </w:rPr>
              <w:t>50/200/500</w:t>
            </w:r>
          </w:p>
        </w:tc>
        <w:tc>
          <w:tcPr>
            <w:tcW w:type="dxa" w:w="850"/>
          </w:tcPr>
          <w:p>
            <w:pPr>
              <w:jc w:val="center"/>
            </w:pPr>
            <w:r/>
            <w:r>
              <w:rPr>
                <w:rFonts w:ascii="微软雅黑" w:hAnsi="微软雅黑"/>
                <w:sz w:val="15"/>
              </w:rPr>
              <w:t>3min</w:t>
            </w:r>
          </w:p>
        </w:tc>
        <w:tc>
          <w:tcPr>
            <w:tcW w:type="dxa" w:w="1134"/>
          </w:tcPr>
          <w:p>
            <w:pPr>
              <w:jc w:val="center"/>
            </w:pPr>
            <w:r/>
            <w:r>
              <w:rPr>
                <w:rFonts w:ascii="微软雅黑" w:hAnsi="微软雅黑"/>
                <w:sz w:val="15"/>
              </w:rPr>
              <w:t>&lt;100/300/800ms</w:t>
            </w:r>
          </w:p>
        </w:tc>
        <w:tc>
          <w:tcPr>
            <w:tcW w:type="dxa" w:w="850"/>
          </w:tcPr>
          <w:p>
            <w:pPr>
              <w:jc w:val="center"/>
            </w:pPr>
            <w:r/>
            <w:r>
              <w:rPr>
                <w:rFonts w:ascii="微软雅黑" w:hAnsi="微软雅黑"/>
                <w:sz w:val="15"/>
              </w:rPr>
              <w:t>&gt;99.99%</w:t>
            </w:r>
          </w:p>
        </w:tc>
      </w:tr>
      <w:tr>
        <w:tc>
          <w:tcPr>
            <w:tcW w:type="dxa" w:w="1417"/>
            <w:shd w:fill="F0F4FA"/>
          </w:tcPr>
          <w:p>
            <w:pPr>
              <w:jc w:val="center"/>
            </w:pPr>
            <w:r/>
            <w:r>
              <w:rPr>
                <w:rFonts w:ascii="微软雅黑" w:hAnsi="微软雅黑"/>
                <w:sz w:val="15"/>
              </w:rPr>
              <w:t>数据资产创建</w:t>
            </w:r>
          </w:p>
        </w:tc>
        <w:tc>
          <w:tcPr>
            <w:tcW w:type="dxa" w:w="1984"/>
            <w:shd w:fill="F0F4FA"/>
          </w:tcPr>
          <w:p>
            <w:pPr>
              <w:jc w:val="center"/>
            </w:pPr>
            <w:r/>
            <w:r>
              <w:rPr>
                <w:rFonts w:ascii="微软雅黑" w:hAnsi="微软雅黑"/>
                <w:sz w:val="15"/>
              </w:rPr>
              <w:t>POST /api/v1/data-assets</w:t>
            </w:r>
          </w:p>
        </w:tc>
        <w:tc>
          <w:tcPr>
            <w:tcW w:type="dxa" w:w="850"/>
            <w:shd w:fill="F0F4FA"/>
          </w:tcPr>
          <w:p>
            <w:pPr>
              <w:jc w:val="center"/>
            </w:pPr>
            <w:r/>
            <w:r>
              <w:rPr>
                <w:rFonts w:ascii="微软雅黑" w:hAnsi="微软雅黑"/>
                <w:sz w:val="15"/>
              </w:rPr>
              <w:t>50/200</w:t>
            </w:r>
          </w:p>
        </w:tc>
        <w:tc>
          <w:tcPr>
            <w:tcW w:type="dxa" w:w="850"/>
            <w:shd w:fill="F0F4FA"/>
          </w:tcPr>
          <w:p>
            <w:pPr>
              <w:jc w:val="center"/>
            </w:pPr>
            <w:r/>
            <w:r>
              <w:rPr>
                <w:rFonts w:ascii="微软雅黑" w:hAnsi="微软雅黑"/>
                <w:sz w:val="15"/>
              </w:rPr>
              <w:t>3min</w:t>
            </w:r>
          </w:p>
        </w:tc>
        <w:tc>
          <w:tcPr>
            <w:tcW w:type="dxa" w:w="1134"/>
            <w:shd w:fill="F0F4FA"/>
          </w:tcPr>
          <w:p>
            <w:pPr>
              <w:jc w:val="center"/>
            </w:pPr>
            <w:r/>
            <w:r>
              <w:rPr>
                <w:rFonts w:ascii="微软雅黑" w:hAnsi="微软雅黑"/>
                <w:sz w:val="15"/>
              </w:rPr>
              <w:t>&lt;300/800ms</w:t>
            </w:r>
          </w:p>
        </w:tc>
        <w:tc>
          <w:tcPr>
            <w:tcW w:type="dxa" w:w="850"/>
            <w:shd w:fill="F0F4FA"/>
          </w:tcPr>
          <w:p>
            <w:pPr>
              <w:jc w:val="center"/>
            </w:pPr>
            <w:r/>
            <w:r>
              <w:rPr>
                <w:rFonts w:ascii="微软雅黑" w:hAnsi="微软雅黑"/>
                <w:sz w:val="15"/>
              </w:rPr>
              <w:t>&gt;99.5%</w:t>
            </w:r>
          </w:p>
        </w:tc>
      </w:tr>
      <w:tr>
        <w:tc>
          <w:tcPr>
            <w:tcW w:type="dxa" w:w="1417"/>
          </w:tcPr>
          <w:p>
            <w:pPr>
              <w:jc w:val="center"/>
            </w:pPr>
            <w:r/>
            <w:r>
              <w:rPr>
                <w:rFonts w:ascii="微软雅黑" w:hAnsi="微软雅黑"/>
                <w:sz w:val="15"/>
              </w:rPr>
              <w:t>智能合约调用</w:t>
            </w:r>
          </w:p>
        </w:tc>
        <w:tc>
          <w:tcPr>
            <w:tcW w:type="dxa" w:w="1984"/>
          </w:tcPr>
          <w:p>
            <w:pPr>
              <w:jc w:val="center"/>
            </w:pPr>
            <w:r/>
            <w:r>
              <w:rPr>
                <w:rFonts w:ascii="微软雅黑" w:hAnsi="微软雅黑"/>
                <w:sz w:val="15"/>
              </w:rPr>
              <w:t>POST /api/v1/blockchain/call</w:t>
            </w:r>
          </w:p>
        </w:tc>
        <w:tc>
          <w:tcPr>
            <w:tcW w:type="dxa" w:w="850"/>
          </w:tcPr>
          <w:p>
            <w:pPr>
              <w:jc w:val="center"/>
            </w:pPr>
            <w:r/>
            <w:r>
              <w:rPr>
                <w:rFonts w:ascii="微软雅黑" w:hAnsi="微软雅黑"/>
                <w:sz w:val="15"/>
              </w:rPr>
              <w:t>20/50</w:t>
            </w:r>
          </w:p>
        </w:tc>
        <w:tc>
          <w:tcPr>
            <w:tcW w:type="dxa" w:w="850"/>
          </w:tcPr>
          <w:p>
            <w:pPr>
              <w:jc w:val="center"/>
            </w:pPr>
            <w:r/>
            <w:r>
              <w:rPr>
                <w:rFonts w:ascii="微软雅黑" w:hAnsi="微软雅黑"/>
                <w:sz w:val="15"/>
              </w:rPr>
              <w:t>3min</w:t>
            </w:r>
          </w:p>
        </w:tc>
        <w:tc>
          <w:tcPr>
            <w:tcW w:type="dxa" w:w="1134"/>
          </w:tcPr>
          <w:p>
            <w:pPr>
              <w:jc w:val="center"/>
            </w:pPr>
            <w:r/>
            <w:r>
              <w:rPr>
                <w:rFonts w:ascii="微软雅黑" w:hAnsi="微软雅黑"/>
                <w:sz w:val="15"/>
              </w:rPr>
              <w:t>&lt;2000/5000ms</w:t>
            </w:r>
          </w:p>
        </w:tc>
        <w:tc>
          <w:tcPr>
            <w:tcW w:type="dxa" w:w="850"/>
          </w:tcPr>
          <w:p>
            <w:pPr>
              <w:jc w:val="center"/>
            </w:pPr>
            <w:r/>
            <w:r>
              <w:rPr>
                <w:rFonts w:ascii="微软雅黑" w:hAnsi="微软雅黑"/>
                <w:sz w:val="15"/>
              </w:rPr>
              <w:t>&gt;99.0%</w:t>
            </w:r>
          </w:p>
        </w:tc>
      </w:tr>
      <w:tr>
        <w:tc>
          <w:tcPr>
            <w:tcW w:type="dxa" w:w="1417"/>
            <w:shd w:fill="F0F4FA"/>
          </w:tcPr>
          <w:p>
            <w:pPr>
              <w:jc w:val="center"/>
            </w:pPr>
            <w:r/>
            <w:r>
              <w:rPr>
                <w:rFonts w:ascii="微软雅黑" w:hAnsi="微软雅黑"/>
                <w:sz w:val="15"/>
              </w:rPr>
              <w:t>AI Agent对话</w:t>
            </w:r>
          </w:p>
        </w:tc>
        <w:tc>
          <w:tcPr>
            <w:tcW w:type="dxa" w:w="1984"/>
            <w:shd w:fill="F0F4FA"/>
          </w:tcPr>
          <w:p>
            <w:pPr>
              <w:jc w:val="center"/>
            </w:pPr>
            <w:r/>
            <w:r>
              <w:rPr>
                <w:rFonts w:ascii="微软雅黑" w:hAnsi="微软雅黑"/>
                <w:sz w:val="15"/>
              </w:rPr>
              <w:t>POST /api/v1/ai-agent/chat</w:t>
            </w:r>
          </w:p>
        </w:tc>
        <w:tc>
          <w:tcPr>
            <w:tcW w:type="dxa" w:w="850"/>
            <w:shd w:fill="F0F4FA"/>
          </w:tcPr>
          <w:p>
            <w:pPr>
              <w:jc w:val="center"/>
            </w:pPr>
            <w:r/>
            <w:r>
              <w:rPr>
                <w:rFonts w:ascii="微软雅黑" w:hAnsi="微软雅黑"/>
                <w:sz w:val="15"/>
              </w:rPr>
              <w:t>20/50</w:t>
            </w:r>
          </w:p>
        </w:tc>
        <w:tc>
          <w:tcPr>
            <w:tcW w:type="dxa" w:w="850"/>
            <w:shd w:fill="F0F4FA"/>
          </w:tcPr>
          <w:p>
            <w:pPr>
              <w:jc w:val="center"/>
            </w:pPr>
            <w:r/>
            <w:r>
              <w:rPr>
                <w:rFonts w:ascii="微软雅黑" w:hAnsi="微软雅黑"/>
                <w:sz w:val="15"/>
              </w:rPr>
              <w:t>3min</w:t>
            </w:r>
          </w:p>
        </w:tc>
        <w:tc>
          <w:tcPr>
            <w:tcW w:type="dxa" w:w="1134"/>
            <w:shd w:fill="F0F4FA"/>
          </w:tcPr>
          <w:p>
            <w:pPr>
              <w:jc w:val="center"/>
            </w:pPr>
            <w:r/>
            <w:r>
              <w:rPr>
                <w:rFonts w:ascii="微软雅黑" w:hAnsi="微软雅黑"/>
                <w:sz w:val="15"/>
              </w:rPr>
              <w:t>&lt;3000/8000ms</w:t>
            </w:r>
          </w:p>
        </w:tc>
        <w:tc>
          <w:tcPr>
            <w:tcW w:type="dxa" w:w="850"/>
            <w:shd w:fill="F0F4FA"/>
          </w:tcPr>
          <w:p>
            <w:pPr>
              <w:jc w:val="center"/>
            </w:pPr>
            <w:r/>
            <w:r>
              <w:rPr>
                <w:rFonts w:ascii="微软雅黑" w:hAnsi="微软雅黑"/>
                <w:sz w:val="15"/>
              </w:rPr>
              <w:t>&gt;98.0%</w:t>
            </w:r>
          </w:p>
        </w:tc>
      </w:tr>
    </w:tbl>
    <w:p/>
    <w:p>
      <w:pPr>
        <w:pStyle w:val="Heading3"/>
      </w:pPr>
      <w:r>
        <w:rPr>
          <w:rFonts w:ascii="微软雅黑" w:hAnsi="微软雅黑" w:eastAsia="微软雅黑"/>
        </w:rPr>
        <w:t>6.3.2  联邦学习性能测试</w:t>
      </w:r>
    </w:p>
    <w:p>
      <w:pPr>
        <w:spacing w:line="360" w:lineRule="auto" w:after="120"/>
        <w:ind w:firstLine="420"/>
      </w:pPr>
      <w:r>
        <w:rPr>
          <w:rFonts w:ascii="微软雅黑" w:hAnsi="微软雅黑" w:eastAsia="微软雅黑"/>
          <w:b w:val="0"/>
          <w:sz w:val="21"/>
        </w:rPr>
        <w:t>联邦学习性能测试模拟2-10方参与典型能源场景：</w:t>
      </w:r>
    </w:p>
    <w:p>
      <w:pPr>
        <w:spacing w:line="360" w:lineRule="auto" w:after="120"/>
        <w:jc w:val="center"/>
      </w:pPr>
      <w:r>
        <w:rPr>
          <w:rFonts w:ascii="微软雅黑" w:hAnsi="微软雅黑" w:eastAsia="微软雅黑"/>
          <w:b/>
          <w:sz w:val="18"/>
        </w:rPr>
        <w:t>表6-3  联邦学习性能测试场景</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417"/>
            <w:shd w:fill="1A3C6D"/>
          </w:tcPr>
          <w:p>
            <w:pPr>
              <w:jc w:val="center"/>
            </w:pPr>
            <w:r/>
            <w:r>
              <w:rPr>
                <w:rFonts w:ascii="微软雅黑" w:hAnsi="微软雅黑"/>
                <w:b/>
                <w:color w:val="FFFFFF"/>
                <w:sz w:val="16"/>
              </w:rPr>
              <w:t>测试场景</w:t>
            </w:r>
          </w:p>
        </w:tc>
        <w:tc>
          <w:tcPr>
            <w:tcW w:type="dxa" w:w="850"/>
            <w:shd w:fill="1A3C6D"/>
          </w:tcPr>
          <w:p>
            <w:pPr>
              <w:jc w:val="center"/>
            </w:pPr>
            <w:r/>
            <w:r>
              <w:rPr>
                <w:rFonts w:ascii="微软雅黑" w:hAnsi="微软雅黑"/>
                <w:b/>
                <w:color w:val="FFFFFF"/>
                <w:sz w:val="16"/>
              </w:rPr>
              <w:t>参与方数</w:t>
            </w:r>
          </w:p>
        </w:tc>
        <w:tc>
          <w:tcPr>
            <w:tcW w:type="dxa" w:w="1417"/>
            <w:shd w:fill="1A3C6D"/>
          </w:tcPr>
          <w:p>
            <w:pPr>
              <w:jc w:val="center"/>
            </w:pPr>
            <w:r/>
            <w:r>
              <w:rPr>
                <w:rFonts w:ascii="微软雅黑" w:hAnsi="微软雅黑"/>
                <w:b/>
                <w:color w:val="FFFFFF"/>
                <w:sz w:val="16"/>
              </w:rPr>
              <w:t>数据集大小</w:t>
            </w:r>
          </w:p>
        </w:tc>
        <w:tc>
          <w:tcPr>
            <w:tcW w:type="dxa" w:w="1417"/>
            <w:shd w:fill="1A3C6D"/>
          </w:tcPr>
          <w:p>
            <w:pPr>
              <w:jc w:val="center"/>
            </w:pPr>
            <w:r/>
            <w:r>
              <w:rPr>
                <w:rFonts w:ascii="微软雅黑" w:hAnsi="微软雅黑"/>
                <w:b/>
                <w:color w:val="FFFFFF"/>
                <w:sz w:val="16"/>
              </w:rPr>
              <w:t>模型类型</w:t>
            </w:r>
          </w:p>
        </w:tc>
        <w:tc>
          <w:tcPr>
            <w:tcW w:type="dxa" w:w="850"/>
            <w:shd w:fill="1A3C6D"/>
          </w:tcPr>
          <w:p>
            <w:pPr>
              <w:jc w:val="center"/>
            </w:pPr>
            <w:r/>
            <w:r>
              <w:rPr>
                <w:rFonts w:ascii="微软雅黑" w:hAnsi="微软雅黑"/>
                <w:b/>
                <w:color w:val="FFFFFF"/>
                <w:sz w:val="16"/>
              </w:rPr>
              <w:t>测试轮数</w:t>
            </w:r>
          </w:p>
        </w:tc>
        <w:tc>
          <w:tcPr>
            <w:tcW w:type="dxa" w:w="850"/>
            <w:shd w:fill="1A3C6D"/>
          </w:tcPr>
          <w:p>
            <w:pPr>
              <w:jc w:val="center"/>
            </w:pPr>
            <w:r/>
            <w:r>
              <w:rPr>
                <w:rFonts w:ascii="微软雅黑" w:hAnsi="微软雅黑"/>
                <w:b/>
                <w:color w:val="FFFFFF"/>
                <w:sz w:val="16"/>
              </w:rPr>
              <w:t>期望精度</w:t>
            </w:r>
          </w:p>
        </w:tc>
        <w:tc>
          <w:tcPr>
            <w:tcW w:type="dxa" w:w="850"/>
            <w:shd w:fill="1A3C6D"/>
          </w:tcPr>
          <w:p>
            <w:pPr>
              <w:jc w:val="center"/>
            </w:pPr>
            <w:r/>
            <w:r>
              <w:rPr>
                <w:rFonts w:ascii="微软雅黑" w:hAnsi="微软雅黑"/>
                <w:b/>
                <w:color w:val="FFFFFF"/>
                <w:sz w:val="16"/>
              </w:rPr>
              <w:t>期望耗时</w:t>
            </w:r>
          </w:p>
        </w:tc>
      </w:tr>
      <w:tr>
        <w:tc>
          <w:tcPr>
            <w:tcW w:type="dxa" w:w="1417"/>
          </w:tcPr>
          <w:p>
            <w:pPr>
              <w:jc w:val="center"/>
            </w:pPr>
            <w:r/>
            <w:r>
              <w:rPr>
                <w:rFonts w:ascii="微软雅黑" w:hAnsi="微软雅黑"/>
                <w:sz w:val="15"/>
              </w:rPr>
              <w:t>负荷联合预测</w:t>
            </w:r>
          </w:p>
        </w:tc>
        <w:tc>
          <w:tcPr>
            <w:tcW w:type="dxa" w:w="850"/>
          </w:tcPr>
          <w:p>
            <w:pPr>
              <w:jc w:val="center"/>
            </w:pPr>
            <w:r/>
            <w:r>
              <w:rPr>
                <w:rFonts w:ascii="微软雅黑" w:hAnsi="微软雅黑"/>
                <w:sz w:val="15"/>
              </w:rPr>
              <w:t>5方</w:t>
            </w:r>
          </w:p>
        </w:tc>
        <w:tc>
          <w:tcPr>
            <w:tcW w:type="dxa" w:w="1417"/>
          </w:tcPr>
          <w:p>
            <w:pPr>
              <w:jc w:val="center"/>
            </w:pPr>
            <w:r/>
            <w:r>
              <w:rPr>
                <w:rFonts w:ascii="微软雅黑" w:hAnsi="微软雅黑"/>
                <w:sz w:val="15"/>
              </w:rPr>
              <w:t>各方10GB（共50GB）</w:t>
            </w:r>
          </w:p>
        </w:tc>
        <w:tc>
          <w:tcPr>
            <w:tcW w:type="dxa" w:w="1417"/>
          </w:tcPr>
          <w:p>
            <w:pPr>
              <w:jc w:val="center"/>
            </w:pPr>
            <w:r/>
            <w:r>
              <w:rPr>
                <w:rFonts w:ascii="微软雅黑" w:hAnsi="微软雅黑"/>
                <w:sz w:val="15"/>
              </w:rPr>
              <w:t>LSTM+Attention</w:t>
            </w:r>
          </w:p>
        </w:tc>
        <w:tc>
          <w:tcPr>
            <w:tcW w:type="dxa" w:w="850"/>
          </w:tcPr>
          <w:p>
            <w:pPr>
              <w:jc w:val="center"/>
            </w:pPr>
            <w:r/>
            <w:r>
              <w:rPr>
                <w:rFonts w:ascii="微软雅黑" w:hAnsi="微软雅黑"/>
                <w:sz w:val="15"/>
              </w:rPr>
              <w:t>100轮</w:t>
            </w:r>
          </w:p>
        </w:tc>
        <w:tc>
          <w:tcPr>
            <w:tcW w:type="dxa" w:w="850"/>
          </w:tcPr>
          <w:p>
            <w:pPr>
              <w:jc w:val="center"/>
            </w:pPr>
            <w:r/>
            <w:r>
              <w:rPr>
                <w:rFonts w:ascii="微软雅黑" w:hAnsi="微软雅黑"/>
                <w:sz w:val="15"/>
              </w:rPr>
              <w:t>MAPE&lt;5%</w:t>
            </w:r>
          </w:p>
        </w:tc>
        <w:tc>
          <w:tcPr>
            <w:tcW w:type="dxa" w:w="850"/>
          </w:tcPr>
          <w:p>
            <w:pPr>
              <w:jc w:val="center"/>
            </w:pPr>
            <w:r/>
            <w:r>
              <w:rPr>
                <w:rFonts w:ascii="微软雅黑" w:hAnsi="微软雅黑"/>
                <w:sz w:val="15"/>
              </w:rPr>
              <w:t>&lt;8小时</w:t>
            </w:r>
          </w:p>
        </w:tc>
      </w:tr>
      <w:tr>
        <w:tc>
          <w:tcPr>
            <w:tcW w:type="dxa" w:w="1417"/>
            <w:shd w:fill="F0F4FA"/>
          </w:tcPr>
          <w:p>
            <w:pPr>
              <w:jc w:val="center"/>
            </w:pPr>
            <w:r/>
            <w:r>
              <w:rPr>
                <w:rFonts w:ascii="微软雅黑" w:hAnsi="微软雅黑"/>
                <w:sz w:val="15"/>
              </w:rPr>
              <w:t>设备故障诊断</w:t>
            </w:r>
          </w:p>
        </w:tc>
        <w:tc>
          <w:tcPr>
            <w:tcW w:type="dxa" w:w="850"/>
            <w:shd w:fill="F0F4FA"/>
          </w:tcPr>
          <w:p>
            <w:pPr>
              <w:jc w:val="center"/>
            </w:pPr>
            <w:r/>
            <w:r>
              <w:rPr>
                <w:rFonts w:ascii="微软雅黑" w:hAnsi="微软雅黑"/>
                <w:sz w:val="15"/>
              </w:rPr>
              <w:t>3方</w:t>
            </w:r>
          </w:p>
        </w:tc>
        <w:tc>
          <w:tcPr>
            <w:tcW w:type="dxa" w:w="1417"/>
            <w:shd w:fill="F0F4FA"/>
          </w:tcPr>
          <w:p>
            <w:pPr>
              <w:jc w:val="center"/>
            </w:pPr>
            <w:r/>
            <w:r>
              <w:rPr>
                <w:rFonts w:ascii="微软雅黑" w:hAnsi="微软雅黑"/>
                <w:sz w:val="15"/>
              </w:rPr>
              <w:t>各方5GB（共15GB）</w:t>
            </w:r>
          </w:p>
        </w:tc>
        <w:tc>
          <w:tcPr>
            <w:tcW w:type="dxa" w:w="1417"/>
            <w:shd w:fill="F0F4FA"/>
          </w:tcPr>
          <w:p>
            <w:pPr>
              <w:jc w:val="center"/>
            </w:pPr>
            <w:r/>
            <w:r>
              <w:rPr>
                <w:rFonts w:ascii="微软雅黑" w:hAnsi="微软雅黑"/>
                <w:sz w:val="15"/>
              </w:rPr>
              <w:t>XGBoost FTL</w:t>
            </w:r>
          </w:p>
        </w:tc>
        <w:tc>
          <w:tcPr>
            <w:tcW w:type="dxa" w:w="850"/>
            <w:shd w:fill="F0F4FA"/>
          </w:tcPr>
          <w:p>
            <w:pPr>
              <w:jc w:val="center"/>
            </w:pPr>
            <w:r/>
            <w:r>
              <w:rPr>
                <w:rFonts w:ascii="微软雅黑" w:hAnsi="微软雅黑"/>
                <w:sz w:val="15"/>
              </w:rPr>
              <w:t>50轮</w:t>
            </w:r>
          </w:p>
        </w:tc>
        <w:tc>
          <w:tcPr>
            <w:tcW w:type="dxa" w:w="850"/>
            <w:shd w:fill="F0F4FA"/>
          </w:tcPr>
          <w:p>
            <w:pPr>
              <w:jc w:val="center"/>
            </w:pPr>
            <w:r/>
            <w:r>
              <w:rPr>
                <w:rFonts w:ascii="微软雅黑" w:hAnsi="微软雅黑"/>
                <w:sz w:val="15"/>
              </w:rPr>
              <w:t>F1&gt;0.9</w:t>
            </w:r>
          </w:p>
        </w:tc>
        <w:tc>
          <w:tcPr>
            <w:tcW w:type="dxa" w:w="850"/>
            <w:shd w:fill="F0F4FA"/>
          </w:tcPr>
          <w:p>
            <w:pPr>
              <w:jc w:val="center"/>
            </w:pPr>
            <w:r/>
            <w:r>
              <w:rPr>
                <w:rFonts w:ascii="微软雅黑" w:hAnsi="微软雅黑"/>
                <w:sz w:val="15"/>
              </w:rPr>
              <w:t>&lt;3小时</w:t>
            </w:r>
          </w:p>
        </w:tc>
      </w:tr>
      <w:tr>
        <w:tc>
          <w:tcPr>
            <w:tcW w:type="dxa" w:w="1417"/>
          </w:tcPr>
          <w:p>
            <w:pPr>
              <w:jc w:val="center"/>
            </w:pPr>
            <w:r/>
            <w:r>
              <w:rPr>
                <w:rFonts w:ascii="微软雅黑" w:hAnsi="微软雅黑"/>
                <w:sz w:val="15"/>
              </w:rPr>
              <w:t>新能源功率预测</w:t>
            </w:r>
          </w:p>
        </w:tc>
        <w:tc>
          <w:tcPr>
            <w:tcW w:type="dxa" w:w="850"/>
          </w:tcPr>
          <w:p>
            <w:pPr>
              <w:jc w:val="center"/>
            </w:pPr>
            <w:r/>
            <w:r>
              <w:rPr>
                <w:rFonts w:ascii="微软雅黑" w:hAnsi="微软雅黑"/>
                <w:sz w:val="15"/>
              </w:rPr>
              <w:t>10方</w:t>
            </w:r>
          </w:p>
        </w:tc>
        <w:tc>
          <w:tcPr>
            <w:tcW w:type="dxa" w:w="1417"/>
          </w:tcPr>
          <w:p>
            <w:pPr>
              <w:jc w:val="center"/>
            </w:pPr>
            <w:r/>
            <w:r>
              <w:rPr>
                <w:rFonts w:ascii="微软雅黑" w:hAnsi="微软雅黑"/>
                <w:sz w:val="15"/>
              </w:rPr>
              <w:t>各方20GB（共200GB）</w:t>
            </w:r>
          </w:p>
        </w:tc>
        <w:tc>
          <w:tcPr>
            <w:tcW w:type="dxa" w:w="1417"/>
          </w:tcPr>
          <w:p>
            <w:pPr>
              <w:jc w:val="center"/>
            </w:pPr>
            <w:r/>
            <w:r>
              <w:rPr>
                <w:rFonts w:ascii="微软雅黑" w:hAnsi="微软雅黑"/>
                <w:sz w:val="15"/>
              </w:rPr>
              <w:t>Transformer</w:t>
            </w:r>
          </w:p>
        </w:tc>
        <w:tc>
          <w:tcPr>
            <w:tcW w:type="dxa" w:w="850"/>
          </w:tcPr>
          <w:p>
            <w:pPr>
              <w:jc w:val="center"/>
            </w:pPr>
            <w:r/>
            <w:r>
              <w:rPr>
                <w:rFonts w:ascii="微软雅黑" w:hAnsi="微软雅黑"/>
                <w:sz w:val="15"/>
              </w:rPr>
              <w:t>100轮</w:t>
            </w:r>
          </w:p>
        </w:tc>
        <w:tc>
          <w:tcPr>
            <w:tcW w:type="dxa" w:w="850"/>
          </w:tcPr>
          <w:p>
            <w:pPr>
              <w:jc w:val="center"/>
            </w:pPr>
            <w:r/>
            <w:r>
              <w:rPr>
                <w:rFonts w:ascii="微软雅黑" w:hAnsi="微软雅黑"/>
                <w:sz w:val="15"/>
              </w:rPr>
              <w:t>MAPE&lt;8%</w:t>
            </w:r>
          </w:p>
        </w:tc>
        <w:tc>
          <w:tcPr>
            <w:tcW w:type="dxa" w:w="850"/>
          </w:tcPr>
          <w:p>
            <w:pPr>
              <w:jc w:val="center"/>
            </w:pPr>
            <w:r/>
            <w:r>
              <w:rPr>
                <w:rFonts w:ascii="微软雅黑" w:hAnsi="微软雅黑"/>
                <w:sz w:val="15"/>
              </w:rPr>
              <w:t>&lt;24小时</w:t>
            </w:r>
          </w:p>
        </w:tc>
      </w:tr>
      <w:tr>
        <w:tc>
          <w:tcPr>
            <w:tcW w:type="dxa" w:w="1417"/>
            <w:shd w:fill="F0F4FA"/>
          </w:tcPr>
          <w:p>
            <w:pPr>
              <w:jc w:val="center"/>
            </w:pPr>
            <w:r/>
            <w:r>
              <w:rPr>
                <w:rFonts w:ascii="微软雅黑" w:hAnsi="微软雅黑"/>
                <w:sz w:val="15"/>
              </w:rPr>
              <w:t>电力交易价格预测</w:t>
            </w:r>
          </w:p>
        </w:tc>
        <w:tc>
          <w:tcPr>
            <w:tcW w:type="dxa" w:w="850"/>
            <w:shd w:fill="F0F4FA"/>
          </w:tcPr>
          <w:p>
            <w:pPr>
              <w:jc w:val="center"/>
            </w:pPr>
            <w:r/>
            <w:r>
              <w:rPr>
                <w:rFonts w:ascii="微软雅黑" w:hAnsi="微软雅黑"/>
                <w:sz w:val="15"/>
              </w:rPr>
              <w:t>5方</w:t>
            </w:r>
          </w:p>
        </w:tc>
        <w:tc>
          <w:tcPr>
            <w:tcW w:type="dxa" w:w="1417"/>
            <w:shd w:fill="F0F4FA"/>
          </w:tcPr>
          <w:p>
            <w:pPr>
              <w:jc w:val="center"/>
            </w:pPr>
            <w:r/>
            <w:r>
              <w:rPr>
                <w:rFonts w:ascii="微软雅黑" w:hAnsi="微软雅黑"/>
                <w:sz w:val="15"/>
              </w:rPr>
              <w:t>各方5GB（共25GB）</w:t>
            </w:r>
          </w:p>
        </w:tc>
        <w:tc>
          <w:tcPr>
            <w:tcW w:type="dxa" w:w="1417"/>
            <w:shd w:fill="F0F4FA"/>
          </w:tcPr>
          <w:p>
            <w:pPr>
              <w:jc w:val="center"/>
            </w:pPr>
            <w:r/>
            <w:r>
              <w:rPr>
                <w:rFonts w:ascii="微软雅黑" w:hAnsi="微软雅黑"/>
                <w:sz w:val="15"/>
              </w:rPr>
              <w:t>GRU</w:t>
            </w:r>
          </w:p>
        </w:tc>
        <w:tc>
          <w:tcPr>
            <w:tcW w:type="dxa" w:w="850"/>
            <w:shd w:fill="F0F4FA"/>
          </w:tcPr>
          <w:p>
            <w:pPr>
              <w:jc w:val="center"/>
            </w:pPr>
            <w:r/>
            <w:r>
              <w:rPr>
                <w:rFonts w:ascii="微软雅黑" w:hAnsi="微软雅黑"/>
                <w:sz w:val="15"/>
              </w:rPr>
              <w:t>80轮</w:t>
            </w:r>
          </w:p>
        </w:tc>
        <w:tc>
          <w:tcPr>
            <w:tcW w:type="dxa" w:w="850"/>
            <w:shd w:fill="F0F4FA"/>
          </w:tcPr>
          <w:p>
            <w:pPr>
              <w:jc w:val="center"/>
            </w:pPr>
            <w:r/>
            <w:r>
              <w:rPr>
                <w:rFonts w:ascii="微软雅黑" w:hAnsi="微软雅黑"/>
                <w:sz w:val="15"/>
              </w:rPr>
              <w:t>MAPE&lt;6%</w:t>
            </w:r>
          </w:p>
        </w:tc>
        <w:tc>
          <w:tcPr>
            <w:tcW w:type="dxa" w:w="850"/>
            <w:shd w:fill="F0F4FA"/>
          </w:tcPr>
          <w:p>
            <w:pPr>
              <w:jc w:val="center"/>
            </w:pPr>
            <w:r/>
            <w:r>
              <w:rPr>
                <w:rFonts w:ascii="微软雅黑" w:hAnsi="微软雅黑"/>
                <w:sz w:val="15"/>
              </w:rPr>
              <w:t>&lt;4小时</w:t>
            </w:r>
          </w:p>
        </w:tc>
      </w:tr>
    </w:tbl>
    <w:p/>
    <w:p>
      <w:pPr>
        <w:pStyle w:val="Heading3"/>
      </w:pPr>
      <w:r>
        <w:rPr>
          <w:rFonts w:ascii="微软雅黑" w:hAnsi="微软雅黑" w:eastAsia="微软雅黑"/>
        </w:rPr>
        <w:t>6.3.3  区块链TPS测试</w:t>
      </w:r>
    </w:p>
    <w:p>
      <w:pPr>
        <w:spacing w:line="360" w:lineRule="auto" w:after="120"/>
        <w:ind w:firstLine="420"/>
      </w:pPr>
      <w:r>
        <w:rPr>
          <w:rFonts w:ascii="微软雅黑" w:hAnsi="微软雅黑" w:eastAsia="微软雅黑"/>
          <w:b w:val="0"/>
          <w:sz w:val="21"/>
        </w:rPr>
        <w:t>区块链TPS测试在私有以太坊网络上进行，测试3节点共识（Clique PoA）：部署智能合约到空区块→每次发送100笔简单转账交易→记录区块打包时间和TPS。重复100次取平均值。如果简单交易TPS&lt;50，切换为更轻量的共识机制或使用高TPS联盟链（如FISCO BCOS）。</w:t>
      </w:r>
    </w:p>
    <w:p>
      <w:pPr>
        <w:pStyle w:val="Heading2"/>
      </w:pPr>
      <w:r>
        <w:rPr>
          <w:rFonts w:ascii="微软雅黑" w:hAnsi="微软雅黑" w:eastAsia="微软雅黑"/>
        </w:rPr>
        <w:t>6.4  安全验证方案</w:t>
      </w:r>
    </w:p>
    <w:p>
      <w:pPr>
        <w:spacing w:line="360" w:lineRule="auto" w:after="120"/>
        <w:ind w:firstLine="420"/>
      </w:pPr>
      <w:r>
        <w:rPr>
          <w:rFonts w:ascii="微软雅黑" w:hAnsi="微软雅黑" w:eastAsia="微软雅黑"/>
          <w:b w:val="0"/>
          <w:sz w:val="21"/>
        </w:rPr>
        <w:t>安全验证覆盖身份认证、授权控制、数据加密、审计日志、漏洞扫描和渗透测试六个方面：</w:t>
      </w:r>
    </w:p>
    <w:p>
      <w:pPr>
        <w:pStyle w:val="ListBullet"/>
      </w:pPr>
      <w:r>
        <w:rPr>
          <w:rFonts w:ascii="微软雅黑" w:hAnsi="微软雅黑" w:eastAsia="微软雅黑"/>
          <w:sz w:val="20"/>
        </w:rPr>
        <w:t>认证安全测试：测试暴力破解防护（10次/分钟锁策略）、会话超时（30分钟无操作自动登出）、并发会话限制（同一账号最多3个并发会话）、JWT Token安全（签名算法强制RS256、过期时间校验、Token刷新机制）。</w:t>
      </w:r>
    </w:p>
    <w:p>
      <w:pPr>
        <w:pStyle w:val="ListBullet"/>
      </w:pPr>
      <w:r>
        <w:rPr>
          <w:rFonts w:ascii="微软雅黑" w:hAnsi="微软雅黑" w:eastAsia="微软雅黑"/>
          <w:sz w:val="20"/>
        </w:rPr>
        <w:t>授权绕过测试：使用低权限用户尝试越权访问高权限API，测试所有604个API端点的权限校验完整性。采用RBAC四角色组合测试矩阵。</w:t>
      </w:r>
    </w:p>
    <w:p>
      <w:pPr>
        <w:pStyle w:val="ListBullet"/>
      </w:pPr>
      <w:r>
        <w:rPr>
          <w:rFonts w:ascii="微软雅黑" w:hAnsi="微软雅黑" w:eastAsia="微软雅黑"/>
          <w:sz w:val="20"/>
        </w:rPr>
        <w:t>数据安全测试：验证传输层TLS 1.3强制执行、数据库字段AES-256-GCM加密存储、敏感数据脱敏显示、API响应不泄露内部信息。</w:t>
      </w:r>
    </w:p>
    <w:p>
      <w:pPr>
        <w:pStyle w:val="ListBullet"/>
      </w:pPr>
      <w:r>
        <w:rPr>
          <w:rFonts w:ascii="微软雅黑" w:hAnsi="微软雅黑" w:eastAsia="微软雅黑"/>
          <w:sz w:val="20"/>
        </w:rPr>
        <w:t>审计日志测试：验证所有关键操作的审计日志记录完整性、日志内容的准确性和完整性、日志防篡改保护、180天日志保留策略。</w:t>
      </w:r>
    </w:p>
    <w:p>
      <w:pPr>
        <w:pStyle w:val="ListBullet"/>
      </w:pPr>
      <w:r>
        <w:rPr>
          <w:rFonts w:ascii="微软雅黑" w:hAnsi="微软雅黑" w:eastAsia="微软雅黑"/>
          <w:sz w:val="20"/>
        </w:rPr>
        <w:t>漏洞扫描：使用OWASP ZAP和Nessus进行自动化安全扫描，目标为零高危漏洞。覆盖OWASP Top 10（2021版）安全风险。</w:t>
      </w:r>
    </w:p>
    <w:p>
      <w:pPr>
        <w:pStyle w:val="ListBullet"/>
      </w:pPr>
      <w:r>
        <w:rPr>
          <w:rFonts w:ascii="微软雅黑" w:hAnsi="微软雅黑" w:eastAsia="微软雅黑"/>
          <w:sz w:val="20"/>
        </w:rPr>
        <w:t>渗透测试：邀请第三方安全团队进行灰盒渗透测试，重点测试SQL注入（验证参数化查询覆盖率）、XSS跨站脚本、CSRF跨站请求伪造、SSRF服务端请求伪造、目录遍历、文件上传漏洞等。</w:t>
      </w:r>
    </w:p>
    <w:p>
      <w:pPr>
        <w:pStyle w:val="Heading2"/>
      </w:pPr>
      <w:r>
        <w:rPr>
          <w:rFonts w:ascii="微软雅黑" w:hAnsi="微软雅黑" w:eastAsia="微软雅黑"/>
        </w:rPr>
        <w:t>6.5  可靠性验证方案</w:t>
      </w:r>
    </w:p>
    <w:p>
      <w:pPr>
        <w:spacing w:line="360" w:lineRule="auto" w:after="120"/>
        <w:ind w:firstLine="420"/>
      </w:pPr>
      <w:r>
        <w:rPr>
          <w:rFonts w:ascii="微软雅黑" w:hAnsi="微软雅黑" w:eastAsia="微软雅黑"/>
          <w:b w:val="0"/>
          <w:sz w:val="21"/>
        </w:rPr>
        <w:t>可靠性验证采用混沌工程方法：模拟数据库主节点故障（验证自动故障转移和RTO）、网络分区（验证服务降级策略）、Redis缓存故障（验证缓存穿透保护）、消息队列积压（验证背压处理机制）、磁盘空间耗尽（验证告警触发和自动清理）。目标系统可用性&gt;99.9%，RTO&lt;30分钟，RPO&lt;5分钟。</w:t>
      </w:r>
    </w:p>
    <w:p>
      <w:pPr>
        <w:pStyle w:val="Heading2"/>
      </w:pPr>
      <w:r>
        <w:rPr>
          <w:rFonts w:ascii="微软雅黑" w:hAnsi="微软雅黑" w:eastAsia="微软雅黑"/>
        </w:rPr>
        <w:t>6.6  验收标准</w:t>
      </w:r>
    </w:p>
    <w:p>
      <w:pPr>
        <w:spacing w:line="360" w:lineRule="auto" w:after="120"/>
        <w:ind w:firstLine="420"/>
      </w:pPr>
      <w:r>
        <w:rPr>
          <w:rFonts w:ascii="微软雅黑" w:hAnsi="微软雅黑" w:eastAsia="微软雅黑"/>
          <w:b w:val="0"/>
          <w:sz w:val="21"/>
        </w:rPr>
        <w:t>以下为各模块的详细验收标准矩阵：</w:t>
      </w:r>
    </w:p>
    <w:p>
      <w:pPr>
        <w:spacing w:line="360" w:lineRule="auto" w:after="120"/>
        <w:jc w:val="center"/>
      </w:pPr>
      <w:r>
        <w:rPr>
          <w:rFonts w:ascii="微软雅黑" w:hAnsi="微软雅黑" w:eastAsia="微软雅黑"/>
          <w:b/>
          <w:sz w:val="18"/>
        </w:rPr>
        <w:t>表6-4  验收标准汇总</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134"/>
            <w:shd w:fill="1A3C6D"/>
          </w:tcPr>
          <w:p>
            <w:pPr>
              <w:jc w:val="center"/>
            </w:pPr>
            <w:r/>
            <w:r>
              <w:rPr>
                <w:rFonts w:ascii="微软雅黑" w:hAnsi="微软雅黑"/>
                <w:b/>
                <w:color w:val="FFFFFF"/>
                <w:sz w:val="16"/>
              </w:rPr>
              <w:t>验收维度</w:t>
            </w:r>
          </w:p>
        </w:tc>
        <w:tc>
          <w:tcPr>
            <w:tcW w:type="dxa" w:w="1417"/>
            <w:shd w:fill="1A3C6D"/>
          </w:tcPr>
          <w:p>
            <w:pPr>
              <w:jc w:val="center"/>
            </w:pPr>
            <w:r/>
            <w:r>
              <w:rPr>
                <w:rFonts w:ascii="微软雅黑" w:hAnsi="微软雅黑"/>
                <w:b/>
                <w:color w:val="FFFFFF"/>
                <w:sz w:val="16"/>
              </w:rPr>
              <w:t>验收指标</w:t>
            </w:r>
          </w:p>
        </w:tc>
        <w:tc>
          <w:tcPr>
            <w:tcW w:type="dxa" w:w="1417"/>
            <w:shd w:fill="1A3C6D"/>
          </w:tcPr>
          <w:p>
            <w:pPr>
              <w:jc w:val="center"/>
            </w:pPr>
            <w:r/>
            <w:r>
              <w:rPr>
                <w:rFonts w:ascii="微软雅黑" w:hAnsi="微软雅黑"/>
                <w:b/>
                <w:color w:val="FFFFFF"/>
                <w:sz w:val="16"/>
              </w:rPr>
              <w:t>一级目标</w:t>
            </w:r>
          </w:p>
        </w:tc>
        <w:tc>
          <w:tcPr>
            <w:tcW w:type="dxa" w:w="1417"/>
            <w:shd w:fill="1A3C6D"/>
          </w:tcPr>
          <w:p>
            <w:pPr>
              <w:jc w:val="center"/>
            </w:pPr>
            <w:r/>
            <w:r>
              <w:rPr>
                <w:rFonts w:ascii="微软雅黑" w:hAnsi="微软雅黑"/>
                <w:b/>
                <w:color w:val="FFFFFF"/>
                <w:sz w:val="16"/>
              </w:rPr>
              <w:t>二级目标（最低）</w:t>
            </w:r>
          </w:p>
        </w:tc>
        <w:tc>
          <w:tcPr>
            <w:tcW w:type="dxa" w:w="1134"/>
            <w:shd w:fill="1A3C6D"/>
          </w:tcPr>
          <w:p>
            <w:pPr>
              <w:jc w:val="center"/>
            </w:pPr>
            <w:r/>
            <w:r>
              <w:rPr>
                <w:rFonts w:ascii="微软雅黑" w:hAnsi="微软雅黑"/>
                <w:b/>
                <w:color w:val="FFFFFF"/>
                <w:sz w:val="16"/>
              </w:rPr>
              <w:t>验证方法</w:t>
            </w:r>
          </w:p>
        </w:tc>
      </w:tr>
      <w:tr>
        <w:tc>
          <w:tcPr>
            <w:tcW w:type="dxa" w:w="1134"/>
          </w:tcPr>
          <w:p>
            <w:pPr>
              <w:jc w:val="center"/>
            </w:pPr>
            <w:r/>
            <w:r>
              <w:rPr>
                <w:rFonts w:ascii="微软雅黑" w:hAnsi="微软雅黑"/>
                <w:sz w:val="15"/>
              </w:rPr>
              <w:t>功能完整性</w:t>
            </w:r>
          </w:p>
        </w:tc>
        <w:tc>
          <w:tcPr>
            <w:tcW w:type="dxa" w:w="1417"/>
          </w:tcPr>
          <w:p>
            <w:pPr>
              <w:jc w:val="center"/>
            </w:pPr>
            <w:r/>
            <w:r>
              <w:rPr>
                <w:rFonts w:ascii="微软雅黑" w:hAnsi="微软雅黑"/>
                <w:sz w:val="15"/>
              </w:rPr>
              <w:t>API端点可用率</w:t>
            </w:r>
          </w:p>
        </w:tc>
        <w:tc>
          <w:tcPr>
            <w:tcW w:type="dxa" w:w="1417"/>
          </w:tcPr>
          <w:p>
            <w:pPr>
              <w:jc w:val="center"/>
            </w:pPr>
            <w:r/>
            <w:r>
              <w:rPr>
                <w:rFonts w:ascii="微软雅黑" w:hAnsi="微软雅黑"/>
                <w:sz w:val="15"/>
              </w:rPr>
              <w:t>100%</w:t>
            </w:r>
          </w:p>
        </w:tc>
        <w:tc>
          <w:tcPr>
            <w:tcW w:type="dxa" w:w="1417"/>
          </w:tcPr>
          <w:p>
            <w:pPr>
              <w:jc w:val="center"/>
            </w:pPr>
            <w:r/>
            <w:r>
              <w:rPr>
                <w:rFonts w:ascii="微软雅黑" w:hAnsi="微软雅黑"/>
                <w:sz w:val="15"/>
              </w:rPr>
              <w:t>95%</w:t>
            </w:r>
          </w:p>
        </w:tc>
        <w:tc>
          <w:tcPr>
            <w:tcW w:type="dxa" w:w="1134"/>
          </w:tcPr>
          <w:p>
            <w:pPr>
              <w:jc w:val="center"/>
            </w:pPr>
            <w:r/>
            <w:r>
              <w:rPr>
                <w:rFonts w:ascii="微软雅黑" w:hAnsi="微软雅黑"/>
                <w:sz w:val="15"/>
              </w:rPr>
              <w:t>自动化接口测试</w:t>
            </w:r>
          </w:p>
        </w:tc>
      </w:tr>
      <w:tr>
        <w:tc>
          <w:tcPr>
            <w:tcW w:type="dxa" w:w="1134"/>
            <w:shd w:fill="F0F4FA"/>
          </w:tcPr>
          <w:p>
            <w:pPr>
              <w:jc w:val="center"/>
            </w:pPr>
            <w:r/>
            <w:r>
              <w:rPr>
                <w:rFonts w:ascii="微软雅黑" w:hAnsi="微软雅黑"/>
                <w:sz w:val="15"/>
              </w:rPr>
              <w:t>功能正确性</w:t>
            </w:r>
          </w:p>
        </w:tc>
        <w:tc>
          <w:tcPr>
            <w:tcW w:type="dxa" w:w="1417"/>
            <w:shd w:fill="F0F4FA"/>
          </w:tcPr>
          <w:p>
            <w:pPr>
              <w:jc w:val="center"/>
            </w:pPr>
            <w:r/>
            <w:r>
              <w:rPr>
                <w:rFonts w:ascii="微软雅黑" w:hAnsi="微软雅黑"/>
                <w:sz w:val="15"/>
              </w:rPr>
              <w:t>测试用例通过率</w:t>
            </w:r>
          </w:p>
        </w:tc>
        <w:tc>
          <w:tcPr>
            <w:tcW w:type="dxa" w:w="1417"/>
            <w:shd w:fill="F0F4FA"/>
          </w:tcPr>
          <w:p>
            <w:pPr>
              <w:jc w:val="center"/>
            </w:pPr>
            <w:r/>
            <w:r>
              <w:rPr>
                <w:rFonts w:ascii="微软雅黑" w:hAnsi="微软雅黑"/>
                <w:sz w:val="15"/>
              </w:rPr>
              <w:t>100%</w:t>
            </w:r>
          </w:p>
        </w:tc>
        <w:tc>
          <w:tcPr>
            <w:tcW w:type="dxa" w:w="1417"/>
            <w:shd w:fill="F0F4FA"/>
          </w:tcPr>
          <w:p>
            <w:pPr>
              <w:jc w:val="center"/>
            </w:pPr>
            <w:r/>
            <w:r>
              <w:rPr>
                <w:rFonts w:ascii="微软雅黑" w:hAnsi="微软雅黑"/>
                <w:sz w:val="15"/>
              </w:rPr>
              <w:t>98%</w:t>
            </w:r>
          </w:p>
        </w:tc>
        <w:tc>
          <w:tcPr>
            <w:tcW w:type="dxa" w:w="1134"/>
            <w:shd w:fill="F0F4FA"/>
          </w:tcPr>
          <w:p>
            <w:pPr>
              <w:jc w:val="center"/>
            </w:pPr>
            <w:r/>
            <w:r>
              <w:rPr>
                <w:rFonts w:ascii="微软雅黑" w:hAnsi="微软雅黑"/>
                <w:sz w:val="15"/>
              </w:rPr>
              <w:t>回归测试套件</w:t>
            </w:r>
          </w:p>
        </w:tc>
      </w:tr>
      <w:tr>
        <w:tc>
          <w:tcPr>
            <w:tcW w:type="dxa" w:w="1134"/>
          </w:tcPr>
          <w:p>
            <w:pPr>
              <w:jc w:val="center"/>
            </w:pPr>
            <w:r/>
            <w:r>
              <w:rPr>
                <w:rFonts w:ascii="微软雅黑" w:hAnsi="微软雅黑"/>
                <w:sz w:val="15"/>
              </w:rPr>
              <w:t>性能</w:t>
            </w:r>
          </w:p>
        </w:tc>
        <w:tc>
          <w:tcPr>
            <w:tcW w:type="dxa" w:w="1417"/>
          </w:tcPr>
          <w:p>
            <w:pPr>
              <w:jc w:val="center"/>
            </w:pPr>
            <w:r/>
            <w:r>
              <w:rPr>
                <w:rFonts w:ascii="微软雅黑" w:hAnsi="微软雅黑"/>
                <w:sz w:val="15"/>
              </w:rPr>
              <w:t>P95 API延迟（简单查询）</w:t>
            </w:r>
          </w:p>
        </w:tc>
        <w:tc>
          <w:tcPr>
            <w:tcW w:type="dxa" w:w="1417"/>
          </w:tcPr>
          <w:p>
            <w:pPr>
              <w:jc w:val="center"/>
            </w:pPr>
            <w:r/>
            <w:r>
              <w:rPr>
                <w:rFonts w:ascii="微软雅黑" w:hAnsi="微软雅黑"/>
                <w:sz w:val="15"/>
              </w:rPr>
              <w:t>&lt;300ms</w:t>
            </w:r>
          </w:p>
        </w:tc>
        <w:tc>
          <w:tcPr>
            <w:tcW w:type="dxa" w:w="1417"/>
          </w:tcPr>
          <w:p>
            <w:pPr>
              <w:jc w:val="center"/>
            </w:pPr>
            <w:r/>
            <w:r>
              <w:rPr>
                <w:rFonts w:ascii="微软雅黑" w:hAnsi="微软雅黑"/>
                <w:sz w:val="15"/>
              </w:rPr>
              <w:t>&lt;500ms</w:t>
            </w:r>
          </w:p>
        </w:tc>
        <w:tc>
          <w:tcPr>
            <w:tcW w:type="dxa" w:w="1134"/>
          </w:tcPr>
          <w:p>
            <w:pPr>
              <w:jc w:val="center"/>
            </w:pPr>
            <w:r/>
            <w:r>
              <w:rPr>
                <w:rFonts w:ascii="微软雅黑" w:hAnsi="微软雅黑"/>
                <w:sz w:val="15"/>
              </w:rPr>
              <w:t>Locust压力测试</w:t>
            </w:r>
          </w:p>
        </w:tc>
      </w:tr>
      <w:tr>
        <w:tc>
          <w:tcPr>
            <w:tcW w:type="dxa" w:w="1134"/>
            <w:shd w:fill="F0F4FA"/>
          </w:tcPr>
          <w:p>
            <w:pPr>
              <w:jc w:val="center"/>
            </w:pPr>
            <w:r/>
            <w:r>
              <w:rPr>
                <w:rFonts w:ascii="微软雅黑" w:hAnsi="微软雅黑"/>
                <w:sz w:val="15"/>
              </w:rPr>
              <w:t>性能</w:t>
            </w:r>
          </w:p>
        </w:tc>
        <w:tc>
          <w:tcPr>
            <w:tcW w:type="dxa" w:w="1417"/>
            <w:shd w:fill="F0F4FA"/>
          </w:tcPr>
          <w:p>
            <w:pPr>
              <w:jc w:val="center"/>
            </w:pPr>
            <w:r/>
            <w:r>
              <w:rPr>
                <w:rFonts w:ascii="微软雅黑" w:hAnsi="微软雅黑"/>
                <w:sz w:val="15"/>
              </w:rPr>
              <w:t>系统吞吐量（并发500）</w:t>
            </w:r>
          </w:p>
        </w:tc>
        <w:tc>
          <w:tcPr>
            <w:tcW w:type="dxa" w:w="1417"/>
            <w:shd w:fill="F0F4FA"/>
          </w:tcPr>
          <w:p>
            <w:pPr>
              <w:jc w:val="center"/>
            </w:pPr>
            <w:r/>
            <w:r>
              <w:rPr>
                <w:rFonts w:ascii="微软雅黑" w:hAnsi="微软雅黑"/>
                <w:sz w:val="15"/>
              </w:rPr>
              <w:t>&gt;5000 req/s</w:t>
            </w:r>
          </w:p>
        </w:tc>
        <w:tc>
          <w:tcPr>
            <w:tcW w:type="dxa" w:w="1417"/>
            <w:shd w:fill="F0F4FA"/>
          </w:tcPr>
          <w:p>
            <w:pPr>
              <w:jc w:val="center"/>
            </w:pPr>
            <w:r/>
            <w:r>
              <w:rPr>
                <w:rFonts w:ascii="微软雅黑" w:hAnsi="微软雅黑"/>
                <w:sz w:val="15"/>
              </w:rPr>
              <w:t>&gt;3000 req/s</w:t>
            </w:r>
          </w:p>
        </w:tc>
        <w:tc>
          <w:tcPr>
            <w:tcW w:type="dxa" w:w="1134"/>
            <w:shd w:fill="F0F4FA"/>
          </w:tcPr>
          <w:p>
            <w:pPr>
              <w:jc w:val="center"/>
            </w:pPr>
            <w:r/>
            <w:r>
              <w:rPr>
                <w:rFonts w:ascii="微软雅黑" w:hAnsi="微软雅黑"/>
                <w:sz w:val="15"/>
              </w:rPr>
              <w:t>Locust压力测试</w:t>
            </w:r>
          </w:p>
        </w:tc>
      </w:tr>
      <w:tr>
        <w:tc>
          <w:tcPr>
            <w:tcW w:type="dxa" w:w="1134"/>
          </w:tcPr>
          <w:p>
            <w:pPr>
              <w:jc w:val="center"/>
            </w:pPr>
            <w:r/>
            <w:r>
              <w:rPr>
                <w:rFonts w:ascii="微软雅黑" w:hAnsi="微软雅黑"/>
                <w:sz w:val="15"/>
              </w:rPr>
              <w:t>安全性</w:t>
            </w:r>
          </w:p>
        </w:tc>
        <w:tc>
          <w:tcPr>
            <w:tcW w:type="dxa" w:w="1417"/>
          </w:tcPr>
          <w:p>
            <w:pPr>
              <w:jc w:val="center"/>
            </w:pPr>
            <w:r/>
            <w:r>
              <w:rPr>
                <w:rFonts w:ascii="微软雅黑" w:hAnsi="微软雅黑"/>
                <w:sz w:val="15"/>
              </w:rPr>
              <w:t>OWASP Top 10漏洞</w:t>
            </w:r>
          </w:p>
        </w:tc>
        <w:tc>
          <w:tcPr>
            <w:tcW w:type="dxa" w:w="1417"/>
          </w:tcPr>
          <w:p>
            <w:pPr>
              <w:jc w:val="center"/>
            </w:pPr>
            <w:r/>
            <w:r>
              <w:rPr>
                <w:rFonts w:ascii="微软雅黑" w:hAnsi="微软雅黑"/>
                <w:sz w:val="15"/>
              </w:rPr>
              <w:t>0高危</w:t>
            </w:r>
          </w:p>
        </w:tc>
        <w:tc>
          <w:tcPr>
            <w:tcW w:type="dxa" w:w="1417"/>
          </w:tcPr>
          <w:p>
            <w:pPr>
              <w:jc w:val="center"/>
            </w:pPr>
            <w:r/>
            <w:r>
              <w:rPr>
                <w:rFonts w:ascii="微软雅黑" w:hAnsi="微软雅黑"/>
                <w:sz w:val="15"/>
              </w:rPr>
              <w:t>0严重</w:t>
            </w:r>
          </w:p>
        </w:tc>
        <w:tc>
          <w:tcPr>
            <w:tcW w:type="dxa" w:w="1134"/>
          </w:tcPr>
          <w:p>
            <w:pPr>
              <w:jc w:val="center"/>
            </w:pPr>
            <w:r/>
            <w:r>
              <w:rPr>
                <w:rFonts w:ascii="微软雅黑" w:hAnsi="微软雅黑"/>
                <w:sz w:val="15"/>
              </w:rPr>
              <w:t>OWASP ZAP扫描</w:t>
            </w:r>
          </w:p>
        </w:tc>
      </w:tr>
      <w:tr>
        <w:tc>
          <w:tcPr>
            <w:tcW w:type="dxa" w:w="1134"/>
            <w:shd w:fill="F0F4FA"/>
          </w:tcPr>
          <w:p>
            <w:pPr>
              <w:jc w:val="center"/>
            </w:pPr>
            <w:r/>
            <w:r>
              <w:rPr>
                <w:rFonts w:ascii="微软雅黑" w:hAnsi="微软雅黑"/>
                <w:sz w:val="15"/>
              </w:rPr>
              <w:t>安全性</w:t>
            </w:r>
          </w:p>
        </w:tc>
        <w:tc>
          <w:tcPr>
            <w:tcW w:type="dxa" w:w="1417"/>
            <w:shd w:fill="F0F4FA"/>
          </w:tcPr>
          <w:p>
            <w:pPr>
              <w:jc w:val="center"/>
            </w:pPr>
            <w:r/>
            <w:r>
              <w:rPr>
                <w:rFonts w:ascii="微软雅黑" w:hAnsi="微软雅黑"/>
                <w:sz w:val="15"/>
              </w:rPr>
              <w:t>渗透测试漏洞</w:t>
            </w:r>
          </w:p>
        </w:tc>
        <w:tc>
          <w:tcPr>
            <w:tcW w:type="dxa" w:w="1417"/>
            <w:shd w:fill="F0F4FA"/>
          </w:tcPr>
          <w:p>
            <w:pPr>
              <w:jc w:val="center"/>
            </w:pPr>
            <w:r/>
            <w:r>
              <w:rPr>
                <w:rFonts w:ascii="微软雅黑" w:hAnsi="微软雅黑"/>
                <w:sz w:val="15"/>
              </w:rPr>
              <w:t>0高危</w:t>
            </w:r>
          </w:p>
        </w:tc>
        <w:tc>
          <w:tcPr>
            <w:tcW w:type="dxa" w:w="1417"/>
            <w:shd w:fill="F0F4FA"/>
          </w:tcPr>
          <w:p>
            <w:pPr>
              <w:jc w:val="center"/>
            </w:pPr>
            <w:r/>
            <w:r>
              <w:rPr>
                <w:rFonts w:ascii="微软雅黑" w:hAnsi="微软雅黑"/>
                <w:sz w:val="15"/>
              </w:rPr>
              <w:t>0严重</w:t>
            </w:r>
          </w:p>
        </w:tc>
        <w:tc>
          <w:tcPr>
            <w:tcW w:type="dxa" w:w="1134"/>
            <w:shd w:fill="F0F4FA"/>
          </w:tcPr>
          <w:p>
            <w:pPr>
              <w:jc w:val="center"/>
            </w:pPr>
            <w:r/>
            <w:r>
              <w:rPr>
                <w:rFonts w:ascii="微软雅黑" w:hAnsi="微软雅黑"/>
                <w:sz w:val="15"/>
              </w:rPr>
              <w:t>第三方渗透测试</w:t>
            </w:r>
          </w:p>
        </w:tc>
      </w:tr>
      <w:tr>
        <w:tc>
          <w:tcPr>
            <w:tcW w:type="dxa" w:w="1134"/>
          </w:tcPr>
          <w:p>
            <w:pPr>
              <w:jc w:val="center"/>
            </w:pPr>
            <w:r/>
            <w:r>
              <w:rPr>
                <w:rFonts w:ascii="微软雅黑" w:hAnsi="微软雅黑"/>
                <w:sz w:val="15"/>
              </w:rPr>
              <w:t>可靠性</w:t>
            </w:r>
          </w:p>
        </w:tc>
        <w:tc>
          <w:tcPr>
            <w:tcW w:type="dxa" w:w="1417"/>
          </w:tcPr>
          <w:p>
            <w:pPr>
              <w:jc w:val="center"/>
            </w:pPr>
            <w:r/>
            <w:r>
              <w:rPr>
                <w:rFonts w:ascii="微软雅黑" w:hAnsi="微软雅黑"/>
                <w:sz w:val="15"/>
              </w:rPr>
              <w:t>系统可用性</w:t>
            </w:r>
          </w:p>
        </w:tc>
        <w:tc>
          <w:tcPr>
            <w:tcW w:type="dxa" w:w="1417"/>
          </w:tcPr>
          <w:p>
            <w:pPr>
              <w:jc w:val="center"/>
            </w:pPr>
            <w:r/>
            <w:r>
              <w:rPr>
                <w:rFonts w:ascii="微软雅黑" w:hAnsi="微软雅黑"/>
                <w:sz w:val="15"/>
              </w:rPr>
              <w:t>&gt;99.9%</w:t>
            </w:r>
          </w:p>
        </w:tc>
        <w:tc>
          <w:tcPr>
            <w:tcW w:type="dxa" w:w="1417"/>
          </w:tcPr>
          <w:p>
            <w:pPr>
              <w:jc w:val="center"/>
            </w:pPr>
            <w:r/>
            <w:r>
              <w:rPr>
                <w:rFonts w:ascii="微软雅黑" w:hAnsi="微软雅黑"/>
                <w:sz w:val="15"/>
              </w:rPr>
              <w:t>&gt;99.5%</w:t>
            </w:r>
          </w:p>
        </w:tc>
        <w:tc>
          <w:tcPr>
            <w:tcW w:type="dxa" w:w="1134"/>
          </w:tcPr>
          <w:p>
            <w:pPr>
              <w:jc w:val="center"/>
            </w:pPr>
            <w:r/>
            <w:r>
              <w:rPr>
                <w:rFonts w:ascii="微软雅黑" w:hAnsi="微软雅黑"/>
                <w:sz w:val="15"/>
              </w:rPr>
              <w:t>72小时持续运行监控</w:t>
            </w:r>
          </w:p>
        </w:tc>
      </w:tr>
      <w:tr>
        <w:tc>
          <w:tcPr>
            <w:tcW w:type="dxa" w:w="1134"/>
            <w:shd w:fill="F0F4FA"/>
          </w:tcPr>
          <w:p>
            <w:pPr>
              <w:jc w:val="center"/>
            </w:pPr>
            <w:r/>
            <w:r>
              <w:rPr>
                <w:rFonts w:ascii="微软雅黑" w:hAnsi="微软雅黑"/>
                <w:sz w:val="15"/>
              </w:rPr>
              <w:t>可靠性</w:t>
            </w:r>
          </w:p>
        </w:tc>
        <w:tc>
          <w:tcPr>
            <w:tcW w:type="dxa" w:w="1417"/>
            <w:shd w:fill="F0F4FA"/>
          </w:tcPr>
          <w:p>
            <w:pPr>
              <w:jc w:val="center"/>
            </w:pPr>
            <w:r/>
            <w:r>
              <w:rPr>
                <w:rFonts w:ascii="微软雅黑" w:hAnsi="微软雅黑"/>
                <w:sz w:val="15"/>
              </w:rPr>
              <w:t>故障恢复时间（RTO）</w:t>
            </w:r>
          </w:p>
        </w:tc>
        <w:tc>
          <w:tcPr>
            <w:tcW w:type="dxa" w:w="1417"/>
            <w:shd w:fill="F0F4FA"/>
          </w:tcPr>
          <w:p>
            <w:pPr>
              <w:jc w:val="center"/>
            </w:pPr>
            <w:r/>
            <w:r>
              <w:rPr>
                <w:rFonts w:ascii="微软雅黑" w:hAnsi="微软雅黑"/>
                <w:sz w:val="15"/>
              </w:rPr>
              <w:t>&lt;15分钟</w:t>
            </w:r>
          </w:p>
        </w:tc>
        <w:tc>
          <w:tcPr>
            <w:tcW w:type="dxa" w:w="1417"/>
            <w:shd w:fill="F0F4FA"/>
          </w:tcPr>
          <w:p>
            <w:pPr>
              <w:jc w:val="center"/>
            </w:pPr>
            <w:r/>
            <w:r>
              <w:rPr>
                <w:rFonts w:ascii="微软雅黑" w:hAnsi="微软雅黑"/>
                <w:sz w:val="15"/>
              </w:rPr>
              <w:t>&lt;30分钟</w:t>
            </w:r>
          </w:p>
        </w:tc>
        <w:tc>
          <w:tcPr>
            <w:tcW w:type="dxa" w:w="1134"/>
            <w:shd w:fill="F0F4FA"/>
          </w:tcPr>
          <w:p>
            <w:pPr>
              <w:jc w:val="center"/>
            </w:pPr>
            <w:r/>
            <w:r>
              <w:rPr>
                <w:rFonts w:ascii="微软雅黑" w:hAnsi="微软雅黑"/>
                <w:sz w:val="15"/>
              </w:rPr>
              <w:t>混沌工程注入故障</w:t>
            </w:r>
          </w:p>
        </w:tc>
      </w:tr>
      <w:tr>
        <w:tc>
          <w:tcPr>
            <w:tcW w:type="dxa" w:w="1134"/>
          </w:tcPr>
          <w:p>
            <w:pPr>
              <w:jc w:val="center"/>
            </w:pPr>
            <w:r/>
            <w:r>
              <w:rPr>
                <w:rFonts w:ascii="微软雅黑" w:hAnsi="微软雅黑"/>
                <w:sz w:val="15"/>
              </w:rPr>
              <w:t>合规性</w:t>
            </w:r>
          </w:p>
        </w:tc>
        <w:tc>
          <w:tcPr>
            <w:tcW w:type="dxa" w:w="1417"/>
          </w:tcPr>
          <w:p>
            <w:pPr>
              <w:jc w:val="center"/>
            </w:pPr>
            <w:r/>
            <w:r>
              <w:rPr>
                <w:rFonts w:ascii="微软雅黑" w:hAnsi="微软雅黑"/>
                <w:sz w:val="15"/>
              </w:rPr>
              <w:t>数据分类分级准确率</w:t>
            </w:r>
          </w:p>
        </w:tc>
        <w:tc>
          <w:tcPr>
            <w:tcW w:type="dxa" w:w="1417"/>
          </w:tcPr>
          <w:p>
            <w:pPr>
              <w:jc w:val="center"/>
            </w:pPr>
            <w:r/>
            <w:r>
              <w:rPr>
                <w:rFonts w:ascii="微软雅黑" w:hAnsi="微软雅黑"/>
                <w:sz w:val="15"/>
              </w:rPr>
              <w:t>100%</w:t>
            </w:r>
          </w:p>
        </w:tc>
        <w:tc>
          <w:tcPr>
            <w:tcW w:type="dxa" w:w="1417"/>
          </w:tcPr>
          <w:p>
            <w:pPr>
              <w:jc w:val="center"/>
            </w:pPr>
            <w:r/>
            <w:r>
              <w:rPr>
                <w:rFonts w:ascii="微软雅黑" w:hAnsi="微软雅黑"/>
                <w:sz w:val="15"/>
              </w:rPr>
              <w:t>95%</w:t>
            </w:r>
          </w:p>
        </w:tc>
        <w:tc>
          <w:tcPr>
            <w:tcW w:type="dxa" w:w="1134"/>
          </w:tcPr>
          <w:p>
            <w:pPr>
              <w:jc w:val="center"/>
            </w:pPr>
            <w:r/>
            <w:r>
              <w:rPr>
                <w:rFonts w:ascii="微软雅黑" w:hAnsi="微软雅黑"/>
                <w:sz w:val="15"/>
              </w:rPr>
              <w:t>人工抽检数据资产</w:t>
            </w:r>
          </w:p>
        </w:tc>
      </w:tr>
      <w:tr>
        <w:tc>
          <w:tcPr>
            <w:tcW w:type="dxa" w:w="1134"/>
            <w:shd w:fill="F0F4FA"/>
          </w:tcPr>
          <w:p>
            <w:pPr>
              <w:jc w:val="center"/>
            </w:pPr>
            <w:r/>
            <w:r>
              <w:rPr>
                <w:rFonts w:ascii="微软雅黑" w:hAnsi="微软雅黑"/>
                <w:sz w:val="15"/>
              </w:rPr>
              <w:t>用户体验</w:t>
            </w:r>
          </w:p>
        </w:tc>
        <w:tc>
          <w:tcPr>
            <w:tcW w:type="dxa" w:w="1417"/>
            <w:shd w:fill="F0F4FA"/>
          </w:tcPr>
          <w:p>
            <w:pPr>
              <w:jc w:val="center"/>
            </w:pPr>
            <w:r/>
            <w:r>
              <w:rPr>
                <w:rFonts w:ascii="微软雅黑" w:hAnsi="微软雅黑"/>
                <w:sz w:val="15"/>
              </w:rPr>
              <w:t>关键操作完成时间</w:t>
            </w:r>
          </w:p>
        </w:tc>
        <w:tc>
          <w:tcPr>
            <w:tcW w:type="dxa" w:w="1417"/>
            <w:shd w:fill="F0F4FA"/>
          </w:tcPr>
          <w:p>
            <w:pPr>
              <w:jc w:val="center"/>
            </w:pPr>
            <w:r/>
            <w:r>
              <w:rPr>
                <w:rFonts w:ascii="微软雅黑" w:hAnsi="微软雅黑"/>
                <w:sz w:val="15"/>
              </w:rPr>
              <w:t>&lt;3点击</w:t>
            </w:r>
          </w:p>
        </w:tc>
        <w:tc>
          <w:tcPr>
            <w:tcW w:type="dxa" w:w="1417"/>
            <w:shd w:fill="F0F4FA"/>
          </w:tcPr>
          <w:p>
            <w:pPr>
              <w:jc w:val="center"/>
            </w:pPr>
            <w:r/>
            <w:r>
              <w:rPr>
                <w:rFonts w:ascii="微软雅黑" w:hAnsi="微软雅黑"/>
                <w:sz w:val="15"/>
              </w:rPr>
              <w:t>&lt;5点击</w:t>
            </w:r>
          </w:p>
        </w:tc>
        <w:tc>
          <w:tcPr>
            <w:tcW w:type="dxa" w:w="1134"/>
            <w:shd w:fill="F0F4FA"/>
          </w:tcPr>
          <w:p>
            <w:pPr>
              <w:jc w:val="center"/>
            </w:pPr>
            <w:r/>
            <w:r>
              <w:rPr>
                <w:rFonts w:ascii="微软雅黑" w:hAnsi="微软雅黑"/>
                <w:sz w:val="15"/>
              </w:rPr>
              <w:t>可用性测试</w:t>
            </w:r>
          </w:p>
        </w:tc>
      </w:tr>
    </w:tbl>
    <w:p/>
    <w:p>
      <w:r>
        <w:br w:type="page"/>
      </w:r>
    </w:p>
    <w:p>
      <w:pPr>
        <w:pStyle w:val="Heading1"/>
      </w:pPr>
      <w:r>
        <w:rPr>
          <w:rFonts w:ascii="微软雅黑" w:hAnsi="微软雅黑" w:eastAsia="微软雅黑"/>
        </w:rPr>
        <w:t>第七章  性能测试结果与分析</w:t>
      </w:r>
    </w:p>
    <w:p>
      <w:pPr>
        <w:pStyle w:val="Heading2"/>
      </w:pPr>
      <w:r>
        <w:rPr>
          <w:rFonts w:ascii="微软雅黑" w:hAnsi="微软雅黑" w:eastAsia="微软雅黑"/>
        </w:rPr>
        <w:t>7.1  测试环境与基线</w:t>
      </w:r>
    </w:p>
    <w:p>
      <w:pPr>
        <w:spacing w:line="360" w:lineRule="auto" w:after="120"/>
        <w:ind w:firstLine="420"/>
      </w:pPr>
      <w:r>
        <w:rPr>
          <w:rFonts w:ascii="微软雅黑" w:hAnsi="微软雅黑" w:eastAsia="微软雅黑"/>
          <w:b w:val="0"/>
          <w:sz w:val="21"/>
        </w:rPr>
        <w:t>性能测试在以下标准化环境中执行：服务器3台（8核CPU、32GB内存、SSD存储），操作系统Ubuntu 22.04 LTS，基础软件PostgreSQL 16 + Redis 7 + Kafka 3，测试工具为Locust 2.31 + wrk2 + k6。每个测试场景执行3轮，取P50/P90/P95/P99分位值。测试基线：单次简单查询API响应时间&lt;50ms（直接数据库查询基线），单次复杂查询API响应时间&lt;500ms，系统空载CPU利用率&lt;5%，内存占用&lt;2GB。</w:t>
      </w:r>
    </w:p>
    <w:p>
      <w:pPr>
        <w:pStyle w:val="Heading2"/>
      </w:pPr>
      <w:r>
        <w:rPr>
          <w:rFonts w:ascii="微软雅黑" w:hAnsi="微软雅黑" w:eastAsia="微软雅黑"/>
        </w:rPr>
        <w:t>7.2  API性能测试结果</w:t>
      </w:r>
    </w:p>
    <w:p>
      <w:pPr>
        <w:pStyle w:val="Heading3"/>
      </w:pPr>
      <w:r>
        <w:rPr>
          <w:rFonts w:ascii="微软雅黑" w:hAnsi="微软雅黑" w:eastAsia="微软雅黑"/>
        </w:rPr>
        <w:t>7.2.1  查询类API性能</w:t>
      </w:r>
    </w:p>
    <w:p>
      <w:pPr>
        <w:spacing w:line="360" w:lineRule="auto" w:after="120"/>
        <w:ind w:firstLine="420"/>
      </w:pPr>
      <w:r>
        <w:rPr>
          <w:rFonts w:ascii="微软雅黑" w:hAnsi="微软雅黑" w:eastAsia="微软雅黑"/>
          <w:b w:val="0"/>
          <w:sz w:val="21"/>
        </w:rPr>
        <w:t>查询类API在100/500/1000三种并发级别下执行5分钟测试，以下为各端点的详细性能数据：</w:t>
      </w:r>
    </w:p>
    <w:p>
      <w:pPr>
        <w:spacing w:line="360" w:lineRule="auto" w:after="120"/>
        <w:jc w:val="center"/>
      </w:pPr>
      <w:r>
        <w:rPr>
          <w:rFonts w:ascii="微软雅黑" w:hAnsi="微软雅黑" w:eastAsia="微软雅黑"/>
          <w:b/>
          <w:sz w:val="18"/>
        </w:rPr>
        <w:t>表7-1  查询类API性能测试结果</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984"/>
            <w:shd w:fill="1A3C6D"/>
          </w:tcPr>
          <w:p>
            <w:pPr>
              <w:jc w:val="center"/>
            </w:pPr>
            <w:r/>
            <w:r>
              <w:rPr>
                <w:rFonts w:ascii="微软雅黑" w:hAnsi="微软雅黑"/>
                <w:b/>
                <w:color w:val="FFFFFF"/>
                <w:sz w:val="16"/>
              </w:rPr>
              <w:t>API端点</w:t>
            </w:r>
          </w:p>
        </w:tc>
        <w:tc>
          <w:tcPr>
            <w:tcW w:type="dxa" w:w="1020"/>
            <w:shd w:fill="1A3C6D"/>
          </w:tcPr>
          <w:p>
            <w:pPr>
              <w:jc w:val="center"/>
            </w:pPr>
            <w:r/>
            <w:r>
              <w:rPr>
                <w:rFonts w:ascii="微软雅黑" w:hAnsi="微软雅黑"/>
                <w:b/>
                <w:color w:val="FFFFFF"/>
                <w:sz w:val="16"/>
              </w:rPr>
              <w:t>并发100</w:t>
            </w:r>
          </w:p>
        </w:tc>
        <w:tc>
          <w:tcPr>
            <w:tcW w:type="dxa" w:w="1020"/>
            <w:shd w:fill="1A3C6D"/>
          </w:tcPr>
          <w:p>
            <w:pPr>
              <w:jc w:val="center"/>
            </w:pPr>
            <w:r/>
            <w:r>
              <w:rPr>
                <w:rFonts w:ascii="微软雅黑" w:hAnsi="微软雅黑"/>
                <w:b/>
                <w:color w:val="FFFFFF"/>
                <w:sz w:val="16"/>
              </w:rPr>
              <w:t>并发500</w:t>
            </w:r>
          </w:p>
        </w:tc>
        <w:tc>
          <w:tcPr>
            <w:tcW w:type="dxa" w:w="1020"/>
            <w:shd w:fill="1A3C6D"/>
          </w:tcPr>
          <w:p>
            <w:pPr>
              <w:jc w:val="center"/>
            </w:pPr>
            <w:r/>
            <w:r>
              <w:rPr>
                <w:rFonts w:ascii="微软雅黑" w:hAnsi="微软雅黑"/>
                <w:b/>
                <w:color w:val="FFFFFF"/>
                <w:sz w:val="16"/>
              </w:rPr>
              <w:t>并发1000</w:t>
            </w:r>
          </w:p>
        </w:tc>
        <w:tc>
          <w:tcPr>
            <w:tcW w:type="dxa" w:w="850"/>
            <w:shd w:fill="1A3C6D"/>
          </w:tcPr>
          <w:p>
            <w:pPr>
              <w:jc w:val="center"/>
            </w:pPr>
            <w:r/>
            <w:r>
              <w:rPr>
                <w:rFonts w:ascii="微软雅黑" w:hAnsi="微软雅黑"/>
                <w:b/>
                <w:color w:val="FFFFFF"/>
                <w:sz w:val="16"/>
              </w:rPr>
              <w:t>P95目标</w:t>
            </w:r>
          </w:p>
        </w:tc>
        <w:tc>
          <w:tcPr>
            <w:tcW w:type="dxa" w:w="567"/>
            <w:shd w:fill="1A3C6D"/>
          </w:tcPr>
          <w:p>
            <w:pPr>
              <w:jc w:val="center"/>
            </w:pPr>
            <w:r/>
            <w:r>
              <w:rPr>
                <w:rFonts w:ascii="微软雅黑" w:hAnsi="微软雅黑"/>
                <w:b/>
                <w:color w:val="FFFFFF"/>
                <w:sz w:val="16"/>
              </w:rPr>
              <w:t>达标</w:t>
            </w:r>
          </w:p>
        </w:tc>
      </w:tr>
      <w:tr>
        <w:tc>
          <w:tcPr>
            <w:tcW w:type="dxa" w:w="1984"/>
          </w:tcPr>
          <w:p>
            <w:pPr>
              <w:jc w:val="center"/>
            </w:pPr>
            <w:r/>
            <w:r>
              <w:rPr>
                <w:rFonts w:ascii="微软雅黑" w:hAnsi="微软雅黑"/>
                <w:sz w:val="15"/>
              </w:rPr>
              <w:t>GET /api/v1/data-assets (P50)</w:t>
            </w:r>
          </w:p>
        </w:tc>
        <w:tc>
          <w:tcPr>
            <w:tcW w:type="dxa" w:w="1020"/>
          </w:tcPr>
          <w:p>
            <w:pPr>
              <w:jc w:val="center"/>
            </w:pPr>
            <w:r/>
            <w:r>
              <w:rPr>
                <w:rFonts w:ascii="微软雅黑" w:hAnsi="微软雅黑"/>
                <w:sz w:val="15"/>
              </w:rPr>
              <w:t>45ms</w:t>
            </w:r>
          </w:p>
        </w:tc>
        <w:tc>
          <w:tcPr>
            <w:tcW w:type="dxa" w:w="1020"/>
          </w:tcPr>
          <w:p>
            <w:pPr>
              <w:jc w:val="center"/>
            </w:pPr>
            <w:r/>
            <w:r>
              <w:rPr>
                <w:rFonts w:ascii="微软雅黑" w:hAnsi="微软雅黑"/>
                <w:sz w:val="15"/>
              </w:rPr>
              <w:t>78ms</w:t>
            </w:r>
          </w:p>
        </w:tc>
        <w:tc>
          <w:tcPr>
            <w:tcW w:type="dxa" w:w="1020"/>
          </w:tcPr>
          <w:p>
            <w:pPr>
              <w:jc w:val="center"/>
            </w:pPr>
            <w:r/>
            <w:r>
              <w:rPr>
                <w:rFonts w:ascii="微软雅黑" w:hAnsi="微软雅黑"/>
                <w:sz w:val="15"/>
              </w:rPr>
              <w:t>156ms</w:t>
            </w:r>
          </w:p>
        </w:tc>
        <w:tc>
          <w:tcPr>
            <w:tcW w:type="dxa" w:w="850"/>
          </w:tcPr>
          <w:p>
            <w:pPr>
              <w:jc w:val="center"/>
            </w:pPr>
            <w:r/>
            <w:r>
              <w:rPr>
                <w:rFonts w:ascii="微软雅黑" w:hAnsi="微软雅黑"/>
                <w:sz w:val="15"/>
              </w:rPr>
              <w:t>-</w:t>
            </w:r>
          </w:p>
        </w:tc>
        <w:tc>
          <w:tcPr>
            <w:tcW w:type="dxa" w:w="567"/>
          </w:tcPr>
          <w:p>
            <w:pPr>
              <w:jc w:val="center"/>
            </w:pPr>
            <w:r/>
            <w:r>
              <w:rPr>
                <w:rFonts w:ascii="微软雅黑" w:hAnsi="微软雅黑"/>
                <w:sz w:val="15"/>
              </w:rPr>
              <w:t>-</w:t>
            </w:r>
          </w:p>
        </w:tc>
      </w:tr>
      <w:tr>
        <w:tc>
          <w:tcPr>
            <w:tcW w:type="dxa" w:w="1984"/>
            <w:shd w:fill="F0F4FA"/>
          </w:tcPr>
          <w:p>
            <w:pPr>
              <w:jc w:val="center"/>
            </w:pPr>
            <w:r/>
            <w:r>
              <w:rPr>
                <w:rFonts w:ascii="微软雅黑" w:hAnsi="微软雅黑"/>
                <w:sz w:val="15"/>
              </w:rPr>
              <w:t>GET /api/v1/data-assets (P95)</w:t>
            </w:r>
          </w:p>
        </w:tc>
        <w:tc>
          <w:tcPr>
            <w:tcW w:type="dxa" w:w="1020"/>
            <w:shd w:fill="F0F4FA"/>
          </w:tcPr>
          <w:p>
            <w:pPr>
              <w:jc w:val="center"/>
            </w:pPr>
            <w:r/>
            <w:r>
              <w:rPr>
                <w:rFonts w:ascii="微软雅黑" w:hAnsi="微软雅黑"/>
                <w:sz w:val="15"/>
              </w:rPr>
              <w:t>89ms</w:t>
            </w:r>
          </w:p>
        </w:tc>
        <w:tc>
          <w:tcPr>
            <w:tcW w:type="dxa" w:w="1020"/>
            <w:shd w:fill="F0F4FA"/>
          </w:tcPr>
          <w:p>
            <w:pPr>
              <w:jc w:val="center"/>
            </w:pPr>
            <w:r/>
            <w:r>
              <w:rPr>
                <w:rFonts w:ascii="微软雅黑" w:hAnsi="微软雅黑"/>
                <w:sz w:val="15"/>
              </w:rPr>
              <w:t>152ms</w:t>
            </w:r>
          </w:p>
        </w:tc>
        <w:tc>
          <w:tcPr>
            <w:tcW w:type="dxa" w:w="1020"/>
            <w:shd w:fill="F0F4FA"/>
          </w:tcPr>
          <w:p>
            <w:pPr>
              <w:jc w:val="center"/>
            </w:pPr>
            <w:r/>
            <w:r>
              <w:rPr>
                <w:rFonts w:ascii="微软雅黑" w:hAnsi="微软雅黑"/>
                <w:sz w:val="15"/>
              </w:rPr>
              <w:t>312ms</w:t>
            </w:r>
          </w:p>
        </w:tc>
        <w:tc>
          <w:tcPr>
            <w:tcW w:type="dxa" w:w="850"/>
            <w:shd w:fill="F0F4FA"/>
          </w:tcPr>
          <w:p>
            <w:pPr>
              <w:jc w:val="center"/>
            </w:pPr>
            <w:r/>
            <w:r>
              <w:rPr>
                <w:rFonts w:ascii="微软雅黑" w:hAnsi="微软雅黑"/>
                <w:sz w:val="15"/>
              </w:rPr>
              <w:t>&lt;500ms</w:t>
            </w:r>
          </w:p>
        </w:tc>
        <w:tc>
          <w:tcPr>
            <w:tcW w:type="dxa" w:w="567"/>
            <w:shd w:fill="F0F4FA"/>
          </w:tcPr>
          <w:p>
            <w:pPr>
              <w:jc w:val="center"/>
            </w:pPr>
            <w:r/>
            <w:r>
              <w:rPr>
                <w:rFonts w:ascii="微软雅黑" w:hAnsi="微软雅黑"/>
                <w:sz w:val="15"/>
              </w:rPr>
              <w:t>达标</w:t>
            </w:r>
          </w:p>
        </w:tc>
      </w:tr>
      <w:tr>
        <w:tc>
          <w:tcPr>
            <w:tcW w:type="dxa" w:w="1984"/>
          </w:tcPr>
          <w:p>
            <w:pPr>
              <w:jc w:val="center"/>
            </w:pPr>
            <w:r/>
            <w:r>
              <w:rPr>
                <w:rFonts w:ascii="微软雅黑" w:hAnsi="微软雅黑"/>
                <w:sz w:val="15"/>
              </w:rPr>
              <w:t>GET /api/v1/data-catalog/search (P50)</w:t>
            </w:r>
          </w:p>
        </w:tc>
        <w:tc>
          <w:tcPr>
            <w:tcW w:type="dxa" w:w="1020"/>
          </w:tcPr>
          <w:p>
            <w:pPr>
              <w:jc w:val="center"/>
            </w:pPr>
            <w:r/>
            <w:r>
              <w:rPr>
                <w:rFonts w:ascii="微软雅黑" w:hAnsi="微软雅黑"/>
                <w:sz w:val="15"/>
              </w:rPr>
              <w:t>120ms</w:t>
            </w:r>
          </w:p>
        </w:tc>
        <w:tc>
          <w:tcPr>
            <w:tcW w:type="dxa" w:w="1020"/>
          </w:tcPr>
          <w:p>
            <w:pPr>
              <w:jc w:val="center"/>
            </w:pPr>
            <w:r/>
            <w:r>
              <w:rPr>
                <w:rFonts w:ascii="微软雅黑" w:hAnsi="微软雅黑"/>
                <w:sz w:val="15"/>
              </w:rPr>
              <w:t>245ms</w:t>
            </w:r>
          </w:p>
        </w:tc>
        <w:tc>
          <w:tcPr>
            <w:tcW w:type="dxa" w:w="1020"/>
          </w:tcPr>
          <w:p>
            <w:pPr>
              <w:jc w:val="center"/>
            </w:pPr>
            <w:r/>
            <w:r>
              <w:rPr>
                <w:rFonts w:ascii="微软雅黑" w:hAnsi="微软雅黑"/>
                <w:sz w:val="15"/>
              </w:rPr>
              <w:t>480ms</w:t>
            </w:r>
          </w:p>
        </w:tc>
        <w:tc>
          <w:tcPr>
            <w:tcW w:type="dxa" w:w="850"/>
          </w:tcPr>
          <w:p>
            <w:pPr>
              <w:jc w:val="center"/>
            </w:pPr>
            <w:r/>
            <w:r>
              <w:rPr>
                <w:rFonts w:ascii="微软雅黑" w:hAnsi="微软雅黑"/>
                <w:sz w:val="15"/>
              </w:rPr>
              <w:t>-</w:t>
            </w:r>
          </w:p>
        </w:tc>
        <w:tc>
          <w:tcPr>
            <w:tcW w:type="dxa" w:w="567"/>
          </w:tcPr>
          <w:p>
            <w:pPr>
              <w:jc w:val="center"/>
            </w:pPr>
            <w:r/>
            <w:r>
              <w:rPr>
                <w:rFonts w:ascii="微软雅黑" w:hAnsi="微软雅黑"/>
                <w:sz w:val="15"/>
              </w:rPr>
              <w:t>-</w:t>
            </w:r>
          </w:p>
        </w:tc>
      </w:tr>
      <w:tr>
        <w:tc>
          <w:tcPr>
            <w:tcW w:type="dxa" w:w="1984"/>
            <w:shd w:fill="F0F4FA"/>
          </w:tcPr>
          <w:p>
            <w:pPr>
              <w:jc w:val="center"/>
            </w:pPr>
            <w:r/>
            <w:r>
              <w:rPr>
                <w:rFonts w:ascii="微软雅黑" w:hAnsi="微软雅黑"/>
                <w:sz w:val="15"/>
              </w:rPr>
              <w:t>GET /api/v1/data-catalog/search (P95)</w:t>
            </w:r>
          </w:p>
        </w:tc>
        <w:tc>
          <w:tcPr>
            <w:tcW w:type="dxa" w:w="1020"/>
            <w:shd w:fill="F0F4FA"/>
          </w:tcPr>
          <w:p>
            <w:pPr>
              <w:jc w:val="center"/>
            </w:pPr>
            <w:r/>
            <w:r>
              <w:rPr>
                <w:rFonts w:ascii="微软雅黑" w:hAnsi="微软雅黑"/>
                <w:sz w:val="15"/>
              </w:rPr>
              <w:t>280ms</w:t>
            </w:r>
          </w:p>
        </w:tc>
        <w:tc>
          <w:tcPr>
            <w:tcW w:type="dxa" w:w="1020"/>
            <w:shd w:fill="F0F4FA"/>
          </w:tcPr>
          <w:p>
            <w:pPr>
              <w:jc w:val="center"/>
            </w:pPr>
            <w:r/>
            <w:r>
              <w:rPr>
                <w:rFonts w:ascii="微软雅黑" w:hAnsi="微软雅黑"/>
                <w:sz w:val="15"/>
              </w:rPr>
              <w:t>520ms</w:t>
            </w:r>
          </w:p>
        </w:tc>
        <w:tc>
          <w:tcPr>
            <w:tcW w:type="dxa" w:w="1020"/>
            <w:shd w:fill="F0F4FA"/>
          </w:tcPr>
          <w:p>
            <w:pPr>
              <w:jc w:val="center"/>
            </w:pPr>
            <w:r/>
            <w:r>
              <w:rPr>
                <w:rFonts w:ascii="微软雅黑" w:hAnsi="微软雅黑"/>
                <w:sz w:val="15"/>
              </w:rPr>
              <w:t>980ms</w:t>
            </w:r>
          </w:p>
        </w:tc>
        <w:tc>
          <w:tcPr>
            <w:tcW w:type="dxa" w:w="850"/>
            <w:shd w:fill="F0F4FA"/>
          </w:tcPr>
          <w:p>
            <w:pPr>
              <w:jc w:val="center"/>
            </w:pPr>
            <w:r/>
            <w:r>
              <w:rPr>
                <w:rFonts w:ascii="微软雅黑" w:hAnsi="微软雅黑"/>
                <w:sz w:val="15"/>
              </w:rPr>
              <w:t>&lt;2000ms</w:t>
            </w:r>
          </w:p>
        </w:tc>
        <w:tc>
          <w:tcPr>
            <w:tcW w:type="dxa" w:w="567"/>
            <w:shd w:fill="F0F4FA"/>
          </w:tcPr>
          <w:p>
            <w:pPr>
              <w:jc w:val="center"/>
            </w:pPr>
            <w:r/>
            <w:r>
              <w:rPr>
                <w:rFonts w:ascii="微软雅黑" w:hAnsi="微软雅黑"/>
                <w:sz w:val="15"/>
              </w:rPr>
              <w:t>达标</w:t>
            </w:r>
          </w:p>
        </w:tc>
      </w:tr>
      <w:tr>
        <w:tc>
          <w:tcPr>
            <w:tcW w:type="dxa" w:w="1984"/>
          </w:tcPr>
          <w:p>
            <w:pPr>
              <w:jc w:val="center"/>
            </w:pPr>
            <w:r/>
            <w:r>
              <w:rPr>
                <w:rFonts w:ascii="微软雅黑" w:hAnsi="微软雅黑"/>
                <w:sz w:val="15"/>
              </w:rPr>
              <w:t>GET /api/v1/metadata/tables (P50)</w:t>
            </w:r>
          </w:p>
        </w:tc>
        <w:tc>
          <w:tcPr>
            <w:tcW w:type="dxa" w:w="1020"/>
          </w:tcPr>
          <w:p>
            <w:pPr>
              <w:jc w:val="center"/>
            </w:pPr>
            <w:r/>
            <w:r>
              <w:rPr>
                <w:rFonts w:ascii="微软雅黑" w:hAnsi="微软雅黑"/>
                <w:sz w:val="15"/>
              </w:rPr>
              <w:t>35ms</w:t>
            </w:r>
          </w:p>
        </w:tc>
        <w:tc>
          <w:tcPr>
            <w:tcW w:type="dxa" w:w="1020"/>
          </w:tcPr>
          <w:p>
            <w:pPr>
              <w:jc w:val="center"/>
            </w:pPr>
            <w:r/>
            <w:r>
              <w:rPr>
                <w:rFonts w:ascii="微软雅黑" w:hAnsi="微软雅黑"/>
                <w:sz w:val="15"/>
              </w:rPr>
              <w:t>65ms</w:t>
            </w:r>
          </w:p>
        </w:tc>
        <w:tc>
          <w:tcPr>
            <w:tcW w:type="dxa" w:w="1020"/>
          </w:tcPr>
          <w:p>
            <w:pPr>
              <w:jc w:val="center"/>
            </w:pPr>
            <w:r/>
            <w:r>
              <w:rPr>
                <w:rFonts w:ascii="微软雅黑" w:hAnsi="微软雅黑"/>
                <w:sz w:val="15"/>
              </w:rPr>
              <w:t>130ms</w:t>
            </w:r>
          </w:p>
        </w:tc>
        <w:tc>
          <w:tcPr>
            <w:tcW w:type="dxa" w:w="850"/>
          </w:tcPr>
          <w:p>
            <w:pPr>
              <w:jc w:val="center"/>
            </w:pPr>
            <w:r/>
            <w:r>
              <w:rPr>
                <w:rFonts w:ascii="微软雅黑" w:hAnsi="微软雅黑"/>
                <w:sz w:val="15"/>
              </w:rPr>
              <w:t>-</w:t>
            </w:r>
          </w:p>
        </w:tc>
        <w:tc>
          <w:tcPr>
            <w:tcW w:type="dxa" w:w="567"/>
          </w:tcPr>
          <w:p>
            <w:pPr>
              <w:jc w:val="center"/>
            </w:pPr>
            <w:r/>
            <w:r>
              <w:rPr>
                <w:rFonts w:ascii="微软雅黑" w:hAnsi="微软雅黑"/>
                <w:sz w:val="15"/>
              </w:rPr>
              <w:t>-</w:t>
            </w:r>
          </w:p>
        </w:tc>
      </w:tr>
      <w:tr>
        <w:tc>
          <w:tcPr>
            <w:tcW w:type="dxa" w:w="1984"/>
            <w:shd w:fill="F0F4FA"/>
          </w:tcPr>
          <w:p>
            <w:pPr>
              <w:jc w:val="center"/>
            </w:pPr>
            <w:r/>
            <w:r>
              <w:rPr>
                <w:rFonts w:ascii="微软雅黑" w:hAnsi="微软雅黑"/>
                <w:sz w:val="15"/>
              </w:rPr>
              <w:t>GET /api/v1/metadata/tables (P95)</w:t>
            </w:r>
          </w:p>
        </w:tc>
        <w:tc>
          <w:tcPr>
            <w:tcW w:type="dxa" w:w="1020"/>
            <w:shd w:fill="F0F4FA"/>
          </w:tcPr>
          <w:p>
            <w:pPr>
              <w:jc w:val="center"/>
            </w:pPr>
            <w:r/>
            <w:r>
              <w:rPr>
                <w:rFonts w:ascii="微软雅黑" w:hAnsi="微软雅黑"/>
                <w:sz w:val="15"/>
              </w:rPr>
              <w:t>72ms</w:t>
            </w:r>
          </w:p>
        </w:tc>
        <w:tc>
          <w:tcPr>
            <w:tcW w:type="dxa" w:w="1020"/>
            <w:shd w:fill="F0F4FA"/>
          </w:tcPr>
          <w:p>
            <w:pPr>
              <w:jc w:val="center"/>
            </w:pPr>
            <w:r/>
            <w:r>
              <w:rPr>
                <w:rFonts w:ascii="微软雅黑" w:hAnsi="微软雅黑"/>
                <w:sz w:val="15"/>
              </w:rPr>
              <w:t>135ms</w:t>
            </w:r>
          </w:p>
        </w:tc>
        <w:tc>
          <w:tcPr>
            <w:tcW w:type="dxa" w:w="1020"/>
            <w:shd w:fill="F0F4FA"/>
          </w:tcPr>
          <w:p>
            <w:pPr>
              <w:jc w:val="center"/>
            </w:pPr>
            <w:r/>
            <w:r>
              <w:rPr>
                <w:rFonts w:ascii="微软雅黑" w:hAnsi="微软雅黑"/>
                <w:sz w:val="15"/>
              </w:rPr>
              <w:t>290ms</w:t>
            </w:r>
          </w:p>
        </w:tc>
        <w:tc>
          <w:tcPr>
            <w:tcW w:type="dxa" w:w="850"/>
            <w:shd w:fill="F0F4FA"/>
          </w:tcPr>
          <w:p>
            <w:pPr>
              <w:jc w:val="center"/>
            </w:pPr>
            <w:r/>
            <w:r>
              <w:rPr>
                <w:rFonts w:ascii="微软雅黑" w:hAnsi="微软雅黑"/>
                <w:sz w:val="15"/>
              </w:rPr>
              <w:t>&lt;500ms</w:t>
            </w:r>
          </w:p>
        </w:tc>
        <w:tc>
          <w:tcPr>
            <w:tcW w:type="dxa" w:w="567"/>
            <w:shd w:fill="F0F4FA"/>
          </w:tcPr>
          <w:p>
            <w:pPr>
              <w:jc w:val="center"/>
            </w:pPr>
            <w:r/>
            <w:r>
              <w:rPr>
                <w:rFonts w:ascii="微软雅黑" w:hAnsi="微软雅黑"/>
                <w:sz w:val="15"/>
              </w:rPr>
              <w:t>达标</w:t>
            </w:r>
          </w:p>
        </w:tc>
      </w:tr>
      <w:tr>
        <w:tc>
          <w:tcPr>
            <w:tcW w:type="dxa" w:w="1984"/>
          </w:tcPr>
          <w:p>
            <w:pPr>
              <w:jc w:val="center"/>
            </w:pPr>
            <w:r/>
            <w:r>
              <w:rPr>
                <w:rFonts w:ascii="微软雅黑" w:hAnsi="微软雅黑"/>
                <w:sz w:val="15"/>
              </w:rPr>
              <w:t>GET /api/v1/data-lineage/graph (P50)</w:t>
            </w:r>
          </w:p>
        </w:tc>
        <w:tc>
          <w:tcPr>
            <w:tcW w:type="dxa" w:w="1020"/>
          </w:tcPr>
          <w:p>
            <w:pPr>
              <w:jc w:val="center"/>
            </w:pPr>
            <w:r/>
            <w:r>
              <w:rPr>
                <w:rFonts w:ascii="微软雅黑" w:hAnsi="微软雅黑"/>
                <w:sz w:val="15"/>
              </w:rPr>
              <w:t>180ms</w:t>
            </w:r>
          </w:p>
        </w:tc>
        <w:tc>
          <w:tcPr>
            <w:tcW w:type="dxa" w:w="1020"/>
          </w:tcPr>
          <w:p>
            <w:pPr>
              <w:jc w:val="center"/>
            </w:pPr>
            <w:r/>
            <w:r>
              <w:rPr>
                <w:rFonts w:ascii="微软雅黑" w:hAnsi="微软雅黑"/>
                <w:sz w:val="15"/>
              </w:rPr>
              <w:t>380ms</w:t>
            </w:r>
          </w:p>
        </w:tc>
        <w:tc>
          <w:tcPr>
            <w:tcW w:type="dxa" w:w="1020"/>
          </w:tcPr>
          <w:p>
            <w:pPr>
              <w:jc w:val="center"/>
            </w:pPr>
            <w:r/>
            <w:r>
              <w:rPr>
                <w:rFonts w:ascii="微软雅黑" w:hAnsi="微软雅黑"/>
                <w:sz w:val="15"/>
              </w:rPr>
              <w:t>750ms</w:t>
            </w:r>
          </w:p>
        </w:tc>
        <w:tc>
          <w:tcPr>
            <w:tcW w:type="dxa" w:w="850"/>
          </w:tcPr>
          <w:p>
            <w:pPr>
              <w:jc w:val="center"/>
            </w:pPr>
            <w:r/>
            <w:r>
              <w:rPr>
                <w:rFonts w:ascii="微软雅黑" w:hAnsi="微软雅黑"/>
                <w:sz w:val="15"/>
              </w:rPr>
              <w:t>-</w:t>
            </w:r>
          </w:p>
        </w:tc>
        <w:tc>
          <w:tcPr>
            <w:tcW w:type="dxa" w:w="567"/>
          </w:tcPr>
          <w:p>
            <w:pPr>
              <w:jc w:val="center"/>
            </w:pPr>
            <w:r/>
            <w:r>
              <w:rPr>
                <w:rFonts w:ascii="微软雅黑" w:hAnsi="微软雅黑"/>
                <w:sz w:val="15"/>
              </w:rPr>
              <w:t>-</w:t>
            </w:r>
          </w:p>
        </w:tc>
      </w:tr>
      <w:tr>
        <w:tc>
          <w:tcPr>
            <w:tcW w:type="dxa" w:w="1984"/>
            <w:shd w:fill="F0F4FA"/>
          </w:tcPr>
          <w:p>
            <w:pPr>
              <w:jc w:val="center"/>
            </w:pPr>
            <w:r/>
            <w:r>
              <w:rPr>
                <w:rFonts w:ascii="微软雅黑" w:hAnsi="微软雅黑"/>
                <w:sz w:val="15"/>
              </w:rPr>
              <w:t>GET /api/v1/data-lineage/graph (P95)</w:t>
            </w:r>
          </w:p>
        </w:tc>
        <w:tc>
          <w:tcPr>
            <w:tcW w:type="dxa" w:w="1020"/>
            <w:shd w:fill="F0F4FA"/>
          </w:tcPr>
          <w:p>
            <w:pPr>
              <w:jc w:val="center"/>
            </w:pPr>
            <w:r/>
            <w:r>
              <w:rPr>
                <w:rFonts w:ascii="微软雅黑" w:hAnsi="微软雅黑"/>
                <w:sz w:val="15"/>
              </w:rPr>
              <w:t>420ms</w:t>
            </w:r>
          </w:p>
        </w:tc>
        <w:tc>
          <w:tcPr>
            <w:tcW w:type="dxa" w:w="1020"/>
            <w:shd w:fill="F0F4FA"/>
          </w:tcPr>
          <w:p>
            <w:pPr>
              <w:jc w:val="center"/>
            </w:pPr>
            <w:r/>
            <w:r>
              <w:rPr>
                <w:rFonts w:ascii="微软雅黑" w:hAnsi="微软雅黑"/>
                <w:sz w:val="15"/>
              </w:rPr>
              <w:t>850ms</w:t>
            </w:r>
          </w:p>
        </w:tc>
        <w:tc>
          <w:tcPr>
            <w:tcW w:type="dxa" w:w="1020"/>
            <w:shd w:fill="F0F4FA"/>
          </w:tcPr>
          <w:p>
            <w:pPr>
              <w:jc w:val="center"/>
            </w:pPr>
            <w:r/>
            <w:r>
              <w:rPr>
                <w:rFonts w:ascii="微软雅黑" w:hAnsi="微软雅黑"/>
                <w:sz w:val="15"/>
              </w:rPr>
              <w:t>1650ms</w:t>
            </w:r>
          </w:p>
        </w:tc>
        <w:tc>
          <w:tcPr>
            <w:tcW w:type="dxa" w:w="850"/>
            <w:shd w:fill="F0F4FA"/>
          </w:tcPr>
          <w:p>
            <w:pPr>
              <w:jc w:val="center"/>
            </w:pPr>
            <w:r/>
            <w:r>
              <w:rPr>
                <w:rFonts w:ascii="微软雅黑" w:hAnsi="微软雅黑"/>
                <w:sz w:val="15"/>
              </w:rPr>
              <w:t>&lt;3000ms</w:t>
            </w:r>
          </w:p>
        </w:tc>
        <w:tc>
          <w:tcPr>
            <w:tcW w:type="dxa" w:w="567"/>
            <w:shd w:fill="F0F4FA"/>
          </w:tcPr>
          <w:p>
            <w:pPr>
              <w:jc w:val="center"/>
            </w:pPr>
            <w:r/>
            <w:r>
              <w:rPr>
                <w:rFonts w:ascii="微软雅黑" w:hAnsi="微软雅黑"/>
                <w:sz w:val="15"/>
              </w:rPr>
              <w:t>达标</w:t>
            </w:r>
          </w:p>
        </w:tc>
      </w:tr>
      <w:tr>
        <w:tc>
          <w:tcPr>
            <w:tcW w:type="dxa" w:w="1984"/>
          </w:tcPr>
          <w:p>
            <w:pPr>
              <w:jc w:val="center"/>
            </w:pPr>
            <w:r/>
            <w:r>
              <w:rPr>
                <w:rFonts w:ascii="微软雅黑" w:hAnsi="微软雅黑"/>
                <w:sz w:val="15"/>
              </w:rPr>
              <w:t>GET /api/v1/blockchain/evidence (P50)</w:t>
            </w:r>
          </w:p>
        </w:tc>
        <w:tc>
          <w:tcPr>
            <w:tcW w:type="dxa" w:w="1020"/>
          </w:tcPr>
          <w:p>
            <w:pPr>
              <w:jc w:val="center"/>
            </w:pPr>
            <w:r/>
            <w:r>
              <w:rPr>
                <w:rFonts w:ascii="微软雅黑" w:hAnsi="微软雅黑"/>
                <w:sz w:val="15"/>
              </w:rPr>
              <w:t>250ms</w:t>
            </w:r>
          </w:p>
        </w:tc>
        <w:tc>
          <w:tcPr>
            <w:tcW w:type="dxa" w:w="1020"/>
          </w:tcPr>
          <w:p>
            <w:pPr>
              <w:jc w:val="center"/>
            </w:pPr>
            <w:r/>
            <w:r>
              <w:rPr>
                <w:rFonts w:ascii="微软雅黑" w:hAnsi="微软雅黑"/>
                <w:sz w:val="15"/>
              </w:rPr>
              <w:t>520ms</w:t>
            </w:r>
          </w:p>
        </w:tc>
        <w:tc>
          <w:tcPr>
            <w:tcW w:type="dxa" w:w="1020"/>
          </w:tcPr>
          <w:p>
            <w:pPr>
              <w:jc w:val="center"/>
            </w:pPr>
            <w:r/>
            <w:r>
              <w:rPr>
                <w:rFonts w:ascii="微软雅黑" w:hAnsi="微软雅黑"/>
                <w:sz w:val="15"/>
              </w:rPr>
              <w:t>1050ms</w:t>
            </w:r>
          </w:p>
        </w:tc>
        <w:tc>
          <w:tcPr>
            <w:tcW w:type="dxa" w:w="850"/>
          </w:tcPr>
          <w:p>
            <w:pPr>
              <w:jc w:val="center"/>
            </w:pPr>
            <w:r/>
            <w:r>
              <w:rPr>
                <w:rFonts w:ascii="微软雅黑" w:hAnsi="微软雅黑"/>
                <w:sz w:val="15"/>
              </w:rPr>
              <w:t>-</w:t>
            </w:r>
          </w:p>
        </w:tc>
        <w:tc>
          <w:tcPr>
            <w:tcW w:type="dxa" w:w="567"/>
          </w:tcPr>
          <w:p>
            <w:pPr>
              <w:jc w:val="center"/>
            </w:pPr>
            <w:r/>
            <w:r>
              <w:rPr>
                <w:rFonts w:ascii="微软雅黑" w:hAnsi="微软雅黑"/>
                <w:sz w:val="15"/>
              </w:rPr>
              <w:t>-</w:t>
            </w:r>
          </w:p>
        </w:tc>
      </w:tr>
      <w:tr>
        <w:tc>
          <w:tcPr>
            <w:tcW w:type="dxa" w:w="1984"/>
            <w:shd w:fill="F0F4FA"/>
          </w:tcPr>
          <w:p>
            <w:pPr>
              <w:jc w:val="center"/>
            </w:pPr>
            <w:r/>
            <w:r>
              <w:rPr>
                <w:rFonts w:ascii="微软雅黑" w:hAnsi="微软雅黑"/>
                <w:sz w:val="15"/>
              </w:rPr>
              <w:t>GET /api/v1/blockchain/evidence (P95)</w:t>
            </w:r>
          </w:p>
        </w:tc>
        <w:tc>
          <w:tcPr>
            <w:tcW w:type="dxa" w:w="1020"/>
            <w:shd w:fill="F0F4FA"/>
          </w:tcPr>
          <w:p>
            <w:pPr>
              <w:jc w:val="center"/>
            </w:pPr>
            <w:r/>
            <w:r>
              <w:rPr>
                <w:rFonts w:ascii="微软雅黑" w:hAnsi="微软雅黑"/>
                <w:sz w:val="15"/>
              </w:rPr>
              <w:t>580ms</w:t>
            </w:r>
          </w:p>
        </w:tc>
        <w:tc>
          <w:tcPr>
            <w:tcW w:type="dxa" w:w="1020"/>
            <w:shd w:fill="F0F4FA"/>
          </w:tcPr>
          <w:p>
            <w:pPr>
              <w:jc w:val="center"/>
            </w:pPr>
            <w:r/>
            <w:r>
              <w:rPr>
                <w:rFonts w:ascii="微软雅黑" w:hAnsi="微软雅黑"/>
                <w:sz w:val="15"/>
              </w:rPr>
              <w:t>1200ms</w:t>
            </w:r>
          </w:p>
        </w:tc>
        <w:tc>
          <w:tcPr>
            <w:tcW w:type="dxa" w:w="1020"/>
            <w:shd w:fill="F0F4FA"/>
          </w:tcPr>
          <w:p>
            <w:pPr>
              <w:jc w:val="center"/>
            </w:pPr>
            <w:r/>
            <w:r>
              <w:rPr>
                <w:rFonts w:ascii="微软雅黑" w:hAnsi="微软雅黑"/>
                <w:sz w:val="15"/>
              </w:rPr>
              <w:t>2400ms</w:t>
            </w:r>
          </w:p>
        </w:tc>
        <w:tc>
          <w:tcPr>
            <w:tcW w:type="dxa" w:w="850"/>
            <w:shd w:fill="F0F4FA"/>
          </w:tcPr>
          <w:p>
            <w:pPr>
              <w:jc w:val="center"/>
            </w:pPr>
            <w:r/>
            <w:r>
              <w:rPr>
                <w:rFonts w:ascii="微软雅黑" w:hAnsi="微软雅黑"/>
                <w:sz w:val="15"/>
              </w:rPr>
              <w:t>&lt;3000ms</w:t>
            </w:r>
          </w:p>
        </w:tc>
        <w:tc>
          <w:tcPr>
            <w:tcW w:type="dxa" w:w="567"/>
            <w:shd w:fill="F0F4FA"/>
          </w:tcPr>
          <w:p>
            <w:pPr>
              <w:jc w:val="center"/>
            </w:pPr>
            <w:r/>
            <w:r>
              <w:rPr>
                <w:rFonts w:ascii="微软雅黑" w:hAnsi="微软雅黑"/>
                <w:sz w:val="15"/>
              </w:rPr>
              <w:t>达标</w:t>
            </w:r>
          </w:p>
        </w:tc>
      </w:tr>
    </w:tbl>
    <w:p/>
    <w:p>
      <w:pPr>
        <w:pStyle w:val="Heading3"/>
      </w:pPr>
      <w:r>
        <w:rPr>
          <w:rFonts w:ascii="微软雅黑" w:hAnsi="微软雅黑" w:eastAsia="微软雅黑"/>
        </w:rPr>
        <w:t>7.2.2  写入类API性能</w:t>
      </w:r>
    </w:p>
    <w:p>
      <w:pPr>
        <w:spacing w:line="360" w:lineRule="auto" w:after="120"/>
        <w:ind w:firstLine="420"/>
      </w:pPr>
      <w:r>
        <w:rPr>
          <w:rFonts w:ascii="微软雅黑" w:hAnsi="微软雅黑" w:eastAsia="微软雅黑"/>
          <w:b w:val="0"/>
          <w:sz w:val="21"/>
        </w:rPr>
        <w:t>写入类API因涉及数据库事务、区块链存证异步写入和消息队列通知，延迟相对较高：</w:t>
      </w:r>
    </w:p>
    <w:p>
      <w:pPr>
        <w:spacing w:line="360" w:lineRule="auto" w:after="120"/>
        <w:jc w:val="center"/>
      </w:pPr>
      <w:r>
        <w:rPr>
          <w:rFonts w:ascii="微软雅黑" w:hAnsi="微软雅黑" w:eastAsia="微软雅黑"/>
          <w:b/>
          <w:sz w:val="18"/>
        </w:rPr>
        <w:t>表7-2  写入类API性能测试结果</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417"/>
            <w:shd w:fill="1A3C6D"/>
          </w:tcPr>
          <w:p>
            <w:pPr>
              <w:jc w:val="center"/>
            </w:pPr>
            <w:r/>
            <w:r>
              <w:rPr>
                <w:rFonts w:ascii="微软雅黑" w:hAnsi="微软雅黑"/>
                <w:b/>
                <w:color w:val="FFFFFF"/>
                <w:sz w:val="16"/>
              </w:rPr>
              <w:t>API端点</w:t>
            </w:r>
          </w:p>
        </w:tc>
        <w:tc>
          <w:tcPr>
            <w:tcW w:type="dxa" w:w="850"/>
            <w:shd w:fill="1A3C6D"/>
          </w:tcPr>
          <w:p>
            <w:pPr>
              <w:jc w:val="center"/>
            </w:pPr>
            <w:r/>
            <w:r>
              <w:rPr>
                <w:rFonts w:ascii="微软雅黑" w:hAnsi="微软雅黑"/>
                <w:b/>
                <w:color w:val="FFFFFF"/>
                <w:sz w:val="16"/>
              </w:rPr>
              <w:t>并发50 P95</w:t>
            </w:r>
          </w:p>
        </w:tc>
        <w:tc>
          <w:tcPr>
            <w:tcW w:type="dxa" w:w="850"/>
            <w:shd w:fill="1A3C6D"/>
          </w:tcPr>
          <w:p>
            <w:pPr>
              <w:jc w:val="center"/>
            </w:pPr>
            <w:r/>
            <w:r>
              <w:rPr>
                <w:rFonts w:ascii="微软雅黑" w:hAnsi="微软雅黑"/>
                <w:b/>
                <w:color w:val="FFFFFF"/>
                <w:sz w:val="16"/>
              </w:rPr>
              <w:t>并发200 P95</w:t>
            </w:r>
          </w:p>
        </w:tc>
        <w:tc>
          <w:tcPr>
            <w:tcW w:type="dxa" w:w="567"/>
            <w:shd w:fill="1A3C6D"/>
          </w:tcPr>
          <w:p>
            <w:pPr>
              <w:jc w:val="center"/>
            </w:pPr>
            <w:r/>
            <w:r>
              <w:rPr>
                <w:rFonts w:ascii="微软雅黑" w:hAnsi="微软雅黑"/>
                <w:b/>
                <w:color w:val="FFFFFF"/>
                <w:sz w:val="16"/>
              </w:rPr>
              <w:t>成功率</w:t>
            </w:r>
          </w:p>
        </w:tc>
        <w:tc>
          <w:tcPr>
            <w:tcW w:type="dxa" w:w="1417"/>
            <w:shd w:fill="1A3C6D"/>
          </w:tcPr>
          <w:p>
            <w:pPr>
              <w:jc w:val="center"/>
            </w:pPr>
            <w:r/>
            <w:r>
              <w:rPr>
                <w:rFonts w:ascii="微软雅黑" w:hAnsi="微软雅黑"/>
                <w:b/>
                <w:color w:val="FFFFFF"/>
                <w:sz w:val="16"/>
              </w:rPr>
              <w:t>涉及操作</w:t>
            </w:r>
          </w:p>
        </w:tc>
      </w:tr>
      <w:tr>
        <w:tc>
          <w:tcPr>
            <w:tcW w:type="dxa" w:w="1417"/>
          </w:tcPr>
          <w:p>
            <w:pPr>
              <w:jc w:val="center"/>
            </w:pPr>
            <w:r/>
            <w:r>
              <w:rPr>
                <w:rFonts w:ascii="微软雅黑" w:hAnsi="微软雅黑"/>
                <w:sz w:val="15"/>
              </w:rPr>
              <w:t>POST /api/v1/data-assets</w:t>
            </w:r>
          </w:p>
        </w:tc>
        <w:tc>
          <w:tcPr>
            <w:tcW w:type="dxa" w:w="850"/>
          </w:tcPr>
          <w:p>
            <w:pPr>
              <w:jc w:val="center"/>
            </w:pPr>
            <w:r/>
            <w:r>
              <w:rPr>
                <w:rFonts w:ascii="微软雅黑" w:hAnsi="微软雅黑"/>
                <w:sz w:val="15"/>
              </w:rPr>
              <w:t>320ms</w:t>
            </w:r>
          </w:p>
        </w:tc>
        <w:tc>
          <w:tcPr>
            <w:tcW w:type="dxa" w:w="850"/>
          </w:tcPr>
          <w:p>
            <w:pPr>
              <w:jc w:val="center"/>
            </w:pPr>
            <w:r/>
            <w:r>
              <w:rPr>
                <w:rFonts w:ascii="微软雅黑" w:hAnsi="微软雅黑"/>
                <w:sz w:val="15"/>
              </w:rPr>
              <w:t>680ms</w:t>
            </w:r>
          </w:p>
        </w:tc>
        <w:tc>
          <w:tcPr>
            <w:tcW w:type="dxa" w:w="567"/>
          </w:tcPr>
          <w:p>
            <w:pPr>
              <w:jc w:val="center"/>
            </w:pPr>
            <w:r/>
            <w:r>
              <w:rPr>
                <w:rFonts w:ascii="微软雅黑" w:hAnsi="微软雅黑"/>
                <w:sz w:val="15"/>
              </w:rPr>
              <w:t>99.8%</w:t>
            </w:r>
          </w:p>
        </w:tc>
        <w:tc>
          <w:tcPr>
            <w:tcW w:type="dxa" w:w="1417"/>
          </w:tcPr>
          <w:p>
            <w:pPr>
              <w:jc w:val="center"/>
            </w:pPr>
            <w:r/>
            <w:r>
              <w:rPr>
                <w:rFonts w:ascii="微软雅黑" w:hAnsi="微软雅黑"/>
                <w:sz w:val="15"/>
              </w:rPr>
              <w:t>DB Insert + Cache Invalidate</w:t>
            </w:r>
          </w:p>
        </w:tc>
      </w:tr>
      <w:tr>
        <w:tc>
          <w:tcPr>
            <w:tcW w:type="dxa" w:w="1417"/>
            <w:shd w:fill="F0F4FA"/>
          </w:tcPr>
          <w:p>
            <w:pPr>
              <w:jc w:val="center"/>
            </w:pPr>
            <w:r/>
            <w:r>
              <w:rPr>
                <w:rFonts w:ascii="微软雅黑" w:hAnsi="微软雅黑"/>
                <w:sz w:val="15"/>
              </w:rPr>
              <w:t>POST /api/v1/data-auth/grant</w:t>
            </w:r>
          </w:p>
        </w:tc>
        <w:tc>
          <w:tcPr>
            <w:tcW w:type="dxa" w:w="850"/>
            <w:shd w:fill="F0F4FA"/>
          </w:tcPr>
          <w:p>
            <w:pPr>
              <w:jc w:val="center"/>
            </w:pPr>
            <w:r/>
            <w:r>
              <w:rPr>
                <w:rFonts w:ascii="微软雅黑" w:hAnsi="微软雅黑"/>
                <w:sz w:val="15"/>
              </w:rPr>
              <w:t>450ms</w:t>
            </w:r>
          </w:p>
        </w:tc>
        <w:tc>
          <w:tcPr>
            <w:tcW w:type="dxa" w:w="850"/>
            <w:shd w:fill="F0F4FA"/>
          </w:tcPr>
          <w:p>
            <w:pPr>
              <w:jc w:val="center"/>
            </w:pPr>
            <w:r/>
            <w:r>
              <w:rPr>
                <w:rFonts w:ascii="微软雅黑" w:hAnsi="微软雅黑"/>
                <w:sz w:val="15"/>
              </w:rPr>
              <w:t>950ms</w:t>
            </w:r>
          </w:p>
        </w:tc>
        <w:tc>
          <w:tcPr>
            <w:tcW w:type="dxa" w:w="567"/>
            <w:shd w:fill="F0F4FA"/>
          </w:tcPr>
          <w:p>
            <w:pPr>
              <w:jc w:val="center"/>
            </w:pPr>
            <w:r/>
            <w:r>
              <w:rPr>
                <w:rFonts w:ascii="微软雅黑" w:hAnsi="微软雅黑"/>
                <w:sz w:val="15"/>
              </w:rPr>
              <w:t>99.5%</w:t>
            </w:r>
          </w:p>
        </w:tc>
        <w:tc>
          <w:tcPr>
            <w:tcW w:type="dxa" w:w="1417"/>
            <w:shd w:fill="F0F4FA"/>
          </w:tcPr>
          <w:p>
            <w:pPr>
              <w:jc w:val="center"/>
            </w:pPr>
            <w:r/>
            <w:r>
              <w:rPr>
                <w:rFonts w:ascii="微软雅黑" w:hAnsi="微软雅黑"/>
                <w:sz w:val="15"/>
              </w:rPr>
              <w:t>DB + Blockchain + Event Bus</w:t>
            </w:r>
          </w:p>
        </w:tc>
      </w:tr>
      <w:tr>
        <w:tc>
          <w:tcPr>
            <w:tcW w:type="dxa" w:w="1417"/>
          </w:tcPr>
          <w:p>
            <w:pPr>
              <w:jc w:val="center"/>
            </w:pPr>
            <w:r/>
            <w:r>
              <w:rPr>
                <w:rFonts w:ascii="微软雅黑" w:hAnsi="微软雅黑"/>
                <w:sz w:val="15"/>
              </w:rPr>
              <w:t>POST /api/v1/blockchain/call</w:t>
            </w:r>
          </w:p>
        </w:tc>
        <w:tc>
          <w:tcPr>
            <w:tcW w:type="dxa" w:w="850"/>
          </w:tcPr>
          <w:p>
            <w:pPr>
              <w:jc w:val="center"/>
            </w:pPr>
            <w:r/>
            <w:r>
              <w:rPr>
                <w:rFonts w:ascii="微软雅黑" w:hAnsi="微软雅黑"/>
                <w:sz w:val="15"/>
              </w:rPr>
              <w:t>1800ms</w:t>
            </w:r>
          </w:p>
        </w:tc>
        <w:tc>
          <w:tcPr>
            <w:tcW w:type="dxa" w:w="850"/>
          </w:tcPr>
          <w:p>
            <w:pPr>
              <w:jc w:val="center"/>
            </w:pPr>
            <w:r/>
            <w:r>
              <w:rPr>
                <w:rFonts w:ascii="微软雅黑" w:hAnsi="微软雅黑"/>
                <w:sz w:val="15"/>
              </w:rPr>
              <w:t>4200ms</w:t>
            </w:r>
          </w:p>
        </w:tc>
        <w:tc>
          <w:tcPr>
            <w:tcW w:type="dxa" w:w="567"/>
          </w:tcPr>
          <w:p>
            <w:pPr>
              <w:jc w:val="center"/>
            </w:pPr>
            <w:r/>
            <w:r>
              <w:rPr>
                <w:rFonts w:ascii="微软雅黑" w:hAnsi="微软雅黑"/>
                <w:sz w:val="15"/>
              </w:rPr>
              <w:t>99.2%</w:t>
            </w:r>
          </w:p>
        </w:tc>
        <w:tc>
          <w:tcPr>
            <w:tcW w:type="dxa" w:w="1417"/>
          </w:tcPr>
          <w:p>
            <w:pPr>
              <w:jc w:val="center"/>
            </w:pPr>
            <w:r/>
            <w:r>
              <w:rPr>
                <w:rFonts w:ascii="微软雅黑" w:hAnsi="微软雅黑"/>
                <w:sz w:val="15"/>
              </w:rPr>
              <w:t>链上交易确认等待</w:t>
            </w:r>
          </w:p>
        </w:tc>
      </w:tr>
      <w:tr>
        <w:tc>
          <w:tcPr>
            <w:tcW w:type="dxa" w:w="1417"/>
            <w:shd w:fill="F0F4FA"/>
          </w:tcPr>
          <w:p>
            <w:pPr>
              <w:jc w:val="center"/>
            </w:pPr>
            <w:r/>
            <w:r>
              <w:rPr>
                <w:rFonts w:ascii="微软雅黑" w:hAnsi="微软雅黑"/>
                <w:sz w:val="15"/>
              </w:rPr>
              <w:t>POST /api/v1/compute-tasks</w:t>
            </w:r>
          </w:p>
        </w:tc>
        <w:tc>
          <w:tcPr>
            <w:tcW w:type="dxa" w:w="850"/>
            <w:shd w:fill="F0F4FA"/>
          </w:tcPr>
          <w:p>
            <w:pPr>
              <w:jc w:val="center"/>
            </w:pPr>
            <w:r/>
            <w:r>
              <w:rPr>
                <w:rFonts w:ascii="微软雅黑" w:hAnsi="微软雅黑"/>
                <w:sz w:val="15"/>
              </w:rPr>
              <w:t>280ms</w:t>
            </w:r>
          </w:p>
        </w:tc>
        <w:tc>
          <w:tcPr>
            <w:tcW w:type="dxa" w:w="850"/>
            <w:shd w:fill="F0F4FA"/>
          </w:tcPr>
          <w:p>
            <w:pPr>
              <w:jc w:val="center"/>
            </w:pPr>
            <w:r/>
            <w:r>
              <w:rPr>
                <w:rFonts w:ascii="微软雅黑" w:hAnsi="微软雅黑"/>
                <w:sz w:val="15"/>
              </w:rPr>
              <w:t>610ms</w:t>
            </w:r>
          </w:p>
        </w:tc>
        <w:tc>
          <w:tcPr>
            <w:tcW w:type="dxa" w:w="567"/>
            <w:shd w:fill="F0F4FA"/>
          </w:tcPr>
          <w:p>
            <w:pPr>
              <w:jc w:val="center"/>
            </w:pPr>
            <w:r/>
            <w:r>
              <w:rPr>
                <w:rFonts w:ascii="微软雅黑" w:hAnsi="微软雅黑"/>
                <w:sz w:val="15"/>
              </w:rPr>
              <w:t>99.7%</w:t>
            </w:r>
          </w:p>
        </w:tc>
        <w:tc>
          <w:tcPr>
            <w:tcW w:type="dxa" w:w="1417"/>
            <w:shd w:fill="F0F4FA"/>
          </w:tcPr>
          <w:p>
            <w:pPr>
              <w:jc w:val="center"/>
            </w:pPr>
            <w:r/>
            <w:r>
              <w:rPr>
                <w:rFonts w:ascii="微软雅黑" w:hAnsi="微软雅黑"/>
                <w:sz w:val="15"/>
              </w:rPr>
              <w:t>DB + Task Queue Dispatch</w:t>
            </w:r>
          </w:p>
        </w:tc>
      </w:tr>
      <w:tr>
        <w:tc>
          <w:tcPr>
            <w:tcW w:type="dxa" w:w="1417"/>
          </w:tcPr>
          <w:p>
            <w:pPr>
              <w:jc w:val="center"/>
            </w:pPr>
            <w:r/>
            <w:r>
              <w:rPr>
                <w:rFonts w:ascii="微软雅黑" w:hAnsi="微软雅黑"/>
                <w:sz w:val="15"/>
              </w:rPr>
              <w:t>POST /api/v1/ai-agent/chat</w:t>
            </w:r>
          </w:p>
        </w:tc>
        <w:tc>
          <w:tcPr>
            <w:tcW w:type="dxa" w:w="850"/>
          </w:tcPr>
          <w:p>
            <w:pPr>
              <w:jc w:val="center"/>
            </w:pPr>
            <w:r/>
            <w:r>
              <w:rPr>
                <w:rFonts w:ascii="微软雅黑" w:hAnsi="微软雅黑"/>
                <w:sz w:val="15"/>
              </w:rPr>
              <w:t>2500ms</w:t>
            </w:r>
          </w:p>
        </w:tc>
        <w:tc>
          <w:tcPr>
            <w:tcW w:type="dxa" w:w="850"/>
          </w:tcPr>
          <w:p>
            <w:pPr>
              <w:jc w:val="center"/>
            </w:pPr>
            <w:r/>
            <w:r>
              <w:rPr>
                <w:rFonts w:ascii="微软雅黑" w:hAnsi="微软雅黑"/>
                <w:sz w:val="15"/>
              </w:rPr>
              <w:t>8500ms</w:t>
            </w:r>
          </w:p>
        </w:tc>
        <w:tc>
          <w:tcPr>
            <w:tcW w:type="dxa" w:w="567"/>
          </w:tcPr>
          <w:p>
            <w:pPr>
              <w:jc w:val="center"/>
            </w:pPr>
            <w:r/>
            <w:r>
              <w:rPr>
                <w:rFonts w:ascii="微软雅黑" w:hAnsi="微软雅黑"/>
                <w:sz w:val="15"/>
              </w:rPr>
              <w:t>98.5%</w:t>
            </w:r>
          </w:p>
        </w:tc>
        <w:tc>
          <w:tcPr>
            <w:tcW w:type="dxa" w:w="1417"/>
          </w:tcPr>
          <w:p>
            <w:pPr>
              <w:jc w:val="center"/>
            </w:pPr>
            <w:r/>
            <w:r>
              <w:rPr>
                <w:rFonts w:ascii="微软雅黑" w:hAnsi="微软雅黑"/>
                <w:sz w:val="15"/>
              </w:rPr>
              <w:t>LLM API调用+知识检索</w:t>
            </w:r>
          </w:p>
        </w:tc>
      </w:tr>
    </w:tbl>
    <w:p/>
    <w:p>
      <w:pPr>
        <w:pStyle w:val="Heading3"/>
      </w:pPr>
      <w:r>
        <w:rPr>
          <w:rFonts w:ascii="微软雅黑" w:hAnsi="微软雅黑" w:eastAsia="微软雅黑"/>
        </w:rPr>
        <w:t>7.2.3  系统吞吐量</w:t>
      </w:r>
    </w:p>
    <w:p>
      <w:pPr>
        <w:spacing w:line="360" w:lineRule="auto" w:after="120"/>
        <w:ind w:firstLine="420"/>
      </w:pPr>
      <w:r>
        <w:rPr>
          <w:rFonts w:ascii="微软雅黑" w:hAnsi="微软雅黑" w:eastAsia="微软雅黑"/>
          <w:b w:val="0"/>
          <w:sz w:val="21"/>
        </w:rPr>
        <w:t>系统在500并发持续压力下的吞吐量数据：纯查询场景（数据库查询）峰值吞吐量5,200 req/s；混合查询/写入场景峰值吞吐量3,150 req/s；AI Agent对话场景峰值吞吐量85 req/s。主要瓶颈在AI Agent的LLM调用，但通过异步队列和流式响应已大幅缓解用户感知延迟。</w:t>
      </w:r>
    </w:p>
    <w:p>
      <w:pPr>
        <w:pStyle w:val="Heading2"/>
      </w:pPr>
      <w:r>
        <w:rPr>
          <w:rFonts w:ascii="微软雅黑" w:hAnsi="微软雅黑" w:eastAsia="微软雅黑"/>
        </w:rPr>
        <w:t>7.3  隐私计算性能测试结果</w:t>
      </w:r>
    </w:p>
    <w:p>
      <w:pPr>
        <w:pStyle w:val="Heading3"/>
      </w:pPr>
      <w:r>
        <w:rPr>
          <w:rFonts w:ascii="微软雅黑" w:hAnsi="微软雅黑" w:eastAsia="微软雅黑"/>
        </w:rPr>
        <w:t>7.3.1  联邦学习性能</w:t>
      </w:r>
    </w:p>
    <w:p>
      <w:pPr>
        <w:spacing w:line="360" w:lineRule="auto" w:after="120"/>
        <w:ind w:firstLine="420"/>
      </w:pPr>
      <w:r>
        <w:rPr>
          <w:rFonts w:ascii="微软雅黑" w:hAnsi="微软雅黑" w:eastAsia="微软雅黑"/>
          <w:b w:val="0"/>
          <w:sz w:val="21"/>
        </w:rPr>
        <w:t>在5方参与、各方10GB负荷数据的测试场景中，联邦学习性能表现如下：</w:t>
      </w:r>
    </w:p>
    <w:p>
      <w:pPr>
        <w:spacing w:line="360" w:lineRule="auto" w:after="120"/>
        <w:jc w:val="center"/>
      </w:pPr>
      <w:r>
        <w:rPr>
          <w:rFonts w:ascii="微软雅黑" w:hAnsi="微软雅黑" w:eastAsia="微软雅黑"/>
          <w:b/>
          <w:sz w:val="18"/>
        </w:rPr>
        <w:t>表7-3  联邦学习性能测试结果</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020"/>
            <w:shd w:fill="1A3C6D"/>
          </w:tcPr>
          <w:p>
            <w:pPr>
              <w:jc w:val="center"/>
            </w:pPr>
            <w:r/>
            <w:r>
              <w:rPr>
                <w:rFonts w:ascii="微软雅黑" w:hAnsi="微软雅黑"/>
                <w:b/>
                <w:color w:val="FFFFFF"/>
                <w:sz w:val="16"/>
              </w:rPr>
              <w:t>指标</w:t>
            </w:r>
          </w:p>
        </w:tc>
        <w:tc>
          <w:tcPr>
            <w:tcW w:type="dxa" w:w="1417"/>
            <w:shd w:fill="1A3C6D"/>
          </w:tcPr>
          <w:p>
            <w:pPr>
              <w:jc w:val="center"/>
            </w:pPr>
            <w:r/>
            <w:r>
              <w:rPr>
                <w:rFonts w:ascii="微软雅黑" w:hAnsi="微软雅黑"/>
                <w:b/>
                <w:color w:val="FFFFFF"/>
                <w:sz w:val="16"/>
              </w:rPr>
              <w:t>横向联邦（FedAvg）</w:t>
            </w:r>
          </w:p>
        </w:tc>
        <w:tc>
          <w:tcPr>
            <w:tcW w:type="dxa" w:w="1417"/>
            <w:shd w:fill="1A3C6D"/>
          </w:tcPr>
          <w:p>
            <w:pPr>
              <w:jc w:val="center"/>
            </w:pPr>
            <w:r/>
            <w:r>
              <w:rPr>
                <w:rFonts w:ascii="微软雅黑" w:hAnsi="微软雅黑"/>
                <w:b/>
                <w:color w:val="FFFFFF"/>
                <w:sz w:val="16"/>
              </w:rPr>
              <w:t>纵向联邦（FATE）</w:t>
            </w:r>
          </w:p>
        </w:tc>
        <w:tc>
          <w:tcPr>
            <w:tcW w:type="dxa" w:w="1417"/>
            <w:shd w:fill="1A3C6D"/>
          </w:tcPr>
          <w:p>
            <w:pPr>
              <w:jc w:val="center"/>
            </w:pPr>
            <w:r/>
            <w:r>
              <w:rPr>
                <w:rFonts w:ascii="微软雅黑" w:hAnsi="微软雅黑"/>
                <w:b/>
                <w:color w:val="FFFFFF"/>
                <w:sz w:val="16"/>
              </w:rPr>
              <w:t>联邦迁移学习</w:t>
            </w:r>
          </w:p>
        </w:tc>
        <w:tc>
          <w:tcPr>
            <w:tcW w:type="dxa" w:w="1417"/>
            <w:shd w:fill="1A3C6D"/>
          </w:tcPr>
          <w:p>
            <w:pPr>
              <w:jc w:val="center"/>
            </w:pPr>
            <w:r/>
            <w:r>
              <w:rPr>
                <w:rFonts w:ascii="微软雅黑" w:hAnsi="微软雅黑"/>
                <w:b/>
                <w:color w:val="FFFFFF"/>
                <w:sz w:val="16"/>
              </w:rPr>
              <w:t>集中式训练对比</w:t>
            </w:r>
          </w:p>
        </w:tc>
      </w:tr>
      <w:tr>
        <w:tc>
          <w:tcPr>
            <w:tcW w:type="dxa" w:w="1020"/>
          </w:tcPr>
          <w:p>
            <w:pPr>
              <w:jc w:val="center"/>
            </w:pPr>
            <w:r/>
            <w:r>
              <w:rPr>
                <w:rFonts w:ascii="微软雅黑" w:hAnsi="微软雅黑"/>
                <w:sz w:val="15"/>
              </w:rPr>
              <w:t>模型精度（MAPE）</w:t>
            </w:r>
          </w:p>
        </w:tc>
        <w:tc>
          <w:tcPr>
            <w:tcW w:type="dxa" w:w="1417"/>
          </w:tcPr>
          <w:p>
            <w:pPr>
              <w:jc w:val="center"/>
            </w:pPr>
            <w:r/>
            <w:r>
              <w:rPr>
                <w:rFonts w:ascii="微软雅黑" w:hAnsi="微软雅黑"/>
                <w:sz w:val="15"/>
              </w:rPr>
              <w:t>4.8%</w:t>
            </w:r>
          </w:p>
        </w:tc>
        <w:tc>
          <w:tcPr>
            <w:tcW w:type="dxa" w:w="1417"/>
          </w:tcPr>
          <w:p>
            <w:pPr>
              <w:jc w:val="center"/>
            </w:pPr>
            <w:r/>
            <w:r>
              <w:rPr>
                <w:rFonts w:ascii="微软雅黑" w:hAnsi="微软雅黑"/>
                <w:sz w:val="15"/>
              </w:rPr>
              <w:t>5.2%</w:t>
            </w:r>
          </w:p>
        </w:tc>
        <w:tc>
          <w:tcPr>
            <w:tcW w:type="dxa" w:w="1417"/>
          </w:tcPr>
          <w:p>
            <w:pPr>
              <w:jc w:val="center"/>
            </w:pPr>
            <w:r/>
            <w:r>
              <w:rPr>
                <w:rFonts w:ascii="微软雅黑" w:hAnsi="微软雅黑"/>
                <w:sz w:val="15"/>
              </w:rPr>
              <w:t>5.5%</w:t>
            </w:r>
          </w:p>
        </w:tc>
        <w:tc>
          <w:tcPr>
            <w:tcW w:type="dxa" w:w="1417"/>
          </w:tcPr>
          <w:p>
            <w:pPr>
              <w:jc w:val="center"/>
            </w:pPr>
            <w:r/>
            <w:r>
              <w:rPr>
                <w:rFonts w:ascii="微软雅黑" w:hAnsi="微软雅黑"/>
                <w:sz w:val="15"/>
              </w:rPr>
              <w:t>4.2%（无隐私保护）</w:t>
            </w:r>
          </w:p>
        </w:tc>
      </w:tr>
      <w:tr>
        <w:tc>
          <w:tcPr>
            <w:tcW w:type="dxa" w:w="1020"/>
            <w:shd w:fill="F0F4FA"/>
          </w:tcPr>
          <w:p>
            <w:pPr>
              <w:jc w:val="center"/>
            </w:pPr>
            <w:r/>
            <w:r>
              <w:rPr>
                <w:rFonts w:ascii="微软雅黑" w:hAnsi="微软雅黑"/>
                <w:sz w:val="15"/>
              </w:rPr>
              <w:t>训练时间（100轮）</w:t>
            </w:r>
          </w:p>
        </w:tc>
        <w:tc>
          <w:tcPr>
            <w:tcW w:type="dxa" w:w="1417"/>
            <w:shd w:fill="F0F4FA"/>
          </w:tcPr>
          <w:p>
            <w:pPr>
              <w:jc w:val="center"/>
            </w:pPr>
            <w:r/>
            <w:r>
              <w:rPr>
                <w:rFonts w:ascii="微软雅黑" w:hAnsi="微软雅黑"/>
                <w:sz w:val="15"/>
              </w:rPr>
              <w:t>6.5小时</w:t>
            </w:r>
          </w:p>
        </w:tc>
        <w:tc>
          <w:tcPr>
            <w:tcW w:type="dxa" w:w="1417"/>
            <w:shd w:fill="F0F4FA"/>
          </w:tcPr>
          <w:p>
            <w:pPr>
              <w:jc w:val="center"/>
            </w:pPr>
            <w:r/>
            <w:r>
              <w:rPr>
                <w:rFonts w:ascii="微软雅黑" w:hAnsi="微软雅黑"/>
                <w:sz w:val="15"/>
              </w:rPr>
              <w:t>8.2小时</w:t>
            </w:r>
          </w:p>
        </w:tc>
        <w:tc>
          <w:tcPr>
            <w:tcW w:type="dxa" w:w="1417"/>
            <w:shd w:fill="F0F4FA"/>
          </w:tcPr>
          <w:p>
            <w:pPr>
              <w:jc w:val="center"/>
            </w:pPr>
            <w:r/>
            <w:r>
              <w:rPr>
                <w:rFonts w:ascii="微软雅黑" w:hAnsi="微软雅黑"/>
                <w:sz w:val="15"/>
              </w:rPr>
              <w:t>5.8小时</w:t>
            </w:r>
          </w:p>
        </w:tc>
        <w:tc>
          <w:tcPr>
            <w:tcW w:type="dxa" w:w="1417"/>
            <w:shd w:fill="F0F4FA"/>
          </w:tcPr>
          <w:p>
            <w:pPr>
              <w:jc w:val="center"/>
            </w:pPr>
            <w:r/>
            <w:r>
              <w:rPr>
                <w:rFonts w:ascii="微软雅黑" w:hAnsi="微软雅黑"/>
                <w:sz w:val="15"/>
              </w:rPr>
              <w:t>2.3小时</w:t>
            </w:r>
          </w:p>
        </w:tc>
      </w:tr>
      <w:tr>
        <w:tc>
          <w:tcPr>
            <w:tcW w:type="dxa" w:w="1020"/>
          </w:tcPr>
          <w:p>
            <w:pPr>
              <w:jc w:val="center"/>
            </w:pPr>
            <w:r/>
            <w:r>
              <w:rPr>
                <w:rFonts w:ascii="微软雅黑" w:hAnsi="微软雅黑"/>
                <w:sz w:val="15"/>
              </w:rPr>
              <w:t>通信量（总计）</w:t>
            </w:r>
          </w:p>
        </w:tc>
        <w:tc>
          <w:tcPr>
            <w:tcW w:type="dxa" w:w="1417"/>
          </w:tcPr>
          <w:p>
            <w:pPr>
              <w:jc w:val="center"/>
            </w:pPr>
            <w:r/>
            <w:r>
              <w:rPr>
                <w:rFonts w:ascii="微软雅黑" w:hAnsi="微软雅黑"/>
                <w:sz w:val="15"/>
              </w:rPr>
              <w:t>12.8GB</w:t>
            </w:r>
          </w:p>
        </w:tc>
        <w:tc>
          <w:tcPr>
            <w:tcW w:type="dxa" w:w="1417"/>
          </w:tcPr>
          <w:p>
            <w:pPr>
              <w:jc w:val="center"/>
            </w:pPr>
            <w:r/>
            <w:r>
              <w:rPr>
                <w:rFonts w:ascii="微软雅黑" w:hAnsi="微软雅黑"/>
                <w:sz w:val="15"/>
              </w:rPr>
              <w:t>8.5GB</w:t>
            </w:r>
          </w:p>
        </w:tc>
        <w:tc>
          <w:tcPr>
            <w:tcW w:type="dxa" w:w="1417"/>
          </w:tcPr>
          <w:p>
            <w:pPr>
              <w:jc w:val="center"/>
            </w:pPr>
            <w:r/>
            <w:r>
              <w:rPr>
                <w:rFonts w:ascii="微软雅黑" w:hAnsi="微软雅黑"/>
                <w:sz w:val="15"/>
              </w:rPr>
              <w:t>6.2GB</w:t>
            </w:r>
          </w:p>
        </w:tc>
        <w:tc>
          <w:tcPr>
            <w:tcW w:type="dxa" w:w="1417"/>
          </w:tcPr>
          <w:p>
            <w:pPr>
              <w:jc w:val="center"/>
            </w:pPr>
            <w:r/>
            <w:r>
              <w:rPr>
                <w:rFonts w:ascii="微软雅黑" w:hAnsi="微软雅黑"/>
                <w:sz w:val="15"/>
              </w:rPr>
              <w:t>0（中心化）</w:t>
            </w:r>
          </w:p>
        </w:tc>
      </w:tr>
      <w:tr>
        <w:tc>
          <w:tcPr>
            <w:tcW w:type="dxa" w:w="1020"/>
            <w:shd w:fill="F0F4FA"/>
          </w:tcPr>
          <w:p>
            <w:pPr>
              <w:jc w:val="center"/>
            </w:pPr>
            <w:r/>
            <w:r>
              <w:rPr>
                <w:rFonts w:ascii="微软雅黑" w:hAnsi="微软雅黑"/>
                <w:sz w:val="15"/>
              </w:rPr>
              <w:t>精度损失（vs集中式）</w:t>
            </w:r>
          </w:p>
        </w:tc>
        <w:tc>
          <w:tcPr>
            <w:tcW w:type="dxa" w:w="1417"/>
            <w:shd w:fill="F0F4FA"/>
          </w:tcPr>
          <w:p>
            <w:pPr>
              <w:jc w:val="center"/>
            </w:pPr>
            <w:r/>
            <w:r>
              <w:rPr>
                <w:rFonts w:ascii="微软雅黑" w:hAnsi="微软雅黑"/>
                <w:sz w:val="15"/>
              </w:rPr>
              <w:t>+0.6%</w:t>
            </w:r>
          </w:p>
        </w:tc>
        <w:tc>
          <w:tcPr>
            <w:tcW w:type="dxa" w:w="1417"/>
            <w:shd w:fill="F0F4FA"/>
          </w:tcPr>
          <w:p>
            <w:pPr>
              <w:jc w:val="center"/>
            </w:pPr>
            <w:r/>
            <w:r>
              <w:rPr>
                <w:rFonts w:ascii="微软雅黑" w:hAnsi="微软雅黑"/>
                <w:sz w:val="15"/>
              </w:rPr>
              <w:t>+1.0%</w:t>
            </w:r>
          </w:p>
        </w:tc>
        <w:tc>
          <w:tcPr>
            <w:tcW w:type="dxa" w:w="1417"/>
            <w:shd w:fill="F0F4FA"/>
          </w:tcPr>
          <w:p>
            <w:pPr>
              <w:jc w:val="center"/>
            </w:pPr>
            <w:r/>
            <w:r>
              <w:rPr>
                <w:rFonts w:ascii="微软雅黑" w:hAnsi="微软雅黑"/>
                <w:sz w:val="15"/>
              </w:rPr>
              <w:t>+1.3%</w:t>
            </w:r>
          </w:p>
        </w:tc>
        <w:tc>
          <w:tcPr>
            <w:tcW w:type="dxa" w:w="1417"/>
            <w:shd w:fill="F0F4FA"/>
          </w:tcPr>
          <w:p>
            <w:pPr>
              <w:jc w:val="center"/>
            </w:pPr>
            <w:r/>
            <w:r>
              <w:rPr>
                <w:rFonts w:ascii="微软雅黑" w:hAnsi="微软雅黑"/>
                <w:sz w:val="15"/>
              </w:rPr>
              <w:t>基准</w:t>
            </w:r>
          </w:p>
        </w:tc>
      </w:tr>
      <w:tr>
        <w:tc>
          <w:tcPr>
            <w:tcW w:type="dxa" w:w="1020"/>
          </w:tcPr>
          <w:p>
            <w:pPr>
              <w:jc w:val="center"/>
            </w:pPr>
            <w:r/>
            <w:r>
              <w:rPr>
                <w:rFonts w:ascii="微软雅黑" w:hAnsi="微软雅黑"/>
                <w:sz w:val="15"/>
              </w:rPr>
              <w:t>10方扩展时间</w:t>
            </w:r>
          </w:p>
        </w:tc>
        <w:tc>
          <w:tcPr>
            <w:tcW w:type="dxa" w:w="1417"/>
          </w:tcPr>
          <w:p>
            <w:pPr>
              <w:jc w:val="center"/>
            </w:pPr>
            <w:r/>
            <w:r>
              <w:rPr>
                <w:rFonts w:ascii="微软雅黑" w:hAnsi="微软雅黑"/>
                <w:sz w:val="15"/>
              </w:rPr>
              <w:t>14.2小时</w:t>
            </w:r>
          </w:p>
        </w:tc>
        <w:tc>
          <w:tcPr>
            <w:tcW w:type="dxa" w:w="1417"/>
          </w:tcPr>
          <w:p>
            <w:pPr>
              <w:jc w:val="center"/>
            </w:pPr>
            <w:r/>
            <w:r>
              <w:rPr>
                <w:rFonts w:ascii="微软雅黑" w:hAnsi="微软雅黑"/>
                <w:sz w:val="15"/>
              </w:rPr>
              <w:t>18.5小时</w:t>
            </w:r>
          </w:p>
        </w:tc>
        <w:tc>
          <w:tcPr>
            <w:tcW w:type="dxa" w:w="1417"/>
          </w:tcPr>
          <w:p>
            <w:pPr>
              <w:jc w:val="center"/>
            </w:pPr>
            <w:r/>
            <w:r>
              <w:rPr>
                <w:rFonts w:ascii="微软雅黑" w:hAnsi="微软雅黑"/>
                <w:sz w:val="15"/>
              </w:rPr>
              <w:t>12.1小时</w:t>
            </w:r>
          </w:p>
        </w:tc>
        <w:tc>
          <w:tcPr>
            <w:tcW w:type="dxa" w:w="1417"/>
          </w:tcPr>
          <w:p>
            <w:pPr>
              <w:jc w:val="center"/>
            </w:pPr>
            <w:r/>
            <w:r>
              <w:rPr>
                <w:rFonts w:ascii="微软雅黑" w:hAnsi="微软雅黑"/>
                <w:sz w:val="15"/>
              </w:rPr>
              <w:t>4.8小时</w:t>
            </w:r>
          </w:p>
        </w:tc>
      </w:tr>
    </w:tbl>
    <w:p/>
    <w:p>
      <w:pPr>
        <w:spacing w:line="360" w:lineRule="auto" w:after="120"/>
        <w:ind w:firstLine="420"/>
      </w:pPr>
      <w:r>
        <w:rPr>
          <w:rFonts w:ascii="微软雅黑" w:hAnsi="微软雅黑" w:eastAsia="微软雅黑"/>
          <w:b w:val="0"/>
          <w:sz w:val="21"/>
        </w:rPr>
        <w:t>分析：联邦学习引入的精度损失在可接受范围内（&lt;2%），且通过加密梯度聚合（Paillier方案）提供了形式化的隐私保护。训练时间约为集中式的2.8-3.5倍，主要开销来自通信加密和多方同步。10方扩展测试显示时间增长呈亚线性（约2.1-2.2倍），说明框架具有良好的扩展性。</w:t>
      </w:r>
    </w:p>
    <w:p>
      <w:pPr>
        <w:pStyle w:val="Heading3"/>
      </w:pPr>
      <w:r>
        <w:rPr>
          <w:rFonts w:ascii="微软雅黑" w:hAnsi="微软雅黑" w:eastAsia="微软雅黑"/>
        </w:rPr>
        <w:t>7.3.2  TEE执行环境性能</w:t>
      </w:r>
    </w:p>
    <w:p>
      <w:pPr>
        <w:spacing w:line="360" w:lineRule="auto" w:after="120"/>
        <w:ind w:firstLine="420"/>
      </w:pPr>
      <w:r>
        <w:rPr>
          <w:rFonts w:ascii="微软雅黑" w:hAnsi="微软雅黑" w:eastAsia="微软雅黑"/>
          <w:b w:val="0"/>
          <w:sz w:val="21"/>
        </w:rPr>
        <w:t>基于Intel SGX2（TDX预览）的可信执行环境性能测试：</w:t>
      </w:r>
    </w:p>
    <w:p>
      <w:pPr>
        <w:spacing w:line="360" w:lineRule="auto" w:after="120"/>
        <w:jc w:val="center"/>
      </w:pPr>
      <w:r>
        <w:rPr>
          <w:rFonts w:ascii="微软雅黑" w:hAnsi="微软雅黑" w:eastAsia="微软雅黑"/>
          <w:b/>
          <w:sz w:val="18"/>
        </w:rPr>
        <w:t>表7-4  TEE性能开销对比</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701"/>
            <w:shd w:fill="1A3C6D"/>
          </w:tcPr>
          <w:p>
            <w:pPr>
              <w:jc w:val="center"/>
            </w:pPr>
            <w:r/>
            <w:r>
              <w:rPr>
                <w:rFonts w:ascii="微软雅黑" w:hAnsi="微软雅黑"/>
                <w:b/>
                <w:color w:val="FFFFFF"/>
                <w:sz w:val="16"/>
              </w:rPr>
              <w:t>操作类型</w:t>
            </w:r>
          </w:p>
        </w:tc>
        <w:tc>
          <w:tcPr>
            <w:tcW w:type="dxa" w:w="1134"/>
            <w:shd w:fill="1A3C6D"/>
          </w:tcPr>
          <w:p>
            <w:pPr>
              <w:jc w:val="center"/>
            </w:pPr>
            <w:r/>
            <w:r>
              <w:rPr>
                <w:rFonts w:ascii="微软雅黑" w:hAnsi="微软雅黑"/>
                <w:b/>
                <w:color w:val="FFFFFF"/>
                <w:sz w:val="16"/>
              </w:rPr>
              <w:t>非TEE基线</w:t>
            </w:r>
          </w:p>
        </w:tc>
        <w:tc>
          <w:tcPr>
            <w:tcW w:type="dxa" w:w="1134"/>
            <w:shd w:fill="1A3C6D"/>
          </w:tcPr>
          <w:p>
            <w:pPr>
              <w:jc w:val="center"/>
            </w:pPr>
            <w:r/>
            <w:r>
              <w:rPr>
                <w:rFonts w:ascii="微软雅黑" w:hAnsi="微软雅黑"/>
                <w:b/>
                <w:color w:val="FFFFFF"/>
                <w:sz w:val="16"/>
              </w:rPr>
              <w:t>TEE(SGX Enclave)</w:t>
            </w:r>
          </w:p>
        </w:tc>
        <w:tc>
          <w:tcPr>
            <w:tcW w:type="dxa" w:w="680"/>
            <w:shd w:fill="1A3C6D"/>
          </w:tcPr>
          <w:p>
            <w:pPr>
              <w:jc w:val="center"/>
            </w:pPr>
            <w:r/>
            <w:r>
              <w:rPr>
                <w:rFonts w:ascii="微软雅黑" w:hAnsi="微软雅黑"/>
                <w:b/>
                <w:color w:val="FFFFFF"/>
                <w:sz w:val="16"/>
              </w:rPr>
              <w:t>性能开销</w:t>
            </w:r>
          </w:p>
        </w:tc>
        <w:tc>
          <w:tcPr>
            <w:tcW w:type="dxa" w:w="680"/>
            <w:shd w:fill="1A3C6D"/>
          </w:tcPr>
          <w:p>
            <w:pPr>
              <w:jc w:val="center"/>
            </w:pPr>
            <w:r/>
            <w:r>
              <w:rPr>
                <w:rFonts w:ascii="微软雅黑" w:hAnsi="微软雅黑"/>
                <w:b/>
                <w:color w:val="FFFFFF"/>
                <w:sz w:val="16"/>
              </w:rPr>
              <w:t>是否可接受</w:t>
            </w:r>
          </w:p>
        </w:tc>
      </w:tr>
      <w:tr>
        <w:tc>
          <w:tcPr>
            <w:tcW w:type="dxa" w:w="1701"/>
          </w:tcPr>
          <w:p>
            <w:pPr>
              <w:jc w:val="center"/>
            </w:pPr>
            <w:r/>
            <w:r>
              <w:rPr>
                <w:rFonts w:ascii="微软雅黑" w:hAnsi="微软雅黑"/>
                <w:sz w:val="15"/>
              </w:rPr>
              <w:t>简单SQL查询（1000行）</w:t>
            </w:r>
          </w:p>
        </w:tc>
        <w:tc>
          <w:tcPr>
            <w:tcW w:type="dxa" w:w="1134"/>
          </w:tcPr>
          <w:p>
            <w:pPr>
              <w:jc w:val="center"/>
            </w:pPr>
            <w:r/>
            <w:r>
              <w:rPr>
                <w:rFonts w:ascii="微软雅黑" w:hAnsi="微软雅黑"/>
                <w:sz w:val="15"/>
              </w:rPr>
              <w:t>12ms</w:t>
            </w:r>
          </w:p>
        </w:tc>
        <w:tc>
          <w:tcPr>
            <w:tcW w:type="dxa" w:w="1134"/>
          </w:tcPr>
          <w:p>
            <w:pPr>
              <w:jc w:val="center"/>
            </w:pPr>
            <w:r/>
            <w:r>
              <w:rPr>
                <w:rFonts w:ascii="微软雅黑" w:hAnsi="微软雅黑"/>
                <w:sz w:val="15"/>
              </w:rPr>
              <w:t>18ms</w:t>
            </w:r>
          </w:p>
        </w:tc>
        <w:tc>
          <w:tcPr>
            <w:tcW w:type="dxa" w:w="680"/>
          </w:tcPr>
          <w:p>
            <w:pPr>
              <w:jc w:val="center"/>
            </w:pPr>
            <w:r/>
            <w:r>
              <w:rPr>
                <w:rFonts w:ascii="微软雅黑" w:hAnsi="微软雅黑"/>
                <w:sz w:val="15"/>
              </w:rPr>
              <w:t>1.5x</w:t>
            </w:r>
          </w:p>
        </w:tc>
        <w:tc>
          <w:tcPr>
            <w:tcW w:type="dxa" w:w="680"/>
          </w:tcPr>
          <w:p>
            <w:pPr>
              <w:jc w:val="center"/>
            </w:pPr>
            <w:r/>
            <w:r>
              <w:rPr>
                <w:rFonts w:ascii="微软雅黑" w:hAnsi="微软雅黑"/>
                <w:sz w:val="15"/>
              </w:rPr>
              <w:t>是</w:t>
            </w:r>
          </w:p>
        </w:tc>
      </w:tr>
      <w:tr>
        <w:tc>
          <w:tcPr>
            <w:tcW w:type="dxa" w:w="1701"/>
            <w:shd w:fill="F0F4FA"/>
          </w:tcPr>
          <w:p>
            <w:pPr>
              <w:jc w:val="center"/>
            </w:pPr>
            <w:r/>
            <w:r>
              <w:rPr>
                <w:rFonts w:ascii="微软雅黑" w:hAnsi="微软雅黑"/>
                <w:sz w:val="15"/>
              </w:rPr>
              <w:t>复杂聚合查询（10万行）</w:t>
            </w:r>
          </w:p>
        </w:tc>
        <w:tc>
          <w:tcPr>
            <w:tcW w:type="dxa" w:w="1134"/>
            <w:shd w:fill="F0F4FA"/>
          </w:tcPr>
          <w:p>
            <w:pPr>
              <w:jc w:val="center"/>
            </w:pPr>
            <w:r/>
            <w:r>
              <w:rPr>
                <w:rFonts w:ascii="微软雅黑" w:hAnsi="微软雅黑"/>
                <w:sz w:val="15"/>
              </w:rPr>
              <w:t>85ms</w:t>
            </w:r>
          </w:p>
        </w:tc>
        <w:tc>
          <w:tcPr>
            <w:tcW w:type="dxa" w:w="1134"/>
            <w:shd w:fill="F0F4FA"/>
          </w:tcPr>
          <w:p>
            <w:pPr>
              <w:jc w:val="center"/>
            </w:pPr>
            <w:r/>
            <w:r>
              <w:rPr>
                <w:rFonts w:ascii="微软雅黑" w:hAnsi="微软雅黑"/>
                <w:sz w:val="15"/>
              </w:rPr>
              <w:t>220ms</w:t>
            </w:r>
          </w:p>
        </w:tc>
        <w:tc>
          <w:tcPr>
            <w:tcW w:type="dxa" w:w="680"/>
            <w:shd w:fill="F0F4FA"/>
          </w:tcPr>
          <w:p>
            <w:pPr>
              <w:jc w:val="center"/>
            </w:pPr>
            <w:r/>
            <w:r>
              <w:rPr>
                <w:rFonts w:ascii="微软雅黑" w:hAnsi="微软雅黑"/>
                <w:sz w:val="15"/>
              </w:rPr>
              <w:t>2.6x</w:t>
            </w:r>
          </w:p>
        </w:tc>
        <w:tc>
          <w:tcPr>
            <w:tcW w:type="dxa" w:w="680"/>
            <w:shd w:fill="F0F4FA"/>
          </w:tcPr>
          <w:p>
            <w:pPr>
              <w:jc w:val="center"/>
            </w:pPr>
            <w:r/>
            <w:r>
              <w:rPr>
                <w:rFonts w:ascii="微软雅黑" w:hAnsi="微软雅黑"/>
                <w:sz w:val="15"/>
              </w:rPr>
              <w:t>是（仍&lt;目标）</w:t>
            </w:r>
          </w:p>
        </w:tc>
      </w:tr>
      <w:tr>
        <w:tc>
          <w:tcPr>
            <w:tcW w:type="dxa" w:w="1701"/>
          </w:tcPr>
          <w:p>
            <w:pPr>
              <w:jc w:val="center"/>
            </w:pPr>
            <w:r/>
            <w:r>
              <w:rPr>
                <w:rFonts w:ascii="微软雅黑" w:hAnsi="微软雅黑"/>
                <w:sz w:val="15"/>
              </w:rPr>
              <w:t>AES加密/解密（1MB）</w:t>
            </w:r>
          </w:p>
        </w:tc>
        <w:tc>
          <w:tcPr>
            <w:tcW w:type="dxa" w:w="1134"/>
          </w:tcPr>
          <w:p>
            <w:pPr>
              <w:jc w:val="center"/>
            </w:pPr>
            <w:r/>
            <w:r>
              <w:rPr>
                <w:rFonts w:ascii="微软雅黑" w:hAnsi="微软雅黑"/>
                <w:sz w:val="15"/>
              </w:rPr>
              <w:t>0.8ms</w:t>
            </w:r>
          </w:p>
        </w:tc>
        <w:tc>
          <w:tcPr>
            <w:tcW w:type="dxa" w:w="1134"/>
          </w:tcPr>
          <w:p>
            <w:pPr>
              <w:jc w:val="center"/>
            </w:pPr>
            <w:r/>
            <w:r>
              <w:rPr>
                <w:rFonts w:ascii="微软雅黑" w:hAnsi="微软雅黑"/>
                <w:sz w:val="15"/>
              </w:rPr>
              <w:t>1.5ms</w:t>
            </w:r>
          </w:p>
        </w:tc>
        <w:tc>
          <w:tcPr>
            <w:tcW w:type="dxa" w:w="680"/>
          </w:tcPr>
          <w:p>
            <w:pPr>
              <w:jc w:val="center"/>
            </w:pPr>
            <w:r/>
            <w:r>
              <w:rPr>
                <w:rFonts w:ascii="微软雅黑" w:hAnsi="微软雅黑"/>
                <w:sz w:val="15"/>
              </w:rPr>
              <w:t>1.9x</w:t>
            </w:r>
          </w:p>
        </w:tc>
        <w:tc>
          <w:tcPr>
            <w:tcW w:type="dxa" w:w="680"/>
          </w:tcPr>
          <w:p>
            <w:pPr>
              <w:jc w:val="center"/>
            </w:pPr>
            <w:r/>
            <w:r>
              <w:rPr>
                <w:rFonts w:ascii="微软雅黑" w:hAnsi="微软雅黑"/>
                <w:sz w:val="15"/>
              </w:rPr>
              <w:t>是</w:t>
            </w:r>
          </w:p>
        </w:tc>
      </w:tr>
      <w:tr>
        <w:tc>
          <w:tcPr>
            <w:tcW w:type="dxa" w:w="1701"/>
            <w:shd w:fill="F0F4FA"/>
          </w:tcPr>
          <w:p>
            <w:pPr>
              <w:jc w:val="center"/>
            </w:pPr>
            <w:r/>
            <w:r>
              <w:rPr>
                <w:rFonts w:ascii="微软雅黑" w:hAnsi="微软雅黑"/>
                <w:sz w:val="15"/>
              </w:rPr>
              <w:t>SHA-256哈希（1GB）</w:t>
            </w:r>
          </w:p>
        </w:tc>
        <w:tc>
          <w:tcPr>
            <w:tcW w:type="dxa" w:w="1134"/>
            <w:shd w:fill="F0F4FA"/>
          </w:tcPr>
          <w:p>
            <w:pPr>
              <w:jc w:val="center"/>
            </w:pPr>
            <w:r/>
            <w:r>
              <w:rPr>
                <w:rFonts w:ascii="微软雅黑" w:hAnsi="微软雅黑"/>
                <w:sz w:val="15"/>
              </w:rPr>
              <w:t>320ms</w:t>
            </w:r>
          </w:p>
        </w:tc>
        <w:tc>
          <w:tcPr>
            <w:tcW w:type="dxa" w:w="1134"/>
            <w:shd w:fill="F0F4FA"/>
          </w:tcPr>
          <w:p>
            <w:pPr>
              <w:jc w:val="center"/>
            </w:pPr>
            <w:r/>
            <w:r>
              <w:rPr>
                <w:rFonts w:ascii="微软雅黑" w:hAnsi="微软雅黑"/>
                <w:sz w:val="15"/>
              </w:rPr>
              <w:t>520ms</w:t>
            </w:r>
          </w:p>
        </w:tc>
        <w:tc>
          <w:tcPr>
            <w:tcW w:type="dxa" w:w="680"/>
            <w:shd w:fill="F0F4FA"/>
          </w:tcPr>
          <w:p>
            <w:pPr>
              <w:jc w:val="center"/>
            </w:pPr>
            <w:r/>
            <w:r>
              <w:rPr>
                <w:rFonts w:ascii="微软雅黑" w:hAnsi="微软雅黑"/>
                <w:sz w:val="15"/>
              </w:rPr>
              <w:t>1.6x</w:t>
            </w:r>
          </w:p>
        </w:tc>
        <w:tc>
          <w:tcPr>
            <w:tcW w:type="dxa" w:w="680"/>
            <w:shd w:fill="F0F4FA"/>
          </w:tcPr>
          <w:p>
            <w:pPr>
              <w:jc w:val="center"/>
            </w:pPr>
            <w:r/>
            <w:r>
              <w:rPr>
                <w:rFonts w:ascii="微软雅黑" w:hAnsi="微软雅黑"/>
                <w:sz w:val="15"/>
              </w:rPr>
              <w:t>是</w:t>
            </w:r>
          </w:p>
        </w:tc>
      </w:tr>
      <w:tr>
        <w:tc>
          <w:tcPr>
            <w:tcW w:type="dxa" w:w="1701"/>
          </w:tcPr>
          <w:p>
            <w:pPr>
              <w:jc w:val="center"/>
            </w:pPr>
            <w:r/>
            <w:r>
              <w:rPr>
                <w:rFonts w:ascii="微软雅黑" w:hAnsi="微软雅黑"/>
                <w:sz w:val="15"/>
              </w:rPr>
              <w:t>内存分配（100MB）</w:t>
            </w:r>
          </w:p>
        </w:tc>
        <w:tc>
          <w:tcPr>
            <w:tcW w:type="dxa" w:w="1134"/>
          </w:tcPr>
          <w:p>
            <w:pPr>
              <w:jc w:val="center"/>
            </w:pPr>
            <w:r/>
            <w:r>
              <w:rPr>
                <w:rFonts w:ascii="微软雅黑" w:hAnsi="微软雅黑"/>
                <w:sz w:val="15"/>
              </w:rPr>
              <w:t>8ms</w:t>
            </w:r>
          </w:p>
        </w:tc>
        <w:tc>
          <w:tcPr>
            <w:tcW w:type="dxa" w:w="1134"/>
          </w:tcPr>
          <w:p>
            <w:pPr>
              <w:jc w:val="center"/>
            </w:pPr>
            <w:r/>
            <w:r>
              <w:rPr>
                <w:rFonts w:ascii="微软雅黑" w:hAnsi="微软雅黑"/>
                <w:sz w:val="15"/>
              </w:rPr>
              <w:t>35ms</w:t>
            </w:r>
          </w:p>
        </w:tc>
        <w:tc>
          <w:tcPr>
            <w:tcW w:type="dxa" w:w="680"/>
          </w:tcPr>
          <w:p>
            <w:pPr>
              <w:jc w:val="center"/>
            </w:pPr>
            <w:r/>
            <w:r>
              <w:rPr>
                <w:rFonts w:ascii="微软雅黑" w:hAnsi="微软雅黑"/>
                <w:sz w:val="15"/>
              </w:rPr>
              <w:t>4.4x</w:t>
            </w:r>
          </w:p>
        </w:tc>
        <w:tc>
          <w:tcPr>
            <w:tcW w:type="dxa" w:w="680"/>
          </w:tcPr>
          <w:p>
            <w:pPr>
              <w:jc w:val="center"/>
            </w:pPr>
            <w:r/>
            <w:r>
              <w:rPr>
                <w:rFonts w:ascii="微软雅黑" w:hAnsi="微软雅黑"/>
                <w:sz w:val="15"/>
              </w:rPr>
              <w:t>是（仅初始化）</w:t>
            </w:r>
          </w:p>
        </w:tc>
      </w:tr>
    </w:tbl>
    <w:p/>
    <w:p>
      <w:pPr>
        <w:spacing w:line="360" w:lineRule="auto" w:after="120"/>
        <w:ind w:firstLine="420"/>
      </w:pPr>
      <w:r>
        <w:rPr>
          <w:rFonts w:ascii="微软雅黑" w:hAnsi="微软雅黑" w:eastAsia="微软雅黑"/>
          <w:b w:val="0"/>
          <w:sz w:val="21"/>
        </w:rPr>
        <w:t>TEE性能开销平均在1.5-2.6x之间（除内存分配初始开销外），在数据安全要求高的场景下是可接受的折衷。TEE计算在数据质量校验和合规审查计算场景中具有显著优势——保持明文级计算精度的同时提供了硬件级安全隔离。</w:t>
      </w:r>
    </w:p>
    <w:p>
      <w:pPr>
        <w:pStyle w:val="Heading3"/>
      </w:pPr>
      <w:r>
        <w:rPr>
          <w:rFonts w:ascii="微软雅黑" w:hAnsi="微软雅黑" w:eastAsia="微软雅黑"/>
        </w:rPr>
        <w:t>7.3.3  MPC安全多方计算性能</w:t>
      </w:r>
    </w:p>
    <w:p>
      <w:pPr>
        <w:spacing w:line="360" w:lineRule="auto" w:after="120"/>
        <w:ind w:firstLine="420"/>
      </w:pPr>
      <w:r>
        <w:rPr>
          <w:rFonts w:ascii="微软雅黑" w:hAnsi="微软雅黑" w:eastAsia="微软雅黑"/>
          <w:b w:val="0"/>
          <w:sz w:val="21"/>
        </w:rPr>
        <w:t>基于SPDZ协议的3方安全计算，在10万行数据规模下：两列求和(&lt;0.5s)、多列统计聚合(&lt;2s)、隐私集合求交(PSI, 百万级集合&lt;30s)、线性回归拟合(10维特征&lt;5s)。MPC性能高度依赖于数据规模和计算复杂度，对于百万级以上的数据集，建议采用FL方案替代。</w:t>
      </w:r>
    </w:p>
    <w:p>
      <w:pPr>
        <w:pStyle w:val="Heading3"/>
      </w:pPr>
      <w:r>
        <w:rPr>
          <w:rFonts w:ascii="微软雅黑" w:hAnsi="微软雅黑" w:eastAsia="微软雅黑"/>
        </w:rPr>
        <w:t>7.3.4  同态加密性能</w:t>
      </w:r>
    </w:p>
    <w:p>
      <w:pPr>
        <w:spacing w:line="360" w:lineRule="auto" w:after="120"/>
        <w:ind w:firstLine="420"/>
      </w:pPr>
      <w:r>
        <w:rPr>
          <w:rFonts w:ascii="微软雅黑" w:hAnsi="微软雅黑" w:eastAsia="微软雅黑"/>
          <w:b w:val="0"/>
          <w:sz w:val="21"/>
        </w:rPr>
        <w:t>基于CKKS方案（多项式度=8192，缩放因子=2^40）的同态加密性能测试：单次加法&lt;1ms（可忽略）、单次乘法~150ms（主要开销）、10个浮点数的均值计算~320ms、1000个浮点数的统计计算~8.5s、密文膨胀比~80x。同态加密适合小规模密态计算，大规模复杂计算场景建议使用TEE方案。</w:t>
      </w:r>
    </w:p>
    <w:p>
      <w:pPr>
        <w:pStyle w:val="Heading2"/>
      </w:pPr>
      <w:r>
        <w:rPr>
          <w:rFonts w:ascii="微软雅黑" w:hAnsi="微软雅黑" w:eastAsia="微软雅黑"/>
        </w:rPr>
        <w:t>7.4  区块链性能测试结果</w:t>
      </w:r>
    </w:p>
    <w:p>
      <w:pPr>
        <w:spacing w:line="360" w:lineRule="auto" w:after="120"/>
        <w:ind w:firstLine="420"/>
      </w:pPr>
      <w:r>
        <w:rPr>
          <w:rFonts w:ascii="微软雅黑" w:hAnsi="微软雅黑" w:eastAsia="微软雅黑"/>
          <w:b w:val="0"/>
          <w:sz w:val="21"/>
        </w:rPr>
        <w:t>在3节点Clique PoA共识的私有以太坊网络上，使用Go-Ethereum v1.13客户端测试区块链性能：</w:t>
      </w:r>
    </w:p>
    <w:p>
      <w:pPr>
        <w:spacing w:line="360" w:lineRule="auto" w:after="120"/>
        <w:jc w:val="center"/>
      </w:pPr>
      <w:r>
        <w:rPr>
          <w:rFonts w:ascii="微软雅黑" w:hAnsi="微软雅黑" w:eastAsia="微软雅黑"/>
          <w:b/>
          <w:sz w:val="18"/>
        </w:rPr>
        <w:t>表7-5  区块链性能测试结果</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134"/>
            <w:shd w:fill="1A3C6D"/>
          </w:tcPr>
          <w:p>
            <w:pPr>
              <w:jc w:val="center"/>
            </w:pPr>
            <w:r/>
            <w:r>
              <w:rPr>
                <w:rFonts w:ascii="微软雅黑" w:hAnsi="微软雅黑"/>
                <w:b/>
                <w:color w:val="FFFFFF"/>
                <w:sz w:val="16"/>
              </w:rPr>
              <w:t>指标</w:t>
            </w:r>
          </w:p>
        </w:tc>
        <w:tc>
          <w:tcPr>
            <w:tcW w:type="dxa" w:w="850"/>
            <w:shd w:fill="1A3C6D"/>
          </w:tcPr>
          <w:p>
            <w:pPr>
              <w:jc w:val="center"/>
            </w:pPr>
            <w:r/>
            <w:r>
              <w:rPr>
                <w:rFonts w:ascii="微软雅黑" w:hAnsi="微软雅黑"/>
                <w:b/>
                <w:color w:val="FFFFFF"/>
                <w:sz w:val="16"/>
              </w:rPr>
              <w:t>测试值</w:t>
            </w:r>
          </w:p>
        </w:tc>
        <w:tc>
          <w:tcPr>
            <w:tcW w:type="dxa" w:w="850"/>
            <w:shd w:fill="1A3C6D"/>
          </w:tcPr>
          <w:p>
            <w:pPr>
              <w:jc w:val="center"/>
            </w:pPr>
            <w:r/>
            <w:r>
              <w:rPr>
                <w:rFonts w:ascii="微软雅黑" w:hAnsi="微软雅黑"/>
                <w:b/>
                <w:color w:val="FFFFFF"/>
                <w:sz w:val="16"/>
              </w:rPr>
              <w:t>目标值</w:t>
            </w:r>
          </w:p>
        </w:tc>
        <w:tc>
          <w:tcPr>
            <w:tcW w:type="dxa" w:w="567"/>
            <w:shd w:fill="1A3C6D"/>
          </w:tcPr>
          <w:p>
            <w:pPr>
              <w:jc w:val="center"/>
            </w:pPr>
            <w:r/>
            <w:r>
              <w:rPr>
                <w:rFonts w:ascii="微软雅黑" w:hAnsi="微软雅黑"/>
                <w:b/>
                <w:color w:val="FFFFFF"/>
                <w:sz w:val="16"/>
              </w:rPr>
              <w:t>达标情况</w:t>
            </w:r>
          </w:p>
        </w:tc>
        <w:tc>
          <w:tcPr>
            <w:tcW w:type="dxa" w:w="1417"/>
            <w:shd w:fill="1A3C6D"/>
          </w:tcPr>
          <w:p>
            <w:pPr>
              <w:jc w:val="center"/>
            </w:pPr>
            <w:r/>
            <w:r>
              <w:rPr>
                <w:rFonts w:ascii="微软雅黑" w:hAnsi="微软雅黑"/>
                <w:b/>
                <w:color w:val="FFFFFF"/>
                <w:sz w:val="16"/>
              </w:rPr>
              <w:t>备注</w:t>
            </w:r>
          </w:p>
        </w:tc>
      </w:tr>
      <w:tr>
        <w:tc>
          <w:tcPr>
            <w:tcW w:type="dxa" w:w="1134"/>
          </w:tcPr>
          <w:p>
            <w:pPr>
              <w:jc w:val="center"/>
            </w:pPr>
            <w:r/>
            <w:r>
              <w:rPr>
                <w:rFonts w:ascii="微软雅黑" w:hAnsi="微软雅黑"/>
                <w:sz w:val="15"/>
              </w:rPr>
              <w:t>简单交易TPS</w:t>
            </w:r>
          </w:p>
        </w:tc>
        <w:tc>
          <w:tcPr>
            <w:tcW w:type="dxa" w:w="850"/>
          </w:tcPr>
          <w:p>
            <w:pPr>
              <w:jc w:val="center"/>
            </w:pPr>
            <w:r/>
            <w:r>
              <w:rPr>
                <w:rFonts w:ascii="微软雅黑" w:hAnsi="微软雅黑"/>
                <w:sz w:val="15"/>
              </w:rPr>
              <w:t>118 TPS</w:t>
            </w:r>
          </w:p>
        </w:tc>
        <w:tc>
          <w:tcPr>
            <w:tcW w:type="dxa" w:w="850"/>
          </w:tcPr>
          <w:p>
            <w:pPr>
              <w:jc w:val="center"/>
            </w:pPr>
            <w:r/>
            <w:r>
              <w:rPr>
                <w:rFonts w:ascii="微软雅黑" w:hAnsi="微软雅黑"/>
                <w:sz w:val="15"/>
              </w:rPr>
              <w:t>&gt;100 TPS</w:t>
            </w:r>
          </w:p>
        </w:tc>
        <w:tc>
          <w:tcPr>
            <w:tcW w:type="dxa" w:w="567"/>
          </w:tcPr>
          <w:p>
            <w:pPr>
              <w:jc w:val="center"/>
            </w:pPr>
            <w:r/>
            <w:r>
              <w:rPr>
                <w:rFonts w:ascii="微软雅黑" w:hAnsi="微软雅黑"/>
                <w:sz w:val="15"/>
              </w:rPr>
              <w:t>达标</w:t>
            </w:r>
          </w:p>
        </w:tc>
        <w:tc>
          <w:tcPr>
            <w:tcW w:type="dxa" w:w="1417"/>
          </w:tcPr>
          <w:p>
            <w:pPr>
              <w:jc w:val="center"/>
            </w:pPr>
            <w:r/>
            <w:r>
              <w:rPr>
                <w:rFonts w:ascii="微软雅黑" w:hAnsi="微软雅黑"/>
                <w:sz w:val="15"/>
              </w:rPr>
              <w:t>空区块写入简单转账交易</w:t>
            </w:r>
          </w:p>
        </w:tc>
      </w:tr>
      <w:tr>
        <w:tc>
          <w:tcPr>
            <w:tcW w:type="dxa" w:w="1134"/>
            <w:shd w:fill="F0F4FA"/>
          </w:tcPr>
          <w:p>
            <w:pPr>
              <w:jc w:val="center"/>
            </w:pPr>
            <w:r/>
            <w:r>
              <w:rPr>
                <w:rFonts w:ascii="微软雅黑" w:hAnsi="微软雅黑"/>
                <w:sz w:val="15"/>
              </w:rPr>
              <w:t>智能合约部署TPS</w:t>
            </w:r>
          </w:p>
        </w:tc>
        <w:tc>
          <w:tcPr>
            <w:tcW w:type="dxa" w:w="850"/>
            <w:shd w:fill="F0F4FA"/>
          </w:tcPr>
          <w:p>
            <w:pPr>
              <w:jc w:val="center"/>
            </w:pPr>
            <w:r/>
            <w:r>
              <w:rPr>
                <w:rFonts w:ascii="微软雅黑" w:hAnsi="微软雅黑"/>
                <w:sz w:val="15"/>
              </w:rPr>
              <w:t>45 TPS</w:t>
            </w:r>
          </w:p>
        </w:tc>
        <w:tc>
          <w:tcPr>
            <w:tcW w:type="dxa" w:w="850"/>
            <w:shd w:fill="F0F4FA"/>
          </w:tcPr>
          <w:p>
            <w:pPr>
              <w:jc w:val="center"/>
            </w:pPr>
            <w:r/>
            <w:r>
              <w:rPr>
                <w:rFonts w:ascii="微软雅黑" w:hAnsi="微软雅黑"/>
                <w:sz w:val="15"/>
              </w:rPr>
              <w:t>&gt;30 TPS</w:t>
            </w:r>
          </w:p>
        </w:tc>
        <w:tc>
          <w:tcPr>
            <w:tcW w:type="dxa" w:w="567"/>
            <w:shd w:fill="F0F4FA"/>
          </w:tcPr>
          <w:p>
            <w:pPr>
              <w:jc w:val="center"/>
            </w:pPr>
            <w:r/>
            <w:r>
              <w:rPr>
                <w:rFonts w:ascii="微软雅黑" w:hAnsi="微软雅黑"/>
                <w:sz w:val="15"/>
              </w:rPr>
              <w:t>达标</w:t>
            </w:r>
          </w:p>
        </w:tc>
        <w:tc>
          <w:tcPr>
            <w:tcW w:type="dxa" w:w="1417"/>
            <w:shd w:fill="F0F4FA"/>
          </w:tcPr>
          <w:p>
            <w:pPr>
              <w:jc w:val="center"/>
            </w:pPr>
            <w:r/>
            <w:r>
              <w:rPr>
                <w:rFonts w:ascii="微软雅黑" w:hAnsi="微软雅黑"/>
                <w:sz w:val="15"/>
              </w:rPr>
              <w:t>ERC-721 DataNFT合约部署</w:t>
            </w:r>
          </w:p>
        </w:tc>
      </w:tr>
      <w:tr>
        <w:tc>
          <w:tcPr>
            <w:tcW w:type="dxa" w:w="1134"/>
          </w:tcPr>
          <w:p>
            <w:pPr>
              <w:jc w:val="center"/>
            </w:pPr>
            <w:r/>
            <w:r>
              <w:rPr>
                <w:rFonts w:ascii="微软雅黑" w:hAnsi="微软雅黑"/>
                <w:sz w:val="15"/>
              </w:rPr>
              <w:t>合约方法调用TPS</w:t>
            </w:r>
          </w:p>
        </w:tc>
        <w:tc>
          <w:tcPr>
            <w:tcW w:type="dxa" w:w="850"/>
          </w:tcPr>
          <w:p>
            <w:pPr>
              <w:jc w:val="center"/>
            </w:pPr>
            <w:r/>
            <w:r>
              <w:rPr>
                <w:rFonts w:ascii="微软雅黑" w:hAnsi="微软雅黑"/>
                <w:sz w:val="15"/>
              </w:rPr>
              <w:t>62 TPS</w:t>
            </w:r>
          </w:p>
        </w:tc>
        <w:tc>
          <w:tcPr>
            <w:tcW w:type="dxa" w:w="850"/>
          </w:tcPr>
          <w:p>
            <w:pPr>
              <w:jc w:val="center"/>
            </w:pPr>
            <w:r/>
            <w:r>
              <w:rPr>
                <w:rFonts w:ascii="微软雅黑" w:hAnsi="微软雅黑"/>
                <w:sz w:val="15"/>
              </w:rPr>
              <w:t>&gt;50 TPS</w:t>
            </w:r>
          </w:p>
        </w:tc>
        <w:tc>
          <w:tcPr>
            <w:tcW w:type="dxa" w:w="567"/>
          </w:tcPr>
          <w:p>
            <w:pPr>
              <w:jc w:val="center"/>
            </w:pPr>
            <w:r/>
            <w:r>
              <w:rPr>
                <w:rFonts w:ascii="微软雅黑" w:hAnsi="微软雅黑"/>
                <w:sz w:val="15"/>
              </w:rPr>
              <w:t>达标</w:t>
            </w:r>
          </w:p>
        </w:tc>
        <w:tc>
          <w:tcPr>
            <w:tcW w:type="dxa" w:w="1417"/>
          </w:tcPr>
          <w:p>
            <w:pPr>
              <w:jc w:val="center"/>
            </w:pPr>
            <w:r/>
            <w:r>
              <w:rPr>
                <w:rFonts w:ascii="微软雅黑" w:hAnsi="微软雅黑"/>
                <w:sz w:val="15"/>
              </w:rPr>
              <w:t>DataTrade.mint()调用</w:t>
            </w:r>
          </w:p>
        </w:tc>
      </w:tr>
      <w:tr>
        <w:tc>
          <w:tcPr>
            <w:tcW w:type="dxa" w:w="1134"/>
            <w:shd w:fill="F0F4FA"/>
          </w:tcPr>
          <w:p>
            <w:pPr>
              <w:jc w:val="center"/>
            </w:pPr>
            <w:r/>
            <w:r>
              <w:rPr>
                <w:rFonts w:ascii="微软雅黑" w:hAnsi="微软雅黑"/>
                <w:sz w:val="15"/>
              </w:rPr>
              <w:t>区块生成时间</w:t>
            </w:r>
          </w:p>
        </w:tc>
        <w:tc>
          <w:tcPr>
            <w:tcW w:type="dxa" w:w="850"/>
            <w:shd w:fill="F0F4FA"/>
          </w:tcPr>
          <w:p>
            <w:pPr>
              <w:jc w:val="center"/>
            </w:pPr>
            <w:r/>
            <w:r>
              <w:rPr>
                <w:rFonts w:ascii="微软雅黑" w:hAnsi="微软雅黑"/>
                <w:sz w:val="15"/>
              </w:rPr>
              <w:t>~0.8s</w:t>
            </w:r>
          </w:p>
        </w:tc>
        <w:tc>
          <w:tcPr>
            <w:tcW w:type="dxa" w:w="850"/>
            <w:shd w:fill="F0F4FA"/>
          </w:tcPr>
          <w:p>
            <w:pPr>
              <w:jc w:val="center"/>
            </w:pPr>
            <w:r/>
            <w:r>
              <w:rPr>
                <w:rFonts w:ascii="微软雅黑" w:hAnsi="微软雅黑"/>
                <w:sz w:val="15"/>
              </w:rPr>
              <w:t>&lt;2s</w:t>
            </w:r>
          </w:p>
        </w:tc>
        <w:tc>
          <w:tcPr>
            <w:tcW w:type="dxa" w:w="567"/>
            <w:shd w:fill="F0F4FA"/>
          </w:tcPr>
          <w:p>
            <w:pPr>
              <w:jc w:val="center"/>
            </w:pPr>
            <w:r/>
            <w:r>
              <w:rPr>
                <w:rFonts w:ascii="微软雅黑" w:hAnsi="微软雅黑"/>
                <w:sz w:val="15"/>
              </w:rPr>
              <w:t>达标</w:t>
            </w:r>
          </w:p>
        </w:tc>
        <w:tc>
          <w:tcPr>
            <w:tcW w:type="dxa" w:w="1417"/>
            <w:shd w:fill="F0F4FA"/>
          </w:tcPr>
          <w:p>
            <w:pPr>
              <w:jc w:val="center"/>
            </w:pPr>
            <w:r/>
            <w:r>
              <w:rPr>
                <w:rFonts w:ascii="微软雅黑" w:hAnsi="微软雅黑"/>
                <w:sz w:val="15"/>
              </w:rPr>
              <w:t>Clique PoA出块间隔配置</w:t>
            </w:r>
          </w:p>
        </w:tc>
      </w:tr>
      <w:tr>
        <w:tc>
          <w:tcPr>
            <w:tcW w:type="dxa" w:w="1134"/>
          </w:tcPr>
          <w:p>
            <w:pPr>
              <w:jc w:val="center"/>
            </w:pPr>
            <w:r/>
            <w:r>
              <w:rPr>
                <w:rFonts w:ascii="微软雅黑" w:hAnsi="微软雅黑"/>
                <w:sz w:val="15"/>
              </w:rPr>
              <w:t>交易确认延迟（P95）</w:t>
            </w:r>
          </w:p>
        </w:tc>
        <w:tc>
          <w:tcPr>
            <w:tcW w:type="dxa" w:w="850"/>
          </w:tcPr>
          <w:p>
            <w:pPr>
              <w:jc w:val="center"/>
            </w:pPr>
            <w:r/>
            <w:r>
              <w:rPr>
                <w:rFonts w:ascii="微软雅黑" w:hAnsi="微软雅黑"/>
                <w:sz w:val="15"/>
              </w:rPr>
              <w:t>1.6s</w:t>
            </w:r>
          </w:p>
        </w:tc>
        <w:tc>
          <w:tcPr>
            <w:tcW w:type="dxa" w:w="850"/>
          </w:tcPr>
          <w:p>
            <w:pPr>
              <w:jc w:val="center"/>
            </w:pPr>
            <w:r/>
            <w:r>
              <w:rPr>
                <w:rFonts w:ascii="微软雅黑" w:hAnsi="微软雅黑"/>
                <w:sz w:val="15"/>
              </w:rPr>
              <w:t>&lt;3s</w:t>
            </w:r>
          </w:p>
        </w:tc>
        <w:tc>
          <w:tcPr>
            <w:tcW w:type="dxa" w:w="567"/>
          </w:tcPr>
          <w:p>
            <w:pPr>
              <w:jc w:val="center"/>
            </w:pPr>
            <w:r/>
            <w:r>
              <w:rPr>
                <w:rFonts w:ascii="微软雅黑" w:hAnsi="微软雅黑"/>
                <w:sz w:val="15"/>
              </w:rPr>
              <w:t>达标</w:t>
            </w:r>
          </w:p>
        </w:tc>
        <w:tc>
          <w:tcPr>
            <w:tcW w:type="dxa" w:w="1417"/>
          </w:tcPr>
          <w:p>
            <w:pPr>
              <w:jc w:val="center"/>
            </w:pPr>
            <w:r/>
            <w:r>
              <w:rPr>
                <w:rFonts w:ascii="微软雅黑" w:hAnsi="微软雅黑"/>
                <w:sz w:val="15"/>
              </w:rPr>
              <w:t>3节点最终确认时间</w:t>
            </w:r>
          </w:p>
        </w:tc>
      </w:tr>
      <w:tr>
        <w:tc>
          <w:tcPr>
            <w:tcW w:type="dxa" w:w="1134"/>
            <w:shd w:fill="F0F4FA"/>
          </w:tcPr>
          <w:p>
            <w:pPr>
              <w:jc w:val="center"/>
            </w:pPr>
            <w:r/>
            <w:r>
              <w:rPr>
                <w:rFonts w:ascii="微软雅黑" w:hAnsi="微软雅黑"/>
                <w:sz w:val="15"/>
              </w:rPr>
              <w:t>存储增长（日）</w:t>
            </w:r>
          </w:p>
        </w:tc>
        <w:tc>
          <w:tcPr>
            <w:tcW w:type="dxa" w:w="850"/>
            <w:shd w:fill="F0F4FA"/>
          </w:tcPr>
          <w:p>
            <w:pPr>
              <w:jc w:val="center"/>
            </w:pPr>
            <w:r/>
            <w:r>
              <w:rPr>
                <w:rFonts w:ascii="微软雅黑" w:hAnsi="微软雅黑"/>
                <w:sz w:val="15"/>
              </w:rPr>
              <w:t>~50MB/day</w:t>
            </w:r>
          </w:p>
        </w:tc>
        <w:tc>
          <w:tcPr>
            <w:tcW w:type="dxa" w:w="850"/>
            <w:shd w:fill="F0F4FA"/>
          </w:tcPr>
          <w:p>
            <w:pPr>
              <w:jc w:val="center"/>
            </w:pPr>
            <w:r/>
            <w:r>
              <w:rPr>
                <w:rFonts w:ascii="微软雅黑" w:hAnsi="微软雅黑"/>
                <w:sz w:val="15"/>
              </w:rPr>
              <w:t>&lt;200MB/day</w:t>
            </w:r>
          </w:p>
        </w:tc>
        <w:tc>
          <w:tcPr>
            <w:tcW w:type="dxa" w:w="567"/>
            <w:shd w:fill="F0F4FA"/>
          </w:tcPr>
          <w:p>
            <w:pPr>
              <w:jc w:val="center"/>
            </w:pPr>
            <w:r/>
            <w:r>
              <w:rPr>
                <w:rFonts w:ascii="微软雅黑" w:hAnsi="微软雅黑"/>
                <w:sz w:val="15"/>
              </w:rPr>
              <w:t>达标</w:t>
            </w:r>
          </w:p>
        </w:tc>
        <w:tc>
          <w:tcPr>
            <w:tcW w:type="dxa" w:w="1417"/>
            <w:shd w:fill="F0F4FA"/>
          </w:tcPr>
          <w:p>
            <w:pPr>
              <w:jc w:val="center"/>
            </w:pPr>
            <w:r/>
            <w:r>
              <w:rPr>
                <w:rFonts w:ascii="微软雅黑" w:hAnsi="微软雅黑"/>
                <w:sz w:val="15"/>
              </w:rPr>
              <w:t>存证数据含哈希和元数据</w:t>
            </w:r>
          </w:p>
        </w:tc>
      </w:tr>
    </w:tbl>
    <w:p/>
    <w:p>
      <w:pPr>
        <w:pStyle w:val="Heading2"/>
      </w:pPr>
      <w:r>
        <w:rPr>
          <w:rFonts w:ascii="微软雅黑" w:hAnsi="微软雅黑" w:eastAsia="微软雅黑"/>
        </w:rPr>
        <w:t>7.5  资源利用率分析</w:t>
      </w:r>
    </w:p>
    <w:p>
      <w:pPr>
        <w:spacing w:line="360" w:lineRule="auto" w:after="120"/>
        <w:ind w:firstLine="420"/>
      </w:pPr>
      <w:r>
        <w:rPr>
          <w:rFonts w:ascii="微软雅黑" w:hAnsi="微软雅黑" w:eastAsia="微软雅黑"/>
          <w:b w:val="0"/>
          <w:sz w:val="21"/>
        </w:rPr>
        <w:t>500并发负载下各组件资源利用率：API网关 CPU平均65%/峰值88%，内存2.8GB；PostgreSQL CPU平均45%/峰值72%，内存3.5GB，连接池100连接；Redis CPU平均12%/峰值25%，内存800MB；Kafka CPU平均8%/峰值18%，内存1.5GB；MinIO CPU平均5%/峰值32%，内存500MB。系统最大瓶颈在API网关的CPU资源，在高并发场景下建议增加worker数量或使用负载均衡器水平扩展。</w:t>
      </w:r>
    </w:p>
    <w:p>
      <w:pPr>
        <w:pStyle w:val="Heading2"/>
      </w:pPr>
      <w:r>
        <w:rPr>
          <w:rFonts w:ascii="微软雅黑" w:hAnsi="微软雅黑" w:eastAsia="微软雅黑"/>
        </w:rPr>
        <w:t>7.6  性能瓶颈分析与优化建议</w:t>
      </w:r>
    </w:p>
    <w:p>
      <w:pPr>
        <w:spacing w:line="360" w:lineRule="auto" w:after="120"/>
        <w:ind w:firstLine="420"/>
      </w:pPr>
      <w:r>
        <w:rPr>
          <w:rFonts w:ascii="微软雅黑" w:hAnsi="微软雅黑" w:eastAsia="微软雅黑"/>
          <w:b w:val="0"/>
          <w:sz w:val="21"/>
        </w:rPr>
        <w:t>通过profiling分析，识别出三个主要性能瓶颈：高频API缺少Redis缓存导致重复DB查询（建议对数据目录、元数据查询增加5分钟TTL缓存，预期延迟降低40-60%）；区块链交易同步等待降低写入API吞吐量（建议采用异步存证模式——先写入DB+消息队列，后台异步上链，预期写入API延迟降低50-70%）；AI Agent LLM API调用延迟高（建议增加Prompt缓存、流式响应、本地模型fallback，预期P95延迟降低30%）。</w:t>
      </w:r>
    </w:p>
    <w:p>
      <w:r>
        <w:br w:type="page"/>
      </w:r>
    </w:p>
    <w:p>
      <w:pPr>
        <w:pStyle w:val="Heading1"/>
      </w:pPr>
      <w:r>
        <w:rPr>
          <w:rFonts w:ascii="微软雅黑" w:hAnsi="微软雅黑" w:eastAsia="微软雅黑"/>
        </w:rPr>
        <w:t>第八章  应用价值分析</w:t>
      </w:r>
    </w:p>
    <w:p>
      <w:pPr>
        <w:pStyle w:val="Heading2"/>
      </w:pPr>
      <w:r>
        <w:rPr>
          <w:rFonts w:ascii="微软雅黑" w:hAnsi="微软雅黑" w:eastAsia="微软雅黑"/>
        </w:rPr>
        <w:t>8.1  经济效益分析</w:t>
      </w:r>
    </w:p>
    <w:p>
      <w:pPr>
        <w:spacing w:line="360" w:lineRule="auto" w:after="120"/>
        <w:ind w:firstLine="420"/>
      </w:pPr>
      <w:r>
        <w:rPr>
          <w:rFonts w:ascii="微软雅黑" w:hAnsi="微软雅黑" w:eastAsia="微软雅黑"/>
          <w:b w:val="0"/>
          <w:sz w:val="21"/>
        </w:rPr>
        <w:t>能源可信数据空间的经济效益可从数据资产化收益、运营效率提升、隐私计算成本节约、安全合规成本降低等维度进行定量和定性分析。</w:t>
      </w:r>
    </w:p>
    <w:p>
      <w:pPr>
        <w:pStyle w:val="Heading3"/>
      </w:pPr>
      <w:r>
        <w:rPr>
          <w:rFonts w:ascii="微软雅黑" w:hAnsi="微软雅黑" w:eastAsia="微软雅黑"/>
        </w:rPr>
        <w:t>8.1.1  数据资产化收益</w:t>
      </w:r>
    </w:p>
    <w:p>
      <w:pPr>
        <w:spacing w:line="360" w:lineRule="auto" w:after="120"/>
        <w:ind w:firstLine="420"/>
      </w:pPr>
      <w:r>
        <w:rPr>
          <w:rFonts w:ascii="微软雅黑" w:hAnsi="微软雅黑" w:eastAsia="微软雅黑"/>
          <w:b w:val="0"/>
          <w:sz w:val="21"/>
        </w:rPr>
        <w:t>通过可信数据空间，能源企业可以将内部数据资产进行标准化管理和合规化流通，实现数据从"成本中心"向"利润中心"的转变。以下为典型应用场景的经济价值预估：</w:t>
      </w:r>
    </w:p>
    <w:p>
      <w:pPr>
        <w:spacing w:line="360" w:lineRule="auto" w:after="120"/>
        <w:jc w:val="center"/>
      </w:pPr>
      <w:r>
        <w:rPr>
          <w:rFonts w:ascii="微软雅黑" w:hAnsi="微软雅黑" w:eastAsia="微软雅黑"/>
          <w:b/>
          <w:sz w:val="18"/>
        </w:rPr>
        <w:t>表8-1  数据资产化应用场景经济价值预估</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417"/>
            <w:shd w:fill="1A3C6D"/>
          </w:tcPr>
          <w:p>
            <w:pPr>
              <w:jc w:val="center"/>
            </w:pPr>
            <w:r/>
            <w:r>
              <w:rPr>
                <w:rFonts w:ascii="微软雅黑" w:hAnsi="微软雅黑"/>
                <w:b/>
                <w:color w:val="FFFFFF"/>
                <w:sz w:val="16"/>
              </w:rPr>
              <w:t>应用场景</w:t>
            </w:r>
          </w:p>
        </w:tc>
        <w:tc>
          <w:tcPr>
            <w:tcW w:type="dxa" w:w="1134"/>
            <w:shd w:fill="1A3C6D"/>
          </w:tcPr>
          <w:p>
            <w:pPr>
              <w:jc w:val="center"/>
            </w:pPr>
            <w:r/>
            <w:r>
              <w:rPr>
                <w:rFonts w:ascii="微软雅黑" w:hAnsi="微软雅黑"/>
                <w:b/>
                <w:color w:val="FFFFFF"/>
                <w:sz w:val="16"/>
              </w:rPr>
              <w:t>数据来源</w:t>
            </w:r>
          </w:p>
        </w:tc>
        <w:tc>
          <w:tcPr>
            <w:tcW w:type="dxa" w:w="1134"/>
            <w:shd w:fill="1A3C6D"/>
          </w:tcPr>
          <w:p>
            <w:pPr>
              <w:jc w:val="center"/>
            </w:pPr>
            <w:r/>
            <w:r>
              <w:rPr>
                <w:rFonts w:ascii="微软雅黑" w:hAnsi="微软雅黑"/>
                <w:b/>
                <w:color w:val="FFFFFF"/>
                <w:sz w:val="16"/>
              </w:rPr>
              <w:t>数据类型</w:t>
            </w:r>
          </w:p>
        </w:tc>
        <w:tc>
          <w:tcPr>
            <w:tcW w:type="dxa" w:w="1134"/>
            <w:shd w:fill="1A3C6D"/>
          </w:tcPr>
          <w:p>
            <w:pPr>
              <w:jc w:val="center"/>
            </w:pPr>
            <w:r/>
            <w:r>
              <w:rPr>
                <w:rFonts w:ascii="微软雅黑" w:hAnsi="微软雅黑"/>
                <w:b/>
                <w:color w:val="FFFFFF"/>
                <w:sz w:val="16"/>
              </w:rPr>
              <w:t>目标受众</w:t>
            </w:r>
          </w:p>
        </w:tc>
        <w:tc>
          <w:tcPr>
            <w:tcW w:type="dxa" w:w="850"/>
            <w:shd w:fill="1A3C6D"/>
          </w:tcPr>
          <w:p>
            <w:pPr>
              <w:jc w:val="center"/>
            </w:pPr>
            <w:r/>
            <w:r>
              <w:rPr>
                <w:rFonts w:ascii="微软雅黑" w:hAnsi="微软雅黑"/>
                <w:b/>
                <w:color w:val="FFFFFF"/>
                <w:sz w:val="16"/>
              </w:rPr>
              <w:t>年预估价值</w:t>
            </w:r>
          </w:p>
        </w:tc>
        <w:tc>
          <w:tcPr>
            <w:tcW w:type="dxa" w:w="1417"/>
            <w:shd w:fill="1A3C6D"/>
          </w:tcPr>
          <w:p>
            <w:pPr>
              <w:jc w:val="center"/>
            </w:pPr>
            <w:r/>
            <w:r>
              <w:rPr>
                <w:rFonts w:ascii="微软雅黑" w:hAnsi="微软雅黑"/>
                <w:b/>
                <w:color w:val="FFFFFF"/>
                <w:sz w:val="16"/>
              </w:rPr>
              <w:t>变现模式</w:t>
            </w:r>
          </w:p>
        </w:tc>
      </w:tr>
      <w:tr>
        <w:tc>
          <w:tcPr>
            <w:tcW w:type="dxa" w:w="1417"/>
          </w:tcPr>
          <w:p>
            <w:pPr>
              <w:jc w:val="center"/>
            </w:pPr>
            <w:r/>
            <w:r>
              <w:rPr>
                <w:rFonts w:ascii="微软雅黑" w:hAnsi="微软雅黑"/>
                <w:sz w:val="15"/>
              </w:rPr>
              <w:t>电力负荷画像</w:t>
            </w:r>
          </w:p>
        </w:tc>
        <w:tc>
          <w:tcPr>
            <w:tcW w:type="dxa" w:w="1134"/>
          </w:tcPr>
          <w:p>
            <w:pPr>
              <w:jc w:val="center"/>
            </w:pPr>
            <w:r/>
            <w:r>
              <w:rPr>
                <w:rFonts w:ascii="微软雅黑" w:hAnsi="微软雅黑"/>
                <w:sz w:val="15"/>
              </w:rPr>
              <w:t>电网公司</w:t>
            </w:r>
          </w:p>
        </w:tc>
        <w:tc>
          <w:tcPr>
            <w:tcW w:type="dxa" w:w="1134"/>
          </w:tcPr>
          <w:p>
            <w:pPr>
              <w:jc w:val="center"/>
            </w:pPr>
            <w:r/>
            <w:r>
              <w:rPr>
                <w:rFonts w:ascii="微软雅黑" w:hAnsi="微软雅黑"/>
                <w:sz w:val="15"/>
              </w:rPr>
              <w:t>脱敏负荷数据</w:t>
            </w:r>
          </w:p>
        </w:tc>
        <w:tc>
          <w:tcPr>
            <w:tcW w:type="dxa" w:w="1134"/>
          </w:tcPr>
          <w:p>
            <w:pPr>
              <w:jc w:val="center"/>
            </w:pPr>
            <w:r/>
            <w:r>
              <w:rPr>
                <w:rFonts w:ascii="微软雅黑" w:hAnsi="微软雅黑"/>
                <w:sz w:val="15"/>
              </w:rPr>
              <w:t>售电公司/科研机构</w:t>
            </w:r>
          </w:p>
        </w:tc>
        <w:tc>
          <w:tcPr>
            <w:tcW w:type="dxa" w:w="850"/>
          </w:tcPr>
          <w:p>
            <w:pPr>
              <w:jc w:val="center"/>
            </w:pPr>
            <w:r/>
            <w:r>
              <w:rPr>
                <w:rFonts w:ascii="微软雅黑" w:hAnsi="微软雅黑"/>
                <w:sz w:val="15"/>
              </w:rPr>
              <w:t>500-1500万</w:t>
            </w:r>
          </w:p>
        </w:tc>
        <w:tc>
          <w:tcPr>
            <w:tcW w:type="dxa" w:w="1417"/>
          </w:tcPr>
          <w:p>
            <w:pPr>
              <w:jc w:val="center"/>
            </w:pPr>
            <w:r/>
            <w:r>
              <w:rPr>
                <w:rFonts w:ascii="微软雅黑" w:hAnsi="微软雅黑"/>
                <w:sz w:val="15"/>
              </w:rPr>
              <w:t>数据产品订阅</w:t>
            </w:r>
          </w:p>
        </w:tc>
      </w:tr>
      <w:tr>
        <w:tc>
          <w:tcPr>
            <w:tcW w:type="dxa" w:w="1417"/>
            <w:shd w:fill="F0F4FA"/>
          </w:tcPr>
          <w:p>
            <w:pPr>
              <w:jc w:val="center"/>
            </w:pPr>
            <w:r/>
            <w:r>
              <w:rPr>
                <w:rFonts w:ascii="微软雅黑" w:hAnsi="微软雅黑"/>
                <w:sz w:val="15"/>
              </w:rPr>
              <w:t>新能源功率预测模型</w:t>
            </w:r>
          </w:p>
        </w:tc>
        <w:tc>
          <w:tcPr>
            <w:tcW w:type="dxa" w:w="1134"/>
            <w:shd w:fill="F0F4FA"/>
          </w:tcPr>
          <w:p>
            <w:pPr>
              <w:jc w:val="center"/>
            </w:pPr>
            <w:r/>
            <w:r>
              <w:rPr>
                <w:rFonts w:ascii="微软雅黑" w:hAnsi="微软雅黑"/>
                <w:sz w:val="15"/>
              </w:rPr>
              <w:t>发电企业+气象局</w:t>
            </w:r>
          </w:p>
        </w:tc>
        <w:tc>
          <w:tcPr>
            <w:tcW w:type="dxa" w:w="1134"/>
            <w:shd w:fill="F0F4FA"/>
          </w:tcPr>
          <w:p>
            <w:pPr>
              <w:jc w:val="center"/>
            </w:pPr>
            <w:r/>
            <w:r>
              <w:rPr>
                <w:rFonts w:ascii="微软雅黑" w:hAnsi="微软雅黑"/>
                <w:sz w:val="15"/>
              </w:rPr>
              <w:t>历史功率+气象数据</w:t>
            </w:r>
          </w:p>
        </w:tc>
        <w:tc>
          <w:tcPr>
            <w:tcW w:type="dxa" w:w="1134"/>
            <w:shd w:fill="F0F4FA"/>
          </w:tcPr>
          <w:p>
            <w:pPr>
              <w:jc w:val="center"/>
            </w:pPr>
            <w:r/>
            <w:r>
              <w:rPr>
                <w:rFonts w:ascii="微软雅黑" w:hAnsi="微软雅黑"/>
                <w:sz w:val="15"/>
              </w:rPr>
              <w:t>新能源投资商</w:t>
            </w:r>
          </w:p>
        </w:tc>
        <w:tc>
          <w:tcPr>
            <w:tcW w:type="dxa" w:w="850"/>
            <w:shd w:fill="F0F4FA"/>
          </w:tcPr>
          <w:p>
            <w:pPr>
              <w:jc w:val="center"/>
            </w:pPr>
            <w:r/>
            <w:r>
              <w:rPr>
                <w:rFonts w:ascii="微软雅黑" w:hAnsi="微软雅黑"/>
                <w:sz w:val="15"/>
              </w:rPr>
              <w:t>300-800万</w:t>
            </w:r>
          </w:p>
        </w:tc>
        <w:tc>
          <w:tcPr>
            <w:tcW w:type="dxa" w:w="1417"/>
            <w:shd w:fill="F0F4FA"/>
          </w:tcPr>
          <w:p>
            <w:pPr>
              <w:jc w:val="center"/>
            </w:pPr>
            <w:r/>
            <w:r>
              <w:rPr>
                <w:rFonts w:ascii="微软雅黑" w:hAnsi="微软雅黑"/>
                <w:sz w:val="15"/>
              </w:rPr>
              <w:t>模型API服务</w:t>
            </w:r>
          </w:p>
        </w:tc>
      </w:tr>
      <w:tr>
        <w:tc>
          <w:tcPr>
            <w:tcW w:type="dxa" w:w="1417"/>
          </w:tcPr>
          <w:p>
            <w:pPr>
              <w:jc w:val="center"/>
            </w:pPr>
            <w:r/>
            <w:r>
              <w:rPr>
                <w:rFonts w:ascii="微软雅黑" w:hAnsi="微软雅黑"/>
                <w:sz w:val="15"/>
              </w:rPr>
              <w:t>设备状态评估报告</w:t>
            </w:r>
          </w:p>
        </w:tc>
        <w:tc>
          <w:tcPr>
            <w:tcW w:type="dxa" w:w="1134"/>
          </w:tcPr>
          <w:p>
            <w:pPr>
              <w:jc w:val="center"/>
            </w:pPr>
            <w:r/>
            <w:r>
              <w:rPr>
                <w:rFonts w:ascii="微软雅黑" w:hAnsi="微软雅黑"/>
                <w:sz w:val="15"/>
              </w:rPr>
              <w:t>设备制造商</w:t>
            </w:r>
          </w:p>
        </w:tc>
        <w:tc>
          <w:tcPr>
            <w:tcW w:type="dxa" w:w="1134"/>
          </w:tcPr>
          <w:p>
            <w:pPr>
              <w:jc w:val="center"/>
            </w:pPr>
            <w:r/>
            <w:r>
              <w:rPr>
                <w:rFonts w:ascii="微软雅黑" w:hAnsi="微软雅黑"/>
                <w:sz w:val="15"/>
              </w:rPr>
              <w:t>设备运行日志</w:t>
            </w:r>
          </w:p>
        </w:tc>
        <w:tc>
          <w:tcPr>
            <w:tcW w:type="dxa" w:w="1134"/>
          </w:tcPr>
          <w:p>
            <w:pPr>
              <w:jc w:val="center"/>
            </w:pPr>
            <w:r/>
            <w:r>
              <w:rPr>
                <w:rFonts w:ascii="微软雅黑" w:hAnsi="微软雅黑"/>
                <w:sz w:val="15"/>
              </w:rPr>
              <w:t>电厂用户</w:t>
            </w:r>
          </w:p>
        </w:tc>
        <w:tc>
          <w:tcPr>
            <w:tcW w:type="dxa" w:w="850"/>
          </w:tcPr>
          <w:p>
            <w:pPr>
              <w:jc w:val="center"/>
            </w:pPr>
            <w:r/>
            <w:r>
              <w:rPr>
                <w:rFonts w:ascii="微软雅黑" w:hAnsi="微软雅黑"/>
                <w:sz w:val="15"/>
              </w:rPr>
              <w:t>200-500万</w:t>
            </w:r>
          </w:p>
        </w:tc>
        <w:tc>
          <w:tcPr>
            <w:tcW w:type="dxa" w:w="1417"/>
          </w:tcPr>
          <w:p>
            <w:pPr>
              <w:jc w:val="center"/>
            </w:pPr>
            <w:r/>
            <w:r>
              <w:rPr>
                <w:rFonts w:ascii="微软雅黑" w:hAnsi="微软雅黑"/>
                <w:sz w:val="15"/>
              </w:rPr>
              <w:t>报告市场交易</w:t>
            </w:r>
          </w:p>
        </w:tc>
      </w:tr>
      <w:tr>
        <w:tc>
          <w:tcPr>
            <w:tcW w:type="dxa" w:w="1417"/>
            <w:shd w:fill="F0F4FA"/>
          </w:tcPr>
          <w:p>
            <w:pPr>
              <w:jc w:val="center"/>
            </w:pPr>
            <w:r/>
            <w:r>
              <w:rPr>
                <w:rFonts w:ascii="微软雅黑" w:hAnsi="微软雅黑"/>
                <w:sz w:val="15"/>
              </w:rPr>
              <w:t>电力交易策略模型</w:t>
            </w:r>
          </w:p>
        </w:tc>
        <w:tc>
          <w:tcPr>
            <w:tcW w:type="dxa" w:w="1134"/>
            <w:shd w:fill="F0F4FA"/>
          </w:tcPr>
          <w:p>
            <w:pPr>
              <w:jc w:val="center"/>
            </w:pPr>
            <w:r/>
            <w:r>
              <w:rPr>
                <w:rFonts w:ascii="微软雅黑" w:hAnsi="微软雅黑"/>
                <w:sz w:val="15"/>
              </w:rPr>
              <w:t>交易中心+多卖方</w:t>
            </w:r>
          </w:p>
        </w:tc>
        <w:tc>
          <w:tcPr>
            <w:tcW w:type="dxa" w:w="1134"/>
            <w:shd w:fill="F0F4FA"/>
          </w:tcPr>
          <w:p>
            <w:pPr>
              <w:jc w:val="center"/>
            </w:pPr>
            <w:r/>
            <w:r>
              <w:rPr>
                <w:rFonts w:ascii="微软雅黑" w:hAnsi="微软雅黑"/>
                <w:sz w:val="15"/>
              </w:rPr>
              <w:t>交易历史数据</w:t>
            </w:r>
          </w:p>
        </w:tc>
        <w:tc>
          <w:tcPr>
            <w:tcW w:type="dxa" w:w="1134"/>
            <w:shd w:fill="F0F4FA"/>
          </w:tcPr>
          <w:p>
            <w:pPr>
              <w:jc w:val="center"/>
            </w:pPr>
            <w:r/>
            <w:r>
              <w:rPr>
                <w:rFonts w:ascii="微软雅黑" w:hAnsi="微软雅黑"/>
                <w:sz w:val="15"/>
              </w:rPr>
              <w:t>售电公司</w:t>
            </w:r>
          </w:p>
        </w:tc>
        <w:tc>
          <w:tcPr>
            <w:tcW w:type="dxa" w:w="850"/>
            <w:shd w:fill="F0F4FA"/>
          </w:tcPr>
          <w:p>
            <w:pPr>
              <w:jc w:val="center"/>
            </w:pPr>
            <w:r/>
            <w:r>
              <w:rPr>
                <w:rFonts w:ascii="微软雅黑" w:hAnsi="微软雅黑"/>
                <w:sz w:val="15"/>
              </w:rPr>
              <w:t>500-2000万</w:t>
            </w:r>
          </w:p>
        </w:tc>
        <w:tc>
          <w:tcPr>
            <w:tcW w:type="dxa" w:w="1417"/>
            <w:shd w:fill="F0F4FA"/>
          </w:tcPr>
          <w:p>
            <w:pPr>
              <w:jc w:val="center"/>
            </w:pPr>
            <w:r/>
            <w:r>
              <w:rPr>
                <w:rFonts w:ascii="微软雅黑" w:hAnsi="微软雅黑"/>
                <w:sz w:val="15"/>
              </w:rPr>
              <w:t>模型授权许可</w:t>
            </w:r>
          </w:p>
        </w:tc>
      </w:tr>
      <w:tr>
        <w:tc>
          <w:tcPr>
            <w:tcW w:type="dxa" w:w="1417"/>
          </w:tcPr>
          <w:p>
            <w:pPr>
              <w:jc w:val="center"/>
            </w:pPr>
            <w:r/>
            <w:r>
              <w:rPr>
                <w:rFonts w:ascii="微软雅黑" w:hAnsi="微软雅黑"/>
                <w:sz w:val="15"/>
              </w:rPr>
              <w:t>碳排放核算数据</w:t>
            </w:r>
          </w:p>
        </w:tc>
        <w:tc>
          <w:tcPr>
            <w:tcW w:type="dxa" w:w="1134"/>
          </w:tcPr>
          <w:p>
            <w:pPr>
              <w:jc w:val="center"/>
            </w:pPr>
            <w:r/>
            <w:r>
              <w:rPr>
                <w:rFonts w:ascii="微软雅黑" w:hAnsi="微软雅黑"/>
                <w:sz w:val="15"/>
              </w:rPr>
              <w:t>排放企业+核查机构</w:t>
            </w:r>
          </w:p>
        </w:tc>
        <w:tc>
          <w:tcPr>
            <w:tcW w:type="dxa" w:w="1134"/>
          </w:tcPr>
          <w:p>
            <w:pPr>
              <w:jc w:val="center"/>
            </w:pPr>
            <w:r/>
            <w:r>
              <w:rPr>
                <w:rFonts w:ascii="微软雅黑" w:hAnsi="微软雅黑"/>
                <w:sz w:val="15"/>
              </w:rPr>
              <w:t>碳排数据+核算报告</w:t>
            </w:r>
          </w:p>
        </w:tc>
        <w:tc>
          <w:tcPr>
            <w:tcW w:type="dxa" w:w="1134"/>
          </w:tcPr>
          <w:p>
            <w:pPr>
              <w:jc w:val="center"/>
            </w:pPr>
            <w:r/>
            <w:r>
              <w:rPr>
                <w:rFonts w:ascii="微软雅黑" w:hAnsi="微软雅黑"/>
                <w:sz w:val="15"/>
              </w:rPr>
              <w:t>碳交易市场</w:t>
            </w:r>
          </w:p>
        </w:tc>
        <w:tc>
          <w:tcPr>
            <w:tcW w:type="dxa" w:w="850"/>
          </w:tcPr>
          <w:p>
            <w:pPr>
              <w:jc w:val="center"/>
            </w:pPr>
            <w:r/>
            <w:r>
              <w:rPr>
                <w:rFonts w:ascii="微软雅黑" w:hAnsi="微软雅黑"/>
                <w:sz w:val="15"/>
              </w:rPr>
              <w:t>300-1000万</w:t>
            </w:r>
          </w:p>
        </w:tc>
        <w:tc>
          <w:tcPr>
            <w:tcW w:type="dxa" w:w="1417"/>
          </w:tcPr>
          <w:p>
            <w:pPr>
              <w:jc w:val="center"/>
            </w:pPr>
            <w:r/>
            <w:r>
              <w:rPr>
                <w:rFonts w:ascii="微软雅黑" w:hAnsi="微软雅黑"/>
                <w:sz w:val="15"/>
              </w:rPr>
              <w:t>数据产品交易</w:t>
            </w:r>
          </w:p>
        </w:tc>
      </w:tr>
    </w:tbl>
    <w:p/>
    <w:p>
      <w:pPr>
        <w:pStyle w:val="Heading3"/>
      </w:pPr>
      <w:r>
        <w:rPr>
          <w:rFonts w:ascii="微软雅黑" w:hAnsi="微软雅黑" w:eastAsia="微软雅黑"/>
        </w:rPr>
        <w:t>8.1.2  运营效率提升</w:t>
      </w:r>
    </w:p>
    <w:p>
      <w:pPr>
        <w:spacing w:line="360" w:lineRule="auto" w:after="120"/>
        <w:ind w:firstLine="420"/>
      </w:pPr>
      <w:r>
        <w:rPr>
          <w:rFonts w:ascii="微软雅黑" w:hAnsi="微软雅黑" w:eastAsia="微软雅黑"/>
          <w:b w:val="0"/>
          <w:sz w:val="21"/>
        </w:rPr>
        <w:t>可信数据空间通过打通数据壁垒、实现跨组织数据共享，可显著提升能源行业的运营效率：</w:t>
      </w:r>
    </w:p>
    <w:p>
      <w:pPr>
        <w:pStyle w:val="ListBullet"/>
      </w:pPr>
      <w:r>
        <w:rPr>
          <w:rFonts w:ascii="微软雅黑" w:hAnsi="微软雅黑" w:eastAsia="微软雅黑"/>
          <w:sz w:val="20"/>
        </w:rPr>
        <w:t>电力调度优化：通过跨区域、跨企业的发电和负荷数据共享，优化电网调度策略。保守估计全国范围内可减少弃风弃光率2-3个百分点，按2024年全国可再生能源发电量约2.8万亿千瓦时计算，年节约弃电损失约56-84亿元。</w:t>
      </w:r>
    </w:p>
    <w:p>
      <w:pPr>
        <w:pStyle w:val="ListBullet"/>
      </w:pPr>
      <w:r>
        <w:rPr>
          <w:rFonts w:ascii="微软雅黑" w:hAnsi="微软雅黑" w:eastAsia="微软雅黑"/>
          <w:sz w:val="20"/>
        </w:rPr>
        <w:t>设备维护优化：通过共享设备状态数据和故障数据，应用AI预测性维护模型，可将非计划停机时间减少30-50%。以一台600MW火电机组为例，非计划停机一天损失约100-150万元。</w:t>
      </w:r>
    </w:p>
    <w:p>
      <w:pPr>
        <w:pStyle w:val="ListBullet"/>
      </w:pPr>
      <w:r>
        <w:rPr>
          <w:rFonts w:ascii="微软雅黑" w:hAnsi="微软雅黑" w:eastAsia="微软雅黑"/>
          <w:sz w:val="20"/>
        </w:rPr>
        <w:t>供应链协同：通过采购数据、库存数据、物流数据的可信共享，优化能源行业的供应链管理。根据麦肯锡全球研究院研究，数据驱动的供应链优化可降低运营成本10-15%。</w:t>
      </w:r>
    </w:p>
    <w:p>
      <w:pPr>
        <w:pStyle w:val="Heading3"/>
      </w:pPr>
      <w:r>
        <w:rPr>
          <w:rFonts w:ascii="微软雅黑" w:hAnsi="微软雅黑" w:eastAsia="微软雅黑"/>
        </w:rPr>
        <w:t>8.1.3  隐私计算成本节约</w:t>
      </w:r>
    </w:p>
    <w:p>
      <w:pPr>
        <w:spacing w:line="360" w:lineRule="auto" w:after="120"/>
        <w:ind w:firstLine="420"/>
      </w:pPr>
      <w:r>
        <w:rPr>
          <w:rFonts w:ascii="微软雅黑" w:hAnsi="微软雅黑" w:eastAsia="微软雅黑"/>
          <w:b w:val="0"/>
          <w:sz w:val="21"/>
        </w:rPr>
        <w:t>传统数据共享模式下，数据接收方需要获取完整原始数据才能进行分析计算，带来巨大的数据安全风险和合规成本。隐私计算技术使数据"可用不可见"，降低数据泄露风险和合规成本。以电力负荷联合预测场景为例：传统模式下数据提供方需进行复杂的合规审批（耗时2-4周），数据传输和存储成本约50万/年。联邦学习模式下不需要原始数据传输，审批周期缩短至1-3天，成本降低80%以上。同时，隐私计算避免了数据泄露可能导致的行政处罚和声誉损失——违反《数据安全法》最高面临1000万元罚款。</w:t>
      </w:r>
    </w:p>
    <w:p>
      <w:pPr>
        <w:pStyle w:val="Heading3"/>
      </w:pPr>
      <w:r>
        <w:rPr>
          <w:rFonts w:ascii="微软雅黑" w:hAnsi="微软雅黑" w:eastAsia="微软雅黑"/>
        </w:rPr>
        <w:t>8.1.4  投资回报分析</w:t>
      </w:r>
    </w:p>
    <w:p>
      <w:pPr>
        <w:spacing w:line="360" w:lineRule="auto" w:after="120"/>
        <w:ind w:firstLine="420"/>
      </w:pPr>
      <w:r>
        <w:rPr>
          <w:rFonts w:ascii="微软雅黑" w:hAnsi="微软雅黑" w:eastAsia="微软雅黑"/>
          <w:b w:val="0"/>
          <w:sz w:val="21"/>
        </w:rPr>
        <w:t>项目总投资预算约1500-2000万元（含3年开发运维成本），基于保守估计的经济效益预测：年度数据资产化收益约1300-3300万元（取中位数2000万元），年度运营效率提升收益约2000-4000万元（取中位数3000万元），年度安全合规成本节约约500-1000万元（取中位数700万元）。年化总收益约5700万元。投资回收期约4-7个月（3年加总计算），3年投资回报率（ROI）约285-380%。</w:t>
      </w:r>
    </w:p>
    <w:p>
      <w:pPr>
        <w:pStyle w:val="Heading2"/>
      </w:pPr>
      <w:r>
        <w:rPr>
          <w:rFonts w:ascii="微软雅黑" w:hAnsi="微软雅黑" w:eastAsia="微软雅黑"/>
        </w:rPr>
        <w:t>8.2  社会效益分析</w:t>
      </w:r>
    </w:p>
    <w:p>
      <w:pPr>
        <w:pStyle w:val="Heading3"/>
      </w:pPr>
      <w:r>
        <w:rPr>
          <w:rFonts w:ascii="微软雅黑" w:hAnsi="微软雅黑" w:eastAsia="微软雅黑"/>
        </w:rPr>
        <w:t>8.2.1  推动数字经济发展</w:t>
      </w:r>
    </w:p>
    <w:p>
      <w:pPr>
        <w:spacing w:line="360" w:lineRule="auto" w:after="120"/>
        <w:ind w:firstLine="420"/>
      </w:pPr>
      <w:r>
        <w:rPr>
          <w:rFonts w:ascii="微软雅黑" w:hAnsi="微软雅黑" w:eastAsia="微软雅黑"/>
          <w:b w:val="0"/>
          <w:sz w:val="21"/>
        </w:rPr>
        <w:t>可信数据空间是《可信数据空间发展行动计划（2024-2028年）》的核心内容，本项目的建设将为能源行业数据要素市场化配置提供关键技术基础设施。项目建成后，将为超过100家能源行业相关企业（发电企业、电网公司、售电公司、设备制造商、科研机构）提供安全合规的数据共享服务，形成数据要素流通的良性生态。</w:t>
      </w:r>
    </w:p>
    <w:p>
      <w:pPr>
        <w:spacing w:line="360" w:lineRule="auto" w:after="120"/>
        <w:ind w:firstLine="420"/>
      </w:pPr>
      <w:r>
        <w:rPr>
          <w:rFonts w:ascii="微软雅黑" w:hAnsi="微软雅黑" w:eastAsia="微软雅黑"/>
          <w:b w:val="0"/>
          <w:sz w:val="21"/>
        </w:rPr>
        <w:t>项目将推动数据作为生产要素在能源行业的价值释放，支撑国家"双碳"战略。通过数据驱动的能源系统优化，有助于提升可再生能源消纳能力、降低碳排放强度，为实现2030年碳达峰、2060年碳中和目标贡献技术力量。</w:t>
      </w:r>
    </w:p>
    <w:p>
      <w:pPr>
        <w:pStyle w:val="Heading3"/>
      </w:pPr>
      <w:r>
        <w:rPr>
          <w:rFonts w:ascii="微软雅黑" w:hAnsi="微软雅黑" w:eastAsia="微软雅黑"/>
        </w:rPr>
        <w:t>8.2.2  助力国家数据安全战略</w:t>
      </w:r>
    </w:p>
    <w:p>
      <w:pPr>
        <w:spacing w:line="360" w:lineRule="auto" w:after="120"/>
        <w:ind w:firstLine="420"/>
      </w:pPr>
      <w:r>
        <w:rPr>
          <w:rFonts w:ascii="微软雅黑" w:hAnsi="微软雅黑" w:eastAsia="微软雅黑"/>
          <w:b w:val="0"/>
          <w:sz w:val="21"/>
        </w:rPr>
        <w:t>能源行业是关键信息基础设施（CII）保护的重点行业。本项目采用隐私计算+"数据不动计算动"的模式，在确保数据安全的前提下实现数据价值释放，为国家数据安全战略提供"安全与价值平衡"的行业范例。项目采用的DID/VC分布式身份体系实现了去中心化身份互认，避免单一身份提供者的单点故障和隐私集中风险，契合国家"数据主权"和"数字主权"的战略方向。</w:t>
      </w:r>
    </w:p>
    <w:p>
      <w:pPr>
        <w:pStyle w:val="Heading3"/>
      </w:pPr>
      <w:r>
        <w:rPr>
          <w:rFonts w:ascii="微软雅黑" w:hAnsi="微软雅黑" w:eastAsia="微软雅黑"/>
        </w:rPr>
        <w:t>8.2.3  促进行业标准化</w:t>
      </w:r>
    </w:p>
    <w:p>
      <w:pPr>
        <w:spacing w:line="360" w:lineRule="auto" w:after="120"/>
        <w:ind w:firstLine="420"/>
      </w:pPr>
      <w:r>
        <w:rPr>
          <w:rFonts w:ascii="微软雅黑" w:hAnsi="微软雅黑" w:eastAsia="微软雅黑"/>
          <w:b w:val="0"/>
          <w:sz w:val="21"/>
        </w:rPr>
        <w:t>项目将推动能源行业数据共享标准体系的建设，包括数据分类分级标准、数据接口规范、隐私计算互操作标准、数据交易流程标准等。通过标准输出，可降低行业整体数据共享的技术门槛和合规成本，加速能源行业数据要素市场的形成。同时，本项目的技术方案和经验可以作为其他关键行业（如交通、金融、医疗）可信数据空间建设的重要参考。</w:t>
      </w:r>
    </w:p>
    <w:p>
      <w:pPr>
        <w:pStyle w:val="Heading2"/>
      </w:pPr>
      <w:r>
        <w:rPr>
          <w:rFonts w:ascii="微软雅黑" w:hAnsi="微软雅黑" w:eastAsia="微软雅黑"/>
        </w:rPr>
        <w:t>8.3  技术推广价值</w:t>
      </w:r>
    </w:p>
    <w:p>
      <w:pPr>
        <w:spacing w:line="360" w:lineRule="auto" w:after="120"/>
        <w:ind w:firstLine="420"/>
      </w:pPr>
      <w:r>
        <w:rPr>
          <w:rFonts w:ascii="微软雅黑" w:hAnsi="微软雅黑" w:eastAsia="微软雅黑"/>
          <w:b w:val="0"/>
          <w:sz w:val="21"/>
        </w:rPr>
        <w:t>本项目的技术方案具有高度的通用性和可复制性，可在以下领域推广应用：</w:t>
      </w:r>
    </w:p>
    <w:p>
      <w:pPr>
        <w:pStyle w:val="ListBullet"/>
      </w:pPr>
      <w:r>
        <w:rPr>
          <w:rFonts w:ascii="微软雅黑" w:hAnsi="微软雅黑" w:eastAsia="微软雅黑"/>
          <w:sz w:val="20"/>
        </w:rPr>
        <w:t>跨行业TDS平台：核心技术架构（一门户五中心、隐私计算服务、区块链存证、DID/VC身份体系）可推广到交通、金融、医疗、制造等行业可信数据空间建设，技术复用率预计超过80%。</w:t>
      </w:r>
    </w:p>
    <w:p>
      <w:pPr>
        <w:pStyle w:val="ListBullet"/>
      </w:pPr>
      <w:r>
        <w:rPr>
          <w:rFonts w:ascii="微软雅黑" w:hAnsi="微软雅黑" w:eastAsia="微软雅黑"/>
          <w:sz w:val="20"/>
        </w:rPr>
        <w:t>城市可信数据空间：作为城市数据基础设施的核心组件，为智慧城市中的跨部门数据共享（应急管理、环境监测、交通调度）提供隐私保护技术方案。</w:t>
      </w:r>
    </w:p>
    <w:p>
      <w:pPr>
        <w:pStyle w:val="ListBullet"/>
      </w:pPr>
      <w:r>
        <w:rPr>
          <w:rFonts w:ascii="微软雅黑" w:hAnsi="微软雅黑" w:eastAsia="微软雅黑"/>
          <w:sz w:val="20"/>
        </w:rPr>
        <w:t>跨境数据流通：基于区块链+DID+隐私计算的技术方案，天然适合跨境数据流通场景中的主权保护和安全合规需求，可响应RCEP等国际贸易协定中的数据流通规则。</w:t>
      </w:r>
    </w:p>
    <w:p>
      <w:pPr>
        <w:pStyle w:val="ListBullet"/>
      </w:pPr>
      <w:r>
        <w:rPr>
          <w:rFonts w:ascii="微软雅黑" w:hAnsi="微软雅黑" w:eastAsia="微软雅黑"/>
          <w:sz w:val="20"/>
        </w:rPr>
        <w:t>中小企业数据赋能：通过平台化服务降低中小企业的数据技术和安全门槛，使其能够参与到数据要素市场中。</w:t>
      </w:r>
    </w:p>
    <w:p>
      <w:pPr>
        <w:pStyle w:val="Heading2"/>
      </w:pPr>
      <w:r>
        <w:rPr>
          <w:rFonts w:ascii="微软雅黑" w:hAnsi="微软雅黑" w:eastAsia="微软雅黑"/>
        </w:rPr>
        <w:t>8.4  关键绩效指标（KPI）汇总</w:t>
      </w:r>
    </w:p>
    <w:p>
      <w:pPr>
        <w:spacing w:line="360" w:lineRule="auto" w:after="120"/>
        <w:jc w:val="center"/>
      </w:pPr>
      <w:r>
        <w:rPr>
          <w:rFonts w:ascii="微软雅黑" w:hAnsi="微软雅黑" w:eastAsia="微软雅黑"/>
          <w:b/>
          <w:sz w:val="18"/>
        </w:rPr>
        <w:t>表8-2  项目关键绩效指标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020"/>
            <w:shd w:fill="1A3C6D"/>
          </w:tcPr>
          <w:p>
            <w:pPr>
              <w:jc w:val="center"/>
            </w:pPr>
            <w:r/>
            <w:r>
              <w:rPr>
                <w:rFonts w:ascii="微软雅黑" w:hAnsi="微软雅黑"/>
                <w:b/>
                <w:color w:val="FFFFFF"/>
                <w:sz w:val="16"/>
              </w:rPr>
              <w:t>指标类别</w:t>
            </w:r>
          </w:p>
        </w:tc>
        <w:tc>
          <w:tcPr>
            <w:tcW w:type="dxa" w:w="1701"/>
            <w:shd w:fill="1A3C6D"/>
          </w:tcPr>
          <w:p>
            <w:pPr>
              <w:jc w:val="center"/>
            </w:pPr>
            <w:r/>
            <w:r>
              <w:rPr>
                <w:rFonts w:ascii="微软雅黑" w:hAnsi="微软雅黑"/>
                <w:b/>
                <w:color w:val="FFFFFF"/>
                <w:sz w:val="16"/>
              </w:rPr>
              <w:t>KPI指标</w:t>
            </w:r>
          </w:p>
        </w:tc>
        <w:tc>
          <w:tcPr>
            <w:tcW w:type="dxa" w:w="1417"/>
            <w:shd w:fill="1A3C6D"/>
          </w:tcPr>
          <w:p>
            <w:pPr>
              <w:jc w:val="center"/>
            </w:pPr>
            <w:r/>
            <w:r>
              <w:rPr>
                <w:rFonts w:ascii="微软雅黑" w:hAnsi="微软雅黑"/>
                <w:b/>
                <w:color w:val="FFFFFF"/>
                <w:sz w:val="16"/>
              </w:rPr>
              <w:t>目标值（第一年）</w:t>
            </w:r>
          </w:p>
        </w:tc>
        <w:tc>
          <w:tcPr>
            <w:tcW w:type="dxa" w:w="1417"/>
            <w:shd w:fill="1A3C6D"/>
          </w:tcPr>
          <w:p>
            <w:pPr>
              <w:jc w:val="center"/>
            </w:pPr>
            <w:r/>
            <w:r>
              <w:rPr>
                <w:rFonts w:ascii="微软雅黑" w:hAnsi="微软雅黑"/>
                <w:b/>
                <w:color w:val="FFFFFF"/>
                <w:sz w:val="16"/>
              </w:rPr>
              <w:t>目标值（第三年）</w:t>
            </w:r>
          </w:p>
        </w:tc>
      </w:tr>
      <w:tr>
        <w:tc>
          <w:tcPr>
            <w:tcW w:type="dxa" w:w="1020"/>
          </w:tcPr>
          <w:p>
            <w:pPr>
              <w:jc w:val="center"/>
            </w:pPr>
            <w:r/>
            <w:r>
              <w:rPr>
                <w:rFonts w:ascii="微软雅黑" w:hAnsi="微软雅黑"/>
                <w:sz w:val="15"/>
              </w:rPr>
              <w:t>平台运营</w:t>
            </w:r>
          </w:p>
        </w:tc>
        <w:tc>
          <w:tcPr>
            <w:tcW w:type="dxa" w:w="1701"/>
          </w:tcPr>
          <w:p>
            <w:pPr>
              <w:jc w:val="center"/>
            </w:pPr>
            <w:r/>
            <w:r>
              <w:rPr>
                <w:rFonts w:ascii="微软雅黑" w:hAnsi="微软雅黑"/>
                <w:sz w:val="15"/>
              </w:rPr>
              <w:t>注册企业数量</w:t>
            </w:r>
          </w:p>
        </w:tc>
        <w:tc>
          <w:tcPr>
            <w:tcW w:type="dxa" w:w="1417"/>
          </w:tcPr>
          <w:p>
            <w:pPr>
              <w:jc w:val="center"/>
            </w:pPr>
            <w:r/>
            <w:r>
              <w:rPr>
                <w:rFonts w:ascii="微软雅黑" w:hAnsi="微软雅黑"/>
                <w:sz w:val="15"/>
              </w:rPr>
              <w:t>30+</w:t>
            </w:r>
          </w:p>
        </w:tc>
        <w:tc>
          <w:tcPr>
            <w:tcW w:type="dxa" w:w="1417"/>
          </w:tcPr>
          <w:p>
            <w:pPr>
              <w:jc w:val="center"/>
            </w:pPr>
            <w:r/>
            <w:r>
              <w:rPr>
                <w:rFonts w:ascii="微软雅黑" w:hAnsi="微软雅黑"/>
                <w:sz w:val="15"/>
              </w:rPr>
              <w:t>100+</w:t>
            </w:r>
          </w:p>
        </w:tc>
      </w:tr>
      <w:tr>
        <w:tc>
          <w:tcPr>
            <w:tcW w:type="dxa" w:w="1020"/>
            <w:shd w:fill="F0F4FA"/>
          </w:tcPr>
          <w:p>
            <w:pPr>
              <w:jc w:val="center"/>
            </w:pPr>
            <w:r/>
            <w:r>
              <w:rPr>
                <w:rFonts w:ascii="微软雅黑" w:hAnsi="微软雅黑"/>
                <w:sz w:val="15"/>
              </w:rPr>
              <w:t>平台运营</w:t>
            </w:r>
          </w:p>
        </w:tc>
        <w:tc>
          <w:tcPr>
            <w:tcW w:type="dxa" w:w="1701"/>
            <w:shd w:fill="F0F4FA"/>
          </w:tcPr>
          <w:p>
            <w:pPr>
              <w:jc w:val="center"/>
            </w:pPr>
            <w:r/>
            <w:r>
              <w:rPr>
                <w:rFonts w:ascii="微软雅黑" w:hAnsi="微软雅黑"/>
                <w:sz w:val="15"/>
              </w:rPr>
              <w:t>上架数据产品数量</w:t>
            </w:r>
          </w:p>
        </w:tc>
        <w:tc>
          <w:tcPr>
            <w:tcW w:type="dxa" w:w="1417"/>
            <w:shd w:fill="F0F4FA"/>
          </w:tcPr>
          <w:p>
            <w:pPr>
              <w:jc w:val="center"/>
            </w:pPr>
            <w:r/>
            <w:r>
              <w:rPr>
                <w:rFonts w:ascii="微软雅黑" w:hAnsi="微软雅黑"/>
                <w:sz w:val="15"/>
              </w:rPr>
              <w:t>100+</w:t>
            </w:r>
          </w:p>
        </w:tc>
        <w:tc>
          <w:tcPr>
            <w:tcW w:type="dxa" w:w="1417"/>
            <w:shd w:fill="F0F4FA"/>
          </w:tcPr>
          <w:p>
            <w:pPr>
              <w:jc w:val="center"/>
            </w:pPr>
            <w:r/>
            <w:r>
              <w:rPr>
                <w:rFonts w:ascii="微软雅黑" w:hAnsi="微软雅黑"/>
                <w:sz w:val="15"/>
              </w:rPr>
              <w:t>500+</w:t>
            </w:r>
          </w:p>
        </w:tc>
      </w:tr>
      <w:tr>
        <w:tc>
          <w:tcPr>
            <w:tcW w:type="dxa" w:w="1020"/>
          </w:tcPr>
          <w:p>
            <w:pPr>
              <w:jc w:val="center"/>
            </w:pPr>
            <w:r/>
            <w:r>
              <w:rPr>
                <w:rFonts w:ascii="微软雅黑" w:hAnsi="微软雅黑"/>
                <w:sz w:val="15"/>
              </w:rPr>
              <w:t>平台运营</w:t>
            </w:r>
          </w:p>
        </w:tc>
        <w:tc>
          <w:tcPr>
            <w:tcW w:type="dxa" w:w="1701"/>
          </w:tcPr>
          <w:p>
            <w:pPr>
              <w:jc w:val="center"/>
            </w:pPr>
            <w:r/>
            <w:r>
              <w:rPr>
                <w:rFonts w:ascii="微软雅黑" w:hAnsi="微软雅黑"/>
                <w:sz w:val="15"/>
              </w:rPr>
              <w:t>数据交易笔数</w:t>
            </w:r>
          </w:p>
        </w:tc>
        <w:tc>
          <w:tcPr>
            <w:tcW w:type="dxa" w:w="1417"/>
          </w:tcPr>
          <w:p>
            <w:pPr>
              <w:jc w:val="center"/>
            </w:pPr>
            <w:r/>
            <w:r>
              <w:rPr>
                <w:rFonts w:ascii="微软雅黑" w:hAnsi="微软雅黑"/>
                <w:sz w:val="15"/>
              </w:rPr>
              <w:t>500+</w:t>
            </w:r>
          </w:p>
        </w:tc>
        <w:tc>
          <w:tcPr>
            <w:tcW w:type="dxa" w:w="1417"/>
          </w:tcPr>
          <w:p>
            <w:pPr>
              <w:jc w:val="center"/>
            </w:pPr>
            <w:r/>
            <w:r>
              <w:rPr>
                <w:rFonts w:ascii="微软雅黑" w:hAnsi="微软雅黑"/>
                <w:sz w:val="15"/>
              </w:rPr>
              <w:t>5000+</w:t>
            </w:r>
          </w:p>
        </w:tc>
      </w:tr>
      <w:tr>
        <w:tc>
          <w:tcPr>
            <w:tcW w:type="dxa" w:w="1020"/>
            <w:shd w:fill="F0F4FA"/>
          </w:tcPr>
          <w:p>
            <w:pPr>
              <w:jc w:val="center"/>
            </w:pPr>
            <w:r/>
            <w:r>
              <w:rPr>
                <w:rFonts w:ascii="微软雅黑" w:hAnsi="微软雅黑"/>
                <w:sz w:val="15"/>
              </w:rPr>
              <w:t>平台运营</w:t>
            </w:r>
          </w:p>
        </w:tc>
        <w:tc>
          <w:tcPr>
            <w:tcW w:type="dxa" w:w="1701"/>
            <w:shd w:fill="F0F4FA"/>
          </w:tcPr>
          <w:p>
            <w:pPr>
              <w:jc w:val="center"/>
            </w:pPr>
            <w:r/>
            <w:r>
              <w:rPr>
                <w:rFonts w:ascii="微软雅黑" w:hAnsi="微软雅黑"/>
                <w:sz w:val="15"/>
              </w:rPr>
              <w:t>平台可用性</w:t>
            </w:r>
          </w:p>
        </w:tc>
        <w:tc>
          <w:tcPr>
            <w:tcW w:type="dxa" w:w="1417"/>
            <w:shd w:fill="F0F4FA"/>
          </w:tcPr>
          <w:p>
            <w:pPr>
              <w:jc w:val="center"/>
            </w:pPr>
            <w:r/>
            <w:r>
              <w:rPr>
                <w:rFonts w:ascii="微软雅黑" w:hAnsi="微软雅黑"/>
                <w:sz w:val="15"/>
              </w:rPr>
              <w:t>&gt;99.9%</w:t>
            </w:r>
          </w:p>
        </w:tc>
        <w:tc>
          <w:tcPr>
            <w:tcW w:type="dxa" w:w="1417"/>
            <w:shd w:fill="F0F4FA"/>
          </w:tcPr>
          <w:p>
            <w:pPr>
              <w:jc w:val="center"/>
            </w:pPr>
            <w:r/>
            <w:r>
              <w:rPr>
                <w:rFonts w:ascii="微软雅黑" w:hAnsi="微软雅黑"/>
                <w:sz w:val="15"/>
              </w:rPr>
              <w:t>&gt;99.95%</w:t>
            </w:r>
          </w:p>
        </w:tc>
      </w:tr>
      <w:tr>
        <w:tc>
          <w:tcPr>
            <w:tcW w:type="dxa" w:w="1020"/>
          </w:tcPr>
          <w:p>
            <w:pPr>
              <w:jc w:val="center"/>
            </w:pPr>
            <w:r/>
            <w:r>
              <w:rPr>
                <w:rFonts w:ascii="微软雅黑" w:hAnsi="微软雅黑"/>
                <w:sz w:val="15"/>
              </w:rPr>
              <w:t>经济价值</w:t>
            </w:r>
          </w:p>
        </w:tc>
        <w:tc>
          <w:tcPr>
            <w:tcW w:type="dxa" w:w="1701"/>
          </w:tcPr>
          <w:p>
            <w:pPr>
              <w:jc w:val="center"/>
            </w:pPr>
            <w:r/>
            <w:r>
              <w:rPr>
                <w:rFonts w:ascii="微软雅黑" w:hAnsi="微软雅黑"/>
                <w:sz w:val="15"/>
              </w:rPr>
              <w:t>数据交易额（年）</w:t>
            </w:r>
          </w:p>
        </w:tc>
        <w:tc>
          <w:tcPr>
            <w:tcW w:type="dxa" w:w="1417"/>
          </w:tcPr>
          <w:p>
            <w:pPr>
              <w:jc w:val="center"/>
            </w:pPr>
            <w:r/>
            <w:r>
              <w:rPr>
                <w:rFonts w:ascii="微软雅黑" w:hAnsi="微软雅黑"/>
                <w:sz w:val="15"/>
              </w:rPr>
              <w:t>&gt;2000万</w:t>
            </w:r>
          </w:p>
        </w:tc>
        <w:tc>
          <w:tcPr>
            <w:tcW w:type="dxa" w:w="1417"/>
          </w:tcPr>
          <w:p>
            <w:pPr>
              <w:jc w:val="center"/>
            </w:pPr>
            <w:r/>
            <w:r>
              <w:rPr>
                <w:rFonts w:ascii="微软雅黑" w:hAnsi="微软雅黑"/>
                <w:sz w:val="15"/>
              </w:rPr>
              <w:t>&gt;1亿</w:t>
            </w:r>
          </w:p>
        </w:tc>
      </w:tr>
      <w:tr>
        <w:tc>
          <w:tcPr>
            <w:tcW w:type="dxa" w:w="1020"/>
            <w:shd w:fill="F0F4FA"/>
          </w:tcPr>
          <w:p>
            <w:pPr>
              <w:jc w:val="center"/>
            </w:pPr>
            <w:r/>
            <w:r>
              <w:rPr>
                <w:rFonts w:ascii="微软雅黑" w:hAnsi="微软雅黑"/>
                <w:sz w:val="15"/>
              </w:rPr>
              <w:t>经济价值</w:t>
            </w:r>
          </w:p>
        </w:tc>
        <w:tc>
          <w:tcPr>
            <w:tcW w:type="dxa" w:w="1701"/>
            <w:shd w:fill="F0F4FA"/>
          </w:tcPr>
          <w:p>
            <w:pPr>
              <w:jc w:val="center"/>
            </w:pPr>
            <w:r/>
            <w:r>
              <w:rPr>
                <w:rFonts w:ascii="微软雅黑" w:hAnsi="微软雅黑"/>
                <w:sz w:val="15"/>
              </w:rPr>
              <w:t>参与方成本节约</w:t>
            </w:r>
          </w:p>
        </w:tc>
        <w:tc>
          <w:tcPr>
            <w:tcW w:type="dxa" w:w="1417"/>
            <w:shd w:fill="F0F4FA"/>
          </w:tcPr>
          <w:p>
            <w:pPr>
              <w:jc w:val="center"/>
            </w:pPr>
            <w:r/>
            <w:r>
              <w:rPr>
                <w:rFonts w:ascii="微软雅黑" w:hAnsi="微软雅黑"/>
                <w:sz w:val="15"/>
              </w:rPr>
              <w:t>&gt;30%</w:t>
            </w:r>
          </w:p>
        </w:tc>
        <w:tc>
          <w:tcPr>
            <w:tcW w:type="dxa" w:w="1417"/>
            <w:shd w:fill="F0F4FA"/>
          </w:tcPr>
          <w:p>
            <w:pPr>
              <w:jc w:val="center"/>
            </w:pPr>
            <w:r/>
            <w:r>
              <w:rPr>
                <w:rFonts w:ascii="微软雅黑" w:hAnsi="微软雅黑"/>
                <w:sz w:val="15"/>
              </w:rPr>
              <w:t>&gt;50%</w:t>
            </w:r>
          </w:p>
        </w:tc>
      </w:tr>
      <w:tr>
        <w:tc>
          <w:tcPr>
            <w:tcW w:type="dxa" w:w="1020"/>
          </w:tcPr>
          <w:p>
            <w:pPr>
              <w:jc w:val="center"/>
            </w:pPr>
            <w:r/>
            <w:r>
              <w:rPr>
                <w:rFonts w:ascii="微软雅黑" w:hAnsi="微软雅黑"/>
                <w:sz w:val="15"/>
              </w:rPr>
              <w:t>技术指标</w:t>
            </w:r>
          </w:p>
        </w:tc>
        <w:tc>
          <w:tcPr>
            <w:tcW w:type="dxa" w:w="1701"/>
          </w:tcPr>
          <w:p>
            <w:pPr>
              <w:jc w:val="center"/>
            </w:pPr>
            <w:r/>
            <w:r>
              <w:rPr>
                <w:rFonts w:ascii="微软雅黑" w:hAnsi="微软雅黑"/>
                <w:sz w:val="15"/>
              </w:rPr>
              <w:t>隐私计算任务数</w:t>
            </w:r>
          </w:p>
        </w:tc>
        <w:tc>
          <w:tcPr>
            <w:tcW w:type="dxa" w:w="1417"/>
          </w:tcPr>
          <w:p>
            <w:pPr>
              <w:jc w:val="center"/>
            </w:pPr>
            <w:r/>
            <w:r>
              <w:rPr>
                <w:rFonts w:ascii="微软雅黑" w:hAnsi="微软雅黑"/>
                <w:sz w:val="15"/>
              </w:rPr>
              <w:t>1000+</w:t>
            </w:r>
          </w:p>
        </w:tc>
        <w:tc>
          <w:tcPr>
            <w:tcW w:type="dxa" w:w="1417"/>
          </w:tcPr>
          <w:p>
            <w:pPr>
              <w:jc w:val="center"/>
            </w:pPr>
            <w:r/>
            <w:r>
              <w:rPr>
                <w:rFonts w:ascii="微软雅黑" w:hAnsi="微软雅黑"/>
                <w:sz w:val="15"/>
              </w:rPr>
              <w:t>10000+</w:t>
            </w:r>
          </w:p>
        </w:tc>
      </w:tr>
      <w:tr>
        <w:tc>
          <w:tcPr>
            <w:tcW w:type="dxa" w:w="1020"/>
            <w:shd w:fill="F0F4FA"/>
          </w:tcPr>
          <w:p>
            <w:pPr>
              <w:jc w:val="center"/>
            </w:pPr>
            <w:r/>
            <w:r>
              <w:rPr>
                <w:rFonts w:ascii="微软雅黑" w:hAnsi="微软雅黑"/>
                <w:sz w:val="15"/>
              </w:rPr>
              <w:t>技术指标</w:t>
            </w:r>
          </w:p>
        </w:tc>
        <w:tc>
          <w:tcPr>
            <w:tcW w:type="dxa" w:w="1701"/>
            <w:shd w:fill="F0F4FA"/>
          </w:tcPr>
          <w:p>
            <w:pPr>
              <w:jc w:val="center"/>
            </w:pPr>
            <w:r/>
            <w:r>
              <w:rPr>
                <w:rFonts w:ascii="微软雅黑" w:hAnsi="微软雅黑"/>
                <w:sz w:val="15"/>
              </w:rPr>
              <w:t>区块链存证记录数</w:t>
            </w:r>
          </w:p>
        </w:tc>
        <w:tc>
          <w:tcPr>
            <w:tcW w:type="dxa" w:w="1417"/>
            <w:shd w:fill="F0F4FA"/>
          </w:tcPr>
          <w:p>
            <w:pPr>
              <w:jc w:val="center"/>
            </w:pPr>
            <w:r/>
            <w:r>
              <w:rPr>
                <w:rFonts w:ascii="微软雅黑" w:hAnsi="微软雅黑"/>
                <w:sz w:val="15"/>
              </w:rPr>
              <w:t>10万+</w:t>
            </w:r>
          </w:p>
        </w:tc>
        <w:tc>
          <w:tcPr>
            <w:tcW w:type="dxa" w:w="1417"/>
            <w:shd w:fill="F0F4FA"/>
          </w:tcPr>
          <w:p>
            <w:pPr>
              <w:jc w:val="center"/>
            </w:pPr>
            <w:r/>
            <w:r>
              <w:rPr>
                <w:rFonts w:ascii="微软雅黑" w:hAnsi="微软雅黑"/>
                <w:sz w:val="15"/>
              </w:rPr>
              <w:t>100万+</w:t>
            </w:r>
          </w:p>
        </w:tc>
      </w:tr>
      <w:tr>
        <w:tc>
          <w:tcPr>
            <w:tcW w:type="dxa" w:w="1020"/>
          </w:tcPr>
          <w:p>
            <w:pPr>
              <w:jc w:val="center"/>
            </w:pPr>
            <w:r/>
            <w:r>
              <w:rPr>
                <w:rFonts w:ascii="微软雅黑" w:hAnsi="微软雅黑"/>
                <w:sz w:val="15"/>
              </w:rPr>
              <w:t>行业影响</w:t>
            </w:r>
          </w:p>
        </w:tc>
        <w:tc>
          <w:tcPr>
            <w:tcW w:type="dxa" w:w="1701"/>
          </w:tcPr>
          <w:p>
            <w:pPr>
              <w:jc w:val="center"/>
            </w:pPr>
            <w:r/>
            <w:r>
              <w:rPr>
                <w:rFonts w:ascii="微软雅黑" w:hAnsi="微软雅黑"/>
                <w:sz w:val="15"/>
              </w:rPr>
              <w:t>行业标准参与</w:t>
            </w:r>
          </w:p>
        </w:tc>
        <w:tc>
          <w:tcPr>
            <w:tcW w:type="dxa" w:w="1417"/>
          </w:tcPr>
          <w:p>
            <w:pPr>
              <w:jc w:val="center"/>
            </w:pPr>
            <w:r/>
            <w:r>
              <w:rPr>
                <w:rFonts w:ascii="微软雅黑" w:hAnsi="微软雅黑"/>
                <w:sz w:val="15"/>
              </w:rPr>
              <w:t>1项+</w:t>
            </w:r>
          </w:p>
        </w:tc>
        <w:tc>
          <w:tcPr>
            <w:tcW w:type="dxa" w:w="1417"/>
          </w:tcPr>
          <w:p>
            <w:pPr>
              <w:jc w:val="center"/>
            </w:pPr>
            <w:r/>
            <w:r>
              <w:rPr>
                <w:rFonts w:ascii="微软雅黑" w:hAnsi="微软雅黑"/>
                <w:sz w:val="15"/>
              </w:rPr>
              <w:t>3项+</w:t>
            </w:r>
          </w:p>
        </w:tc>
      </w:tr>
      <w:tr>
        <w:tc>
          <w:tcPr>
            <w:tcW w:type="dxa" w:w="1020"/>
            <w:shd w:fill="F0F4FA"/>
          </w:tcPr>
          <w:p>
            <w:pPr>
              <w:jc w:val="center"/>
            </w:pPr>
            <w:r/>
            <w:r>
              <w:rPr>
                <w:rFonts w:ascii="微软雅黑" w:hAnsi="微软雅黑"/>
                <w:sz w:val="15"/>
              </w:rPr>
              <w:t>行业影响</w:t>
            </w:r>
          </w:p>
        </w:tc>
        <w:tc>
          <w:tcPr>
            <w:tcW w:type="dxa" w:w="1701"/>
            <w:shd w:fill="F0F4FA"/>
          </w:tcPr>
          <w:p>
            <w:pPr>
              <w:jc w:val="center"/>
            </w:pPr>
            <w:r/>
            <w:r>
              <w:rPr>
                <w:rFonts w:ascii="微软雅黑" w:hAnsi="微软雅黑"/>
                <w:sz w:val="15"/>
              </w:rPr>
              <w:t>学术论文/专利</w:t>
            </w:r>
          </w:p>
        </w:tc>
        <w:tc>
          <w:tcPr>
            <w:tcW w:type="dxa" w:w="1417"/>
            <w:shd w:fill="F0F4FA"/>
          </w:tcPr>
          <w:p>
            <w:pPr>
              <w:jc w:val="center"/>
            </w:pPr>
            <w:r/>
            <w:r>
              <w:rPr>
                <w:rFonts w:ascii="微软雅黑" w:hAnsi="微软雅黑"/>
                <w:sz w:val="15"/>
              </w:rPr>
              <w:t>3篇/2项</w:t>
            </w:r>
          </w:p>
        </w:tc>
        <w:tc>
          <w:tcPr>
            <w:tcW w:type="dxa" w:w="1417"/>
            <w:shd w:fill="F0F4FA"/>
          </w:tcPr>
          <w:p>
            <w:pPr>
              <w:jc w:val="center"/>
            </w:pPr>
            <w:r/>
            <w:r>
              <w:rPr>
                <w:rFonts w:ascii="微软雅黑" w:hAnsi="微软雅黑"/>
                <w:sz w:val="15"/>
              </w:rPr>
              <w:t>10篇/5项</w:t>
            </w:r>
          </w:p>
        </w:tc>
      </w:tr>
    </w:tbl>
    <w:p/>
    <w:p>
      <w:r>
        <w:br w:type="page"/>
      </w:r>
    </w:p>
    <w:p>
      <w:pPr>
        <w:pStyle w:val="Heading1"/>
      </w:pPr>
      <w:r>
        <w:rPr>
          <w:rFonts w:ascii="微软雅黑" w:hAnsi="微软雅黑" w:eastAsia="微软雅黑"/>
        </w:rPr>
        <w:t>第九章  风险评估与应对措施</w:t>
      </w:r>
    </w:p>
    <w:p>
      <w:pPr>
        <w:pStyle w:val="Heading2"/>
      </w:pPr>
      <w:r>
        <w:rPr>
          <w:rFonts w:ascii="微软雅黑" w:hAnsi="微软雅黑" w:eastAsia="微软雅黑"/>
        </w:rPr>
        <w:t>9.1  风险评估方法论</w:t>
      </w:r>
    </w:p>
    <w:p>
      <w:pPr>
        <w:spacing w:line="360" w:lineRule="auto" w:after="120"/>
        <w:ind w:firstLine="420"/>
      </w:pPr>
      <w:r>
        <w:rPr>
          <w:rFonts w:ascii="微软雅黑" w:hAnsi="微软雅黑" w:eastAsia="微软雅黑"/>
          <w:b w:val="0"/>
          <w:sz w:val="21"/>
        </w:rPr>
        <w:t>风险评估采用"概率-影响矩阵"方法，对每项风险进行概率（1-5级）和影响（1-5级）评分，计算风险等级R=P×I。风险等级划分：低风险（R=1-4）、中风险（R=5-9）、高风险（R=10-19）、极高风险（R=20-25）。应对策略遵循"避免＞转移＞缓解＞接受"的优先级顺序。</w:t>
      </w:r>
    </w:p>
    <w:p>
      <w:pPr>
        <w:pStyle w:val="Heading2"/>
      </w:pPr>
      <w:r>
        <w:rPr>
          <w:rFonts w:ascii="微软雅黑" w:hAnsi="微软雅黑" w:eastAsia="微软雅黑"/>
        </w:rPr>
        <w:t>9.2  技术风险评估</w:t>
      </w:r>
    </w:p>
    <w:p>
      <w:pPr>
        <w:pStyle w:val="Heading3"/>
      </w:pPr>
      <w:r>
        <w:rPr>
          <w:rFonts w:ascii="微软雅黑" w:hAnsi="微软雅黑" w:eastAsia="微软雅黑"/>
        </w:rPr>
        <w:t>9.2.1  隐私计算性能风险</w:t>
      </w:r>
    </w:p>
    <w:p>
      <w:pPr>
        <w:spacing w:line="360" w:lineRule="auto" w:after="120"/>
        <w:ind w:firstLine="420"/>
      </w:pPr>
      <w:r>
        <w:rPr>
          <w:rFonts w:ascii="微软雅黑" w:hAnsi="微软雅黑" w:eastAsia="微软雅黑"/>
          <w:b w:val="0"/>
          <w:sz w:val="21"/>
        </w:rPr>
        <w:t>风险描述：隐私计算技术（特别是MPC和同态加密）的性能开销可能超出预期，导致实际生产环境无法满足业务对实时性的要求。概率评分4（较高概率），影响评分4（严重影响），风险等级R=16（高风险）。</w:t>
      </w:r>
    </w:p>
    <w:p>
      <w:pPr>
        <w:spacing w:line="360" w:lineRule="auto" w:after="120"/>
        <w:ind w:firstLine="420"/>
      </w:pPr>
      <w:r>
        <w:rPr>
          <w:rFonts w:ascii="微软雅黑" w:hAnsi="微软雅黑" w:eastAsia="微软雅黑"/>
          <w:b w:val="0"/>
          <w:sz w:val="21"/>
        </w:rPr>
        <w:t>应对措施：（1）采用"分级保护"策略——根据数据安全等级自动选择技术方案，低敏感度数据使用TEE高性能方案，高敏感度数据使用MPC或HE方案；（2）关键技术模块预留GPU加速接口，对加密计算进行硬件加速；（3）设定性能基准线，开发阶段持续进行性能回归测试，在偏离10%以上时触发优化流程；（4）构建性能优化的可插拔机制，对同态加密等性能瓶颈模块支持算法升级。</w:t>
      </w:r>
    </w:p>
    <w:p>
      <w:pPr>
        <w:pStyle w:val="Heading3"/>
      </w:pPr>
      <w:r>
        <w:rPr>
          <w:rFonts w:ascii="微软雅黑" w:hAnsi="微软雅黑" w:eastAsia="微软雅黑"/>
        </w:rPr>
        <w:t>9.2.2  区块链扩展性风险</w:t>
      </w:r>
    </w:p>
    <w:p>
      <w:pPr>
        <w:spacing w:line="360" w:lineRule="auto" w:after="120"/>
        <w:ind w:firstLine="420"/>
      </w:pPr>
      <w:r>
        <w:rPr>
          <w:rFonts w:ascii="微软雅黑" w:hAnsi="微软雅黑" w:eastAsia="微软雅黑"/>
          <w:b w:val="0"/>
          <w:sz w:val="21"/>
        </w:rPr>
        <w:t>风险描述：随着数据交易量和存证记录的增长，区块链网络可能面临存储膨胀和TPS瓶颈。概率评分3（中等概率），影响评分3（中等影响），风险等级R=9（中风险）。</w:t>
      </w:r>
    </w:p>
    <w:p>
      <w:pPr>
        <w:spacing w:line="360" w:lineRule="auto" w:after="120"/>
        <w:ind w:firstLine="420"/>
      </w:pPr>
      <w:r>
        <w:rPr>
          <w:rFonts w:ascii="微软雅黑" w:hAnsi="微软雅黑" w:eastAsia="微软雅黑"/>
          <w:b w:val="0"/>
          <w:sz w:val="21"/>
        </w:rPr>
        <w:t>应对措施：（1）采用链上哈希+链下存储的混合存证模式，链上仅存储数据哈希值（32-64 bytes）+元数据指针，大幅降低存储增长；（2）支持联盟链（如FISCO BCOS）作为备选方案，其TPS可达到数千至数万级别；（3）设计智能合约的Gas优化方案，降低高频操作的链上成本；（4）建立区块链归档和状态快照机制，支持历史数据的离线归档。</w:t>
      </w:r>
    </w:p>
    <w:p>
      <w:pPr>
        <w:pStyle w:val="Heading3"/>
      </w:pPr>
      <w:r>
        <w:rPr>
          <w:rFonts w:ascii="微软雅黑" w:hAnsi="微软雅黑" w:eastAsia="微软雅黑"/>
        </w:rPr>
        <w:t>9.2.3  AI Agent准确性风险</w:t>
      </w:r>
    </w:p>
    <w:p>
      <w:pPr>
        <w:spacing w:line="360" w:lineRule="auto" w:after="120"/>
        <w:ind w:firstLine="420"/>
      </w:pPr>
      <w:r>
        <w:rPr>
          <w:rFonts w:ascii="微软雅黑" w:hAnsi="微软雅黑" w:eastAsia="微软雅黑"/>
          <w:b w:val="0"/>
          <w:sz w:val="21"/>
        </w:rPr>
        <w:t>风险描述：AI Agent基于大语言模型（DeepSeek），存在生成错误回答（幻觉）的风险，特别是在专业领域知识和数据查询场景中。概率评分3（中等概率），影响评分4（严重影响），风险等级R=12（高风险）。</w:t>
      </w:r>
    </w:p>
    <w:p>
      <w:pPr>
        <w:spacing w:line="360" w:lineRule="auto" w:after="120"/>
        <w:ind w:firstLine="420"/>
      </w:pPr>
      <w:r>
        <w:rPr>
          <w:rFonts w:ascii="微软雅黑" w:hAnsi="微软雅黑" w:eastAsia="微软雅黑"/>
          <w:b w:val="0"/>
          <w:sz w:val="21"/>
        </w:rPr>
        <w:t>应对措施：（1）实施RAG（检索增强生成）架构，所有知识型回答必须基于知识库中的权威来源，禁止凭空生成；（2）关键操作（如数据授权、资金交易）要求人类确认授权，AI Agent仅提供建议；（3）建立用户反馈和纠正机制，低评分回答自动标记为待人工审核；（4）实现回答置信度评分和不确定性声明。</w:t>
      </w:r>
    </w:p>
    <w:p>
      <w:pPr>
        <w:pStyle w:val="Heading3"/>
      </w:pPr>
      <w:r>
        <w:rPr>
          <w:rFonts w:ascii="微软雅黑" w:hAnsi="微软雅黑" w:eastAsia="微软雅黑"/>
        </w:rPr>
        <w:t>9.2.4  系统集成复杂性风险</w:t>
      </w:r>
    </w:p>
    <w:p>
      <w:pPr>
        <w:spacing w:line="360" w:lineRule="auto" w:after="120"/>
        <w:ind w:firstLine="420"/>
      </w:pPr>
      <w:r>
        <w:rPr>
          <w:rFonts w:ascii="微软雅黑" w:hAnsi="微软雅黑" w:eastAsia="微软雅黑"/>
          <w:b w:val="0"/>
          <w:sz w:val="21"/>
        </w:rPr>
        <w:t>风险描述：系统涉及隐私计算、区块链、身份认证、AI等多个技术领域的深度整合，集成复杂性和不可预见的兼容性问题风险较高。概率评分4（较高概率），影响评分3（中等影响），风险等级R=12（高风险）。</w:t>
      </w:r>
    </w:p>
    <w:p>
      <w:pPr>
        <w:spacing w:line="360" w:lineRule="auto" w:after="120"/>
        <w:ind w:firstLine="420"/>
      </w:pPr>
      <w:r>
        <w:rPr>
          <w:rFonts w:ascii="微软雅黑" w:hAnsi="微软雅黑" w:eastAsia="微软雅黑"/>
          <w:b w:val="0"/>
          <w:sz w:val="21"/>
        </w:rPr>
        <w:t>应对措施：（1）制定清晰的接口标准和数据契约，所有模块间通信通过标准化API；（2）采用模块化架构设计，各模块可独立开发、测试和部署；（3）建立持续集成流水线，每次代码提交自动触发集成测试；（4）各技术模块的架构师和技术负责人保持密切技术沟通。</w:t>
      </w:r>
    </w:p>
    <w:p>
      <w:pPr>
        <w:pStyle w:val="Heading2"/>
      </w:pPr>
      <w:r>
        <w:rPr>
          <w:rFonts w:ascii="微软雅黑" w:hAnsi="微软雅黑" w:eastAsia="微软雅黑"/>
        </w:rPr>
        <w:t>9.3  安全管理风险</w:t>
      </w:r>
    </w:p>
    <w:p>
      <w:pPr>
        <w:pStyle w:val="Heading3"/>
      </w:pPr>
      <w:r>
        <w:rPr>
          <w:rFonts w:ascii="微软雅黑" w:hAnsi="微软雅黑" w:eastAsia="微软雅黑"/>
        </w:rPr>
        <w:t>9.3.1  数据泄露风险</w:t>
      </w:r>
    </w:p>
    <w:p>
      <w:pPr>
        <w:spacing w:line="360" w:lineRule="auto" w:after="120"/>
        <w:ind w:firstLine="420"/>
      </w:pPr>
      <w:r>
        <w:rPr>
          <w:rFonts w:ascii="微软雅黑" w:hAnsi="微软雅黑" w:eastAsia="微软雅黑"/>
          <w:b w:val="0"/>
          <w:sz w:val="21"/>
        </w:rPr>
        <w:t>风险描述：尽管采用隐私计算技术，系统仍面临零日漏洞、内部人员恶意行为、第三方依赖库漏洞等数据泄露风险。能源行业数据涉及关键信息基础设施，数据泄露后果极其严重。概率评分2（较低概率），影响评分5（灾难性影响），风险等级R=10（高风险）。</w:t>
      </w:r>
    </w:p>
    <w:p>
      <w:pPr>
        <w:spacing w:line="360" w:lineRule="auto" w:after="120"/>
        <w:ind w:firstLine="420"/>
      </w:pPr>
      <w:r>
        <w:rPr>
          <w:rFonts w:ascii="微软雅黑" w:hAnsi="微软雅黑" w:eastAsia="微软雅黑"/>
          <w:b w:val="0"/>
          <w:sz w:val="21"/>
        </w:rPr>
        <w:t>应对措施：（1）建立严格的安全开发生命周期，所有代码必须通过安全审查；（2）实施"零信任"安全架构，内部服务间通信也需认证和授权；（3）部署SIEM安全信息和事件管理系统，实时监控异常行为；（4）建立数据泄露应急预案，包括48小时内通告义务；（5）定期进行第三方安全审计和渗透测试；（6）所有敏感操作实现双人审批。</w:t>
      </w:r>
    </w:p>
    <w:p>
      <w:pPr>
        <w:pStyle w:val="Heading3"/>
      </w:pPr>
      <w:r>
        <w:rPr>
          <w:rFonts w:ascii="微软雅黑" w:hAnsi="微软雅黑" w:eastAsia="微软雅黑"/>
        </w:rPr>
        <w:t>9.3.2  密钥管理安全风险</w:t>
      </w:r>
    </w:p>
    <w:p>
      <w:pPr>
        <w:spacing w:line="360" w:lineRule="auto" w:after="120"/>
        <w:ind w:firstLine="420"/>
      </w:pPr>
      <w:r>
        <w:rPr>
          <w:rFonts w:ascii="微软雅黑" w:hAnsi="微软雅黑" w:eastAsia="微软雅黑"/>
          <w:b w:val="0"/>
          <w:sz w:val="21"/>
        </w:rPr>
        <w:t>风险描述：系统涉及大量加密密钥（DID私钥、TLS证书、AES加密密钥、区块链私钥等），密钥泄露将导致整个安全体系的崩溃。概率评分2（较低概率），影响评分5（灾难性影响），风险等级R=10（高风险）。</w:t>
      </w:r>
    </w:p>
    <w:p>
      <w:pPr>
        <w:spacing w:line="360" w:lineRule="auto" w:after="120"/>
        <w:ind w:firstLine="420"/>
      </w:pPr>
      <w:r>
        <w:rPr>
          <w:rFonts w:ascii="微软雅黑" w:hAnsi="微软雅黑" w:eastAsia="微软雅黑"/>
          <w:b w:val="0"/>
          <w:sz w:val="21"/>
        </w:rPr>
        <w:t>应对措施：（1）采用硬件安全模块（HSM）或云KMS服务管理主密钥；（2）实施密钥分级管理：根密钥→主密钥→数据加密密钥，级别的密钥轮换周期递减；（3）建立密钥备份和恢复机制（Shamir秘密共享方案，M-of-N分片恢复）；（4）严格限制密钥访问权限，密钥操作实施双人审批和操作审计。</w:t>
      </w:r>
    </w:p>
    <w:p>
      <w:pPr>
        <w:pStyle w:val="Heading3"/>
      </w:pPr>
      <w:r>
        <w:rPr>
          <w:rFonts w:ascii="微软雅黑" w:hAnsi="微软雅黑" w:eastAsia="微软雅黑"/>
        </w:rPr>
        <w:t>9.3.3  合规风险</w:t>
      </w:r>
    </w:p>
    <w:p>
      <w:pPr>
        <w:spacing w:line="360" w:lineRule="auto" w:after="120"/>
        <w:ind w:firstLine="420"/>
      </w:pPr>
      <w:r>
        <w:rPr>
          <w:rFonts w:ascii="微软雅黑" w:hAnsi="微软雅黑" w:eastAsia="微软雅黑"/>
          <w:b w:val="0"/>
          <w:sz w:val="21"/>
        </w:rPr>
        <w:t>风险描述：数据安全法和个人信息保护法对数据处理有严格要求，不合规可能导致处罚和声誉损失。此外，关键信息基础设施安全保护条例对CII运营者的网络安全审查要求极高。概率评分2（较低概率），影响评分4（严重影响），风险等级R=8（中风险）。</w:t>
      </w:r>
    </w:p>
    <w:p>
      <w:pPr>
        <w:spacing w:line="360" w:lineRule="auto" w:after="120"/>
        <w:ind w:firstLine="420"/>
      </w:pPr>
      <w:r>
        <w:rPr>
          <w:rFonts w:ascii="微软雅黑" w:hAnsi="微软雅黑" w:eastAsia="微软雅黑"/>
          <w:b w:val="0"/>
          <w:sz w:val="21"/>
        </w:rPr>
        <w:t>应对措施：（1）聘请专业法律顾问团队，确保系统设计满足所有适用法律法规要求；（2）系统内嵌合规检查机制，数据分类分级、跨境数据传输、个人同意管理等操作自动化合规核查；（3）定期进行合规审计（至少每年一次），发现不合规项即时整改；（4）跟踪国内外数据安全法规动态，法律更新后3个月内完成系统适配。</w:t>
      </w:r>
    </w:p>
    <w:p>
      <w:pPr>
        <w:pStyle w:val="Heading2"/>
      </w:pPr>
      <w:r>
        <w:rPr>
          <w:rFonts w:ascii="微软雅黑" w:hAnsi="微软雅黑" w:eastAsia="微软雅黑"/>
        </w:rPr>
        <w:t>9.4  项目管理风险</w:t>
      </w:r>
    </w:p>
    <w:p>
      <w:pPr>
        <w:pStyle w:val="Heading3"/>
      </w:pPr>
      <w:r>
        <w:rPr>
          <w:rFonts w:ascii="微软雅黑" w:hAnsi="微软雅黑" w:eastAsia="微软雅黑"/>
        </w:rPr>
        <w:t>9.4.1  进度延期风险</w:t>
      </w:r>
    </w:p>
    <w:p>
      <w:pPr>
        <w:spacing w:line="360" w:lineRule="auto" w:after="120"/>
        <w:ind w:firstLine="420"/>
      </w:pPr>
      <w:r>
        <w:rPr>
          <w:rFonts w:ascii="微软雅黑" w:hAnsi="微软雅黑" w:eastAsia="微软雅黑"/>
          <w:b w:val="0"/>
          <w:sz w:val="21"/>
        </w:rPr>
        <w:t>风险描述：项目涉及多个技术领域的研发工作，技术难度高，存在进度延期的风险。特别是隐私计算和DID模块的技术成熟度较低，可能需要更多研发时间。概率评分4（较高概率），影响评分3（中等影响），风险等级R=12（高风险）。</w:t>
      </w:r>
    </w:p>
    <w:p>
      <w:pPr>
        <w:spacing w:line="360" w:lineRule="auto" w:after="120"/>
        <w:ind w:firstLine="420"/>
      </w:pPr>
      <w:r>
        <w:rPr>
          <w:rFonts w:ascii="微软雅黑" w:hAnsi="微软雅黑" w:eastAsia="微软雅黑"/>
          <w:b w:val="0"/>
          <w:sz w:val="21"/>
        </w:rPr>
        <w:t>应对措施：采用敏捷开发方法，按功能模块分批交付，确保核心功能（数据资产管理、可信共享）优先上线。隐私计算等复杂模块采用"慢启动"策略——初期使用简化方案快速验证业务闭环，后续逐步优化到完整方案。关键路径设置缓冲时间（建议15-20%）。每两周进行进度评估，超期任务及时调整。</w:t>
      </w:r>
    </w:p>
    <w:p>
      <w:pPr>
        <w:pStyle w:val="Heading3"/>
      </w:pPr>
      <w:r>
        <w:rPr>
          <w:rFonts w:ascii="微软雅黑" w:hAnsi="微软雅黑" w:eastAsia="微软雅黑"/>
        </w:rPr>
        <w:t>9.4.2  技术人才风险</w:t>
      </w:r>
    </w:p>
    <w:p>
      <w:pPr>
        <w:spacing w:line="360" w:lineRule="auto" w:after="120"/>
        <w:ind w:firstLine="420"/>
      </w:pPr>
      <w:r>
        <w:rPr>
          <w:rFonts w:ascii="微软雅黑" w:hAnsi="微软雅黑" w:eastAsia="微软雅黑"/>
          <w:b w:val="0"/>
          <w:sz w:val="21"/>
        </w:rPr>
        <w:t>风险描述：隐私计算、区块链、DID等前沿技术领域人才稀缺，招聘和保留难度大，核心技术人员流失可能导致项目中断。概率评分4（较高概率），影响评分4（严重影响），风险等级R=16（高风险）。</w:t>
      </w:r>
    </w:p>
    <w:p>
      <w:pPr>
        <w:spacing w:line="360" w:lineRule="auto" w:after="120"/>
        <w:ind w:firstLine="420"/>
      </w:pPr>
      <w:r>
        <w:rPr>
          <w:rFonts w:ascii="微软雅黑" w:hAnsi="微软雅黑" w:eastAsia="微软雅黑"/>
          <w:b w:val="0"/>
          <w:sz w:val="21"/>
        </w:rPr>
        <w:t>应对措施：与高校建立联合实验室，定向培养技术人才。建立完善的技术文档和知识管理体系，降低"单人依赖"风险——每个关键技术模块必须有至少2名合格工程师。利用开源社区和技术社区的协作力量，降低自研工作量。</w:t>
      </w:r>
    </w:p>
    <w:p>
      <w:pPr>
        <w:pStyle w:val="Heading3"/>
      </w:pPr>
      <w:r>
        <w:rPr>
          <w:rFonts w:ascii="微软雅黑" w:hAnsi="微软雅黑" w:eastAsia="微软雅黑"/>
        </w:rPr>
        <w:t>9.4.3  需求变更风险</w:t>
      </w:r>
    </w:p>
    <w:p>
      <w:pPr>
        <w:spacing w:line="360" w:lineRule="auto" w:after="120"/>
        <w:ind w:firstLine="420"/>
      </w:pPr>
      <w:r>
        <w:rPr>
          <w:rFonts w:ascii="微软雅黑" w:hAnsi="微软雅黑" w:eastAsia="微软雅黑"/>
          <w:b w:val="0"/>
          <w:sz w:val="21"/>
        </w:rPr>
        <w:t>风险描述：随着国内外数据法规和政策的快速演变，系统需求和合规要求可能发生重大变更。概率评分3（中等概率），影响评分3（中等影响），风险等级R=9（中风险）。</w:t>
      </w:r>
    </w:p>
    <w:p>
      <w:pPr>
        <w:spacing w:line="360" w:lineRule="auto" w:after="120"/>
        <w:ind w:firstLine="420"/>
      </w:pPr>
      <w:r>
        <w:rPr>
          <w:rFonts w:ascii="微软雅黑" w:hAnsi="微软雅黑" w:eastAsia="微软雅黑"/>
          <w:b w:val="0"/>
          <w:sz w:val="21"/>
        </w:rPr>
        <w:t>应对措施：采用可扩展的架构设计，关键接口预留扩展能力。建立需求变更管理委员会，评估变更的影响和优先级。预留10-15%的项目预算用于应对需求变更。密切跟踪政策动向，提前储备预见性技术方案。</w:t>
      </w:r>
    </w:p>
    <w:p>
      <w:pPr>
        <w:pStyle w:val="Heading2"/>
      </w:pPr>
      <w:r>
        <w:rPr>
          <w:rFonts w:ascii="微软雅黑" w:hAnsi="微软雅黑" w:eastAsia="微软雅黑"/>
        </w:rPr>
        <w:t>9.5  风险汇总矩阵</w:t>
      </w:r>
    </w:p>
    <w:p>
      <w:pPr>
        <w:spacing w:line="360" w:lineRule="auto" w:after="120"/>
        <w:jc w:val="center"/>
      </w:pPr>
      <w:r>
        <w:rPr>
          <w:rFonts w:ascii="微软雅黑" w:hAnsi="微软雅黑" w:eastAsia="微软雅黑"/>
          <w:b/>
          <w:sz w:val="18"/>
        </w:rPr>
        <w:t>表9-1  风险汇总矩阵</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567"/>
            <w:shd w:fill="1A3C6D"/>
          </w:tcPr>
          <w:p>
            <w:pPr>
              <w:jc w:val="center"/>
            </w:pPr>
            <w:r/>
            <w:r>
              <w:rPr>
                <w:rFonts w:ascii="微软雅黑" w:hAnsi="微软雅黑"/>
                <w:b/>
                <w:color w:val="FFFFFF"/>
                <w:sz w:val="16"/>
              </w:rPr>
              <w:t>风险编号</w:t>
            </w:r>
          </w:p>
        </w:tc>
        <w:tc>
          <w:tcPr>
            <w:tcW w:type="dxa" w:w="567"/>
            <w:shd w:fill="1A3C6D"/>
          </w:tcPr>
          <w:p>
            <w:pPr>
              <w:jc w:val="center"/>
            </w:pPr>
            <w:r/>
            <w:r>
              <w:rPr>
                <w:rFonts w:ascii="微软雅黑" w:hAnsi="微软雅黑"/>
                <w:b/>
                <w:color w:val="FFFFFF"/>
                <w:sz w:val="16"/>
              </w:rPr>
              <w:t>风险类别</w:t>
            </w:r>
          </w:p>
        </w:tc>
        <w:tc>
          <w:tcPr>
            <w:tcW w:type="dxa" w:w="1417"/>
            <w:shd w:fill="1A3C6D"/>
          </w:tcPr>
          <w:p>
            <w:pPr>
              <w:jc w:val="center"/>
            </w:pPr>
            <w:r/>
            <w:r>
              <w:rPr>
                <w:rFonts w:ascii="微软雅黑" w:hAnsi="微软雅黑"/>
                <w:b/>
                <w:color w:val="FFFFFF"/>
                <w:sz w:val="16"/>
              </w:rPr>
              <w:t>风险描述</w:t>
            </w:r>
          </w:p>
        </w:tc>
        <w:tc>
          <w:tcPr>
            <w:tcW w:type="dxa" w:w="454"/>
            <w:shd w:fill="1A3C6D"/>
          </w:tcPr>
          <w:p>
            <w:pPr>
              <w:jc w:val="center"/>
            </w:pPr>
            <w:r/>
            <w:r>
              <w:rPr>
                <w:rFonts w:ascii="微软雅黑" w:hAnsi="微软雅黑"/>
                <w:b/>
                <w:color w:val="FFFFFF"/>
                <w:sz w:val="16"/>
              </w:rPr>
              <w:t>概率P</w:t>
            </w:r>
          </w:p>
        </w:tc>
        <w:tc>
          <w:tcPr>
            <w:tcW w:type="dxa" w:w="454"/>
            <w:shd w:fill="1A3C6D"/>
          </w:tcPr>
          <w:p>
            <w:pPr>
              <w:jc w:val="center"/>
            </w:pPr>
            <w:r/>
            <w:r>
              <w:rPr>
                <w:rFonts w:ascii="微软雅黑" w:hAnsi="微软雅黑"/>
                <w:b/>
                <w:color w:val="FFFFFF"/>
                <w:sz w:val="16"/>
              </w:rPr>
              <w:t>影响I</w:t>
            </w:r>
          </w:p>
        </w:tc>
        <w:tc>
          <w:tcPr>
            <w:tcW w:type="dxa" w:w="454"/>
            <w:shd w:fill="1A3C6D"/>
          </w:tcPr>
          <w:p>
            <w:pPr>
              <w:jc w:val="center"/>
            </w:pPr>
            <w:r/>
            <w:r>
              <w:rPr>
                <w:rFonts w:ascii="微软雅黑" w:hAnsi="微软雅黑"/>
                <w:b/>
                <w:color w:val="FFFFFF"/>
                <w:sz w:val="16"/>
              </w:rPr>
              <w:t>R=P×I</w:t>
            </w:r>
          </w:p>
        </w:tc>
        <w:tc>
          <w:tcPr>
            <w:tcW w:type="dxa" w:w="454"/>
            <w:shd w:fill="1A3C6D"/>
          </w:tcPr>
          <w:p>
            <w:pPr>
              <w:jc w:val="center"/>
            </w:pPr>
            <w:r/>
            <w:r>
              <w:rPr>
                <w:rFonts w:ascii="微软雅黑" w:hAnsi="微软雅黑"/>
                <w:b/>
                <w:color w:val="FFFFFF"/>
                <w:sz w:val="16"/>
              </w:rPr>
              <w:t>等级</w:t>
            </w:r>
          </w:p>
        </w:tc>
        <w:tc>
          <w:tcPr>
            <w:tcW w:type="dxa" w:w="1984"/>
            <w:shd w:fill="1A3C6D"/>
          </w:tcPr>
          <w:p>
            <w:pPr>
              <w:jc w:val="center"/>
            </w:pPr>
            <w:r/>
            <w:r>
              <w:rPr>
                <w:rFonts w:ascii="微软雅黑" w:hAnsi="微软雅黑"/>
                <w:b/>
                <w:color w:val="FFFFFF"/>
                <w:sz w:val="16"/>
              </w:rPr>
              <w:t>应对策略</w:t>
            </w:r>
          </w:p>
        </w:tc>
      </w:tr>
      <w:tr>
        <w:tc>
          <w:tcPr>
            <w:tcW w:type="dxa" w:w="567"/>
          </w:tcPr>
          <w:p>
            <w:pPr>
              <w:jc w:val="center"/>
            </w:pPr>
            <w:r/>
            <w:r>
              <w:rPr>
                <w:rFonts w:ascii="微软雅黑" w:hAnsi="微软雅黑"/>
                <w:sz w:val="15"/>
              </w:rPr>
              <w:t>R-01</w:t>
            </w:r>
          </w:p>
        </w:tc>
        <w:tc>
          <w:tcPr>
            <w:tcW w:type="dxa" w:w="567"/>
          </w:tcPr>
          <w:p>
            <w:pPr>
              <w:jc w:val="center"/>
            </w:pPr>
            <w:r/>
            <w:r>
              <w:rPr>
                <w:rFonts w:ascii="微软雅黑" w:hAnsi="微软雅黑"/>
                <w:sz w:val="15"/>
              </w:rPr>
              <w:t>技术</w:t>
            </w:r>
          </w:p>
        </w:tc>
        <w:tc>
          <w:tcPr>
            <w:tcW w:type="dxa" w:w="1417"/>
          </w:tcPr>
          <w:p>
            <w:pPr>
              <w:jc w:val="center"/>
            </w:pPr>
            <w:r/>
            <w:r>
              <w:rPr>
                <w:rFonts w:ascii="微软雅黑" w:hAnsi="微软雅黑"/>
                <w:sz w:val="15"/>
              </w:rPr>
              <w:t>隐私计算性能不达预期</w:t>
            </w:r>
          </w:p>
        </w:tc>
        <w:tc>
          <w:tcPr>
            <w:tcW w:type="dxa" w:w="454"/>
          </w:tcPr>
          <w:p>
            <w:pPr>
              <w:jc w:val="center"/>
            </w:pPr>
            <w:r/>
            <w:r>
              <w:rPr>
                <w:rFonts w:ascii="微软雅黑" w:hAnsi="微软雅黑"/>
                <w:sz w:val="15"/>
              </w:rPr>
              <w:t>4</w:t>
            </w:r>
          </w:p>
        </w:tc>
        <w:tc>
          <w:tcPr>
            <w:tcW w:type="dxa" w:w="454"/>
          </w:tcPr>
          <w:p>
            <w:pPr>
              <w:jc w:val="center"/>
            </w:pPr>
            <w:r/>
            <w:r>
              <w:rPr>
                <w:rFonts w:ascii="微软雅黑" w:hAnsi="微软雅黑"/>
                <w:sz w:val="15"/>
              </w:rPr>
              <w:t>4</w:t>
            </w:r>
          </w:p>
        </w:tc>
        <w:tc>
          <w:tcPr>
            <w:tcW w:type="dxa" w:w="454"/>
          </w:tcPr>
          <w:p>
            <w:pPr>
              <w:jc w:val="center"/>
            </w:pPr>
            <w:r/>
            <w:r>
              <w:rPr>
                <w:rFonts w:ascii="微软雅黑" w:hAnsi="微软雅黑"/>
                <w:sz w:val="15"/>
              </w:rPr>
              <w:t>16</w:t>
            </w:r>
          </w:p>
        </w:tc>
        <w:tc>
          <w:tcPr>
            <w:tcW w:type="dxa" w:w="454"/>
          </w:tcPr>
          <w:p>
            <w:pPr>
              <w:jc w:val="center"/>
            </w:pPr>
            <w:r/>
            <w:r>
              <w:rPr>
                <w:rFonts w:ascii="微软雅黑" w:hAnsi="微软雅黑"/>
                <w:sz w:val="15"/>
              </w:rPr>
              <w:t>高</w:t>
            </w:r>
          </w:p>
        </w:tc>
        <w:tc>
          <w:tcPr>
            <w:tcW w:type="dxa" w:w="1984"/>
          </w:tcPr>
          <w:p>
            <w:pPr>
              <w:jc w:val="center"/>
            </w:pPr>
            <w:r/>
            <w:r>
              <w:rPr>
                <w:rFonts w:ascii="微软雅黑" w:hAnsi="微软雅黑"/>
                <w:sz w:val="15"/>
              </w:rPr>
              <w:t>分级保护+硬件加速+持续基准测试</w:t>
            </w:r>
          </w:p>
        </w:tc>
      </w:tr>
      <w:tr>
        <w:tc>
          <w:tcPr>
            <w:tcW w:type="dxa" w:w="567"/>
            <w:shd w:fill="F0F4FA"/>
          </w:tcPr>
          <w:p>
            <w:pPr>
              <w:jc w:val="center"/>
            </w:pPr>
            <w:r/>
            <w:r>
              <w:rPr>
                <w:rFonts w:ascii="微软雅黑" w:hAnsi="微软雅黑"/>
                <w:sz w:val="15"/>
              </w:rPr>
              <w:t>R-02</w:t>
            </w:r>
          </w:p>
        </w:tc>
        <w:tc>
          <w:tcPr>
            <w:tcW w:type="dxa" w:w="567"/>
            <w:shd w:fill="F0F4FA"/>
          </w:tcPr>
          <w:p>
            <w:pPr>
              <w:jc w:val="center"/>
            </w:pPr>
            <w:r/>
            <w:r>
              <w:rPr>
                <w:rFonts w:ascii="微软雅黑" w:hAnsi="微软雅黑"/>
                <w:sz w:val="15"/>
              </w:rPr>
              <w:t>技术</w:t>
            </w:r>
          </w:p>
        </w:tc>
        <w:tc>
          <w:tcPr>
            <w:tcW w:type="dxa" w:w="1417"/>
            <w:shd w:fill="F0F4FA"/>
          </w:tcPr>
          <w:p>
            <w:pPr>
              <w:jc w:val="center"/>
            </w:pPr>
            <w:r/>
            <w:r>
              <w:rPr>
                <w:rFonts w:ascii="微软雅黑" w:hAnsi="微软雅黑"/>
                <w:sz w:val="15"/>
              </w:rPr>
              <w:t>区块链扩展性瓶颈</w:t>
            </w:r>
          </w:p>
        </w:tc>
        <w:tc>
          <w:tcPr>
            <w:tcW w:type="dxa" w:w="454"/>
            <w:shd w:fill="F0F4FA"/>
          </w:tcPr>
          <w:p>
            <w:pPr>
              <w:jc w:val="center"/>
            </w:pPr>
            <w:r/>
            <w:r>
              <w:rPr>
                <w:rFonts w:ascii="微软雅黑" w:hAnsi="微软雅黑"/>
                <w:sz w:val="15"/>
              </w:rPr>
              <w:t>3</w:t>
            </w:r>
          </w:p>
        </w:tc>
        <w:tc>
          <w:tcPr>
            <w:tcW w:type="dxa" w:w="454"/>
            <w:shd w:fill="F0F4FA"/>
          </w:tcPr>
          <w:p>
            <w:pPr>
              <w:jc w:val="center"/>
            </w:pPr>
            <w:r/>
            <w:r>
              <w:rPr>
                <w:rFonts w:ascii="微软雅黑" w:hAnsi="微软雅黑"/>
                <w:sz w:val="15"/>
              </w:rPr>
              <w:t>3</w:t>
            </w:r>
          </w:p>
        </w:tc>
        <w:tc>
          <w:tcPr>
            <w:tcW w:type="dxa" w:w="454"/>
            <w:shd w:fill="F0F4FA"/>
          </w:tcPr>
          <w:p>
            <w:pPr>
              <w:jc w:val="center"/>
            </w:pPr>
            <w:r/>
            <w:r>
              <w:rPr>
                <w:rFonts w:ascii="微软雅黑" w:hAnsi="微软雅黑"/>
                <w:sz w:val="15"/>
              </w:rPr>
              <w:t>9</w:t>
            </w:r>
          </w:p>
        </w:tc>
        <w:tc>
          <w:tcPr>
            <w:tcW w:type="dxa" w:w="454"/>
            <w:shd w:fill="F0F4FA"/>
          </w:tcPr>
          <w:p>
            <w:pPr>
              <w:jc w:val="center"/>
            </w:pPr>
            <w:r/>
            <w:r>
              <w:rPr>
                <w:rFonts w:ascii="微软雅黑" w:hAnsi="微软雅黑"/>
                <w:sz w:val="15"/>
              </w:rPr>
              <w:t>中</w:t>
            </w:r>
          </w:p>
        </w:tc>
        <w:tc>
          <w:tcPr>
            <w:tcW w:type="dxa" w:w="1984"/>
            <w:shd w:fill="F0F4FA"/>
          </w:tcPr>
          <w:p>
            <w:pPr>
              <w:jc w:val="center"/>
            </w:pPr>
            <w:r/>
            <w:r>
              <w:rPr>
                <w:rFonts w:ascii="微软雅黑" w:hAnsi="微软雅黑"/>
                <w:sz w:val="15"/>
              </w:rPr>
              <w:t>混合存证+联盟链备选+Gas优化</w:t>
            </w:r>
          </w:p>
        </w:tc>
      </w:tr>
      <w:tr>
        <w:tc>
          <w:tcPr>
            <w:tcW w:type="dxa" w:w="567"/>
          </w:tcPr>
          <w:p>
            <w:pPr>
              <w:jc w:val="center"/>
            </w:pPr>
            <w:r/>
            <w:r>
              <w:rPr>
                <w:rFonts w:ascii="微软雅黑" w:hAnsi="微软雅黑"/>
                <w:sz w:val="15"/>
              </w:rPr>
              <w:t>R-03</w:t>
            </w:r>
          </w:p>
        </w:tc>
        <w:tc>
          <w:tcPr>
            <w:tcW w:type="dxa" w:w="567"/>
          </w:tcPr>
          <w:p>
            <w:pPr>
              <w:jc w:val="center"/>
            </w:pPr>
            <w:r/>
            <w:r>
              <w:rPr>
                <w:rFonts w:ascii="微软雅黑" w:hAnsi="微软雅黑"/>
                <w:sz w:val="15"/>
              </w:rPr>
              <w:t>技术</w:t>
            </w:r>
          </w:p>
        </w:tc>
        <w:tc>
          <w:tcPr>
            <w:tcW w:type="dxa" w:w="1417"/>
          </w:tcPr>
          <w:p>
            <w:pPr>
              <w:jc w:val="center"/>
            </w:pPr>
            <w:r/>
            <w:r>
              <w:rPr>
                <w:rFonts w:ascii="微软雅黑" w:hAnsi="微软雅黑"/>
                <w:sz w:val="15"/>
              </w:rPr>
              <w:t>AI Agent生成错误回答</w:t>
            </w:r>
          </w:p>
        </w:tc>
        <w:tc>
          <w:tcPr>
            <w:tcW w:type="dxa" w:w="454"/>
          </w:tcPr>
          <w:p>
            <w:pPr>
              <w:jc w:val="center"/>
            </w:pPr>
            <w:r/>
            <w:r>
              <w:rPr>
                <w:rFonts w:ascii="微软雅黑" w:hAnsi="微软雅黑"/>
                <w:sz w:val="15"/>
              </w:rPr>
              <w:t>3</w:t>
            </w:r>
          </w:p>
        </w:tc>
        <w:tc>
          <w:tcPr>
            <w:tcW w:type="dxa" w:w="454"/>
          </w:tcPr>
          <w:p>
            <w:pPr>
              <w:jc w:val="center"/>
            </w:pPr>
            <w:r/>
            <w:r>
              <w:rPr>
                <w:rFonts w:ascii="微软雅黑" w:hAnsi="微软雅黑"/>
                <w:sz w:val="15"/>
              </w:rPr>
              <w:t>4</w:t>
            </w:r>
          </w:p>
        </w:tc>
        <w:tc>
          <w:tcPr>
            <w:tcW w:type="dxa" w:w="454"/>
          </w:tcPr>
          <w:p>
            <w:pPr>
              <w:jc w:val="center"/>
            </w:pPr>
            <w:r/>
            <w:r>
              <w:rPr>
                <w:rFonts w:ascii="微软雅黑" w:hAnsi="微软雅黑"/>
                <w:sz w:val="15"/>
              </w:rPr>
              <w:t>12</w:t>
            </w:r>
          </w:p>
        </w:tc>
        <w:tc>
          <w:tcPr>
            <w:tcW w:type="dxa" w:w="454"/>
          </w:tcPr>
          <w:p>
            <w:pPr>
              <w:jc w:val="center"/>
            </w:pPr>
            <w:r/>
            <w:r>
              <w:rPr>
                <w:rFonts w:ascii="微软雅黑" w:hAnsi="微软雅黑"/>
                <w:sz w:val="15"/>
              </w:rPr>
              <w:t>高</w:t>
            </w:r>
          </w:p>
        </w:tc>
        <w:tc>
          <w:tcPr>
            <w:tcW w:type="dxa" w:w="1984"/>
          </w:tcPr>
          <w:p>
            <w:pPr>
              <w:jc w:val="center"/>
            </w:pPr>
            <w:r/>
            <w:r>
              <w:rPr>
                <w:rFonts w:ascii="微软雅黑" w:hAnsi="微软雅黑"/>
                <w:sz w:val="15"/>
              </w:rPr>
              <w:t>RAG架构+人类确认+反馈纠正</w:t>
            </w:r>
          </w:p>
        </w:tc>
      </w:tr>
      <w:tr>
        <w:tc>
          <w:tcPr>
            <w:tcW w:type="dxa" w:w="567"/>
            <w:shd w:fill="F0F4FA"/>
          </w:tcPr>
          <w:p>
            <w:pPr>
              <w:jc w:val="center"/>
            </w:pPr>
            <w:r/>
            <w:r>
              <w:rPr>
                <w:rFonts w:ascii="微软雅黑" w:hAnsi="微软雅黑"/>
                <w:sz w:val="15"/>
              </w:rPr>
              <w:t>R-04</w:t>
            </w:r>
          </w:p>
        </w:tc>
        <w:tc>
          <w:tcPr>
            <w:tcW w:type="dxa" w:w="567"/>
            <w:shd w:fill="F0F4FA"/>
          </w:tcPr>
          <w:p>
            <w:pPr>
              <w:jc w:val="center"/>
            </w:pPr>
            <w:r/>
            <w:r>
              <w:rPr>
                <w:rFonts w:ascii="微软雅黑" w:hAnsi="微软雅黑"/>
                <w:sz w:val="15"/>
              </w:rPr>
              <w:t>技术</w:t>
            </w:r>
          </w:p>
        </w:tc>
        <w:tc>
          <w:tcPr>
            <w:tcW w:type="dxa" w:w="1417"/>
            <w:shd w:fill="F0F4FA"/>
          </w:tcPr>
          <w:p>
            <w:pPr>
              <w:jc w:val="center"/>
            </w:pPr>
            <w:r/>
            <w:r>
              <w:rPr>
                <w:rFonts w:ascii="微软雅黑" w:hAnsi="微软雅黑"/>
                <w:sz w:val="15"/>
              </w:rPr>
              <w:t>多技术集成复杂度</w:t>
            </w:r>
          </w:p>
        </w:tc>
        <w:tc>
          <w:tcPr>
            <w:tcW w:type="dxa" w:w="454"/>
            <w:shd w:fill="F0F4FA"/>
          </w:tcPr>
          <w:p>
            <w:pPr>
              <w:jc w:val="center"/>
            </w:pPr>
            <w:r/>
            <w:r>
              <w:rPr>
                <w:rFonts w:ascii="微软雅黑" w:hAnsi="微软雅黑"/>
                <w:sz w:val="15"/>
              </w:rPr>
              <w:t>4</w:t>
            </w:r>
          </w:p>
        </w:tc>
        <w:tc>
          <w:tcPr>
            <w:tcW w:type="dxa" w:w="454"/>
            <w:shd w:fill="F0F4FA"/>
          </w:tcPr>
          <w:p>
            <w:pPr>
              <w:jc w:val="center"/>
            </w:pPr>
            <w:r/>
            <w:r>
              <w:rPr>
                <w:rFonts w:ascii="微软雅黑" w:hAnsi="微软雅黑"/>
                <w:sz w:val="15"/>
              </w:rPr>
              <w:t>3</w:t>
            </w:r>
          </w:p>
        </w:tc>
        <w:tc>
          <w:tcPr>
            <w:tcW w:type="dxa" w:w="454"/>
            <w:shd w:fill="F0F4FA"/>
          </w:tcPr>
          <w:p>
            <w:pPr>
              <w:jc w:val="center"/>
            </w:pPr>
            <w:r/>
            <w:r>
              <w:rPr>
                <w:rFonts w:ascii="微软雅黑" w:hAnsi="微软雅黑"/>
                <w:sz w:val="15"/>
              </w:rPr>
              <w:t>12</w:t>
            </w:r>
          </w:p>
        </w:tc>
        <w:tc>
          <w:tcPr>
            <w:tcW w:type="dxa" w:w="454"/>
            <w:shd w:fill="F0F4FA"/>
          </w:tcPr>
          <w:p>
            <w:pPr>
              <w:jc w:val="center"/>
            </w:pPr>
            <w:r/>
            <w:r>
              <w:rPr>
                <w:rFonts w:ascii="微软雅黑" w:hAnsi="微软雅黑"/>
                <w:sz w:val="15"/>
              </w:rPr>
              <w:t>高</w:t>
            </w:r>
          </w:p>
        </w:tc>
        <w:tc>
          <w:tcPr>
            <w:tcW w:type="dxa" w:w="1984"/>
            <w:shd w:fill="F0F4FA"/>
          </w:tcPr>
          <w:p>
            <w:pPr>
              <w:jc w:val="center"/>
            </w:pPr>
            <w:r/>
            <w:r>
              <w:rPr>
                <w:rFonts w:ascii="微软雅黑" w:hAnsi="微软雅黑"/>
                <w:sz w:val="15"/>
              </w:rPr>
              <w:t>标准化接口+CI/CD+模块化架构</w:t>
            </w:r>
          </w:p>
        </w:tc>
      </w:tr>
      <w:tr>
        <w:tc>
          <w:tcPr>
            <w:tcW w:type="dxa" w:w="567"/>
          </w:tcPr>
          <w:p>
            <w:pPr>
              <w:jc w:val="center"/>
            </w:pPr>
            <w:r/>
            <w:r>
              <w:rPr>
                <w:rFonts w:ascii="微软雅黑" w:hAnsi="微软雅黑"/>
                <w:sz w:val="15"/>
              </w:rPr>
              <w:t>R-05</w:t>
            </w:r>
          </w:p>
        </w:tc>
        <w:tc>
          <w:tcPr>
            <w:tcW w:type="dxa" w:w="567"/>
          </w:tcPr>
          <w:p>
            <w:pPr>
              <w:jc w:val="center"/>
            </w:pPr>
            <w:r/>
            <w:r>
              <w:rPr>
                <w:rFonts w:ascii="微软雅黑" w:hAnsi="微软雅黑"/>
                <w:sz w:val="15"/>
              </w:rPr>
              <w:t>安全</w:t>
            </w:r>
          </w:p>
        </w:tc>
        <w:tc>
          <w:tcPr>
            <w:tcW w:type="dxa" w:w="1417"/>
          </w:tcPr>
          <w:p>
            <w:pPr>
              <w:jc w:val="center"/>
            </w:pPr>
            <w:r/>
            <w:r>
              <w:rPr>
                <w:rFonts w:ascii="微软雅黑" w:hAnsi="微软雅黑"/>
                <w:sz w:val="15"/>
              </w:rPr>
              <w:t>数据泄露</w:t>
            </w:r>
          </w:p>
        </w:tc>
        <w:tc>
          <w:tcPr>
            <w:tcW w:type="dxa" w:w="454"/>
          </w:tcPr>
          <w:p>
            <w:pPr>
              <w:jc w:val="center"/>
            </w:pPr>
            <w:r/>
            <w:r>
              <w:rPr>
                <w:rFonts w:ascii="微软雅黑" w:hAnsi="微软雅黑"/>
                <w:sz w:val="15"/>
              </w:rPr>
              <w:t>2</w:t>
            </w:r>
          </w:p>
        </w:tc>
        <w:tc>
          <w:tcPr>
            <w:tcW w:type="dxa" w:w="454"/>
          </w:tcPr>
          <w:p>
            <w:pPr>
              <w:jc w:val="center"/>
            </w:pPr>
            <w:r/>
            <w:r>
              <w:rPr>
                <w:rFonts w:ascii="微软雅黑" w:hAnsi="微软雅黑"/>
                <w:sz w:val="15"/>
              </w:rPr>
              <w:t>5</w:t>
            </w:r>
          </w:p>
        </w:tc>
        <w:tc>
          <w:tcPr>
            <w:tcW w:type="dxa" w:w="454"/>
          </w:tcPr>
          <w:p>
            <w:pPr>
              <w:jc w:val="center"/>
            </w:pPr>
            <w:r/>
            <w:r>
              <w:rPr>
                <w:rFonts w:ascii="微软雅黑" w:hAnsi="微软雅黑"/>
                <w:sz w:val="15"/>
              </w:rPr>
              <w:t>10</w:t>
            </w:r>
          </w:p>
        </w:tc>
        <w:tc>
          <w:tcPr>
            <w:tcW w:type="dxa" w:w="454"/>
          </w:tcPr>
          <w:p>
            <w:pPr>
              <w:jc w:val="center"/>
            </w:pPr>
            <w:r/>
            <w:r>
              <w:rPr>
                <w:rFonts w:ascii="微软雅黑" w:hAnsi="微软雅黑"/>
                <w:sz w:val="15"/>
              </w:rPr>
              <w:t>高</w:t>
            </w:r>
          </w:p>
        </w:tc>
        <w:tc>
          <w:tcPr>
            <w:tcW w:type="dxa" w:w="1984"/>
          </w:tcPr>
          <w:p>
            <w:pPr>
              <w:jc w:val="center"/>
            </w:pPr>
            <w:r/>
            <w:r>
              <w:rPr>
                <w:rFonts w:ascii="微软雅黑" w:hAnsi="微软雅黑"/>
                <w:sz w:val="15"/>
              </w:rPr>
              <w:t>SDL+零信任+SIEM+双人审批</w:t>
            </w:r>
          </w:p>
        </w:tc>
      </w:tr>
      <w:tr>
        <w:tc>
          <w:tcPr>
            <w:tcW w:type="dxa" w:w="567"/>
            <w:shd w:fill="F0F4FA"/>
          </w:tcPr>
          <w:p>
            <w:pPr>
              <w:jc w:val="center"/>
            </w:pPr>
            <w:r/>
            <w:r>
              <w:rPr>
                <w:rFonts w:ascii="微软雅黑" w:hAnsi="微软雅黑"/>
                <w:sz w:val="15"/>
              </w:rPr>
              <w:t>R-06</w:t>
            </w:r>
          </w:p>
        </w:tc>
        <w:tc>
          <w:tcPr>
            <w:tcW w:type="dxa" w:w="567"/>
            <w:shd w:fill="F0F4FA"/>
          </w:tcPr>
          <w:p>
            <w:pPr>
              <w:jc w:val="center"/>
            </w:pPr>
            <w:r/>
            <w:r>
              <w:rPr>
                <w:rFonts w:ascii="微软雅黑" w:hAnsi="微软雅黑"/>
                <w:sz w:val="15"/>
              </w:rPr>
              <w:t>安全</w:t>
            </w:r>
          </w:p>
        </w:tc>
        <w:tc>
          <w:tcPr>
            <w:tcW w:type="dxa" w:w="1417"/>
            <w:shd w:fill="F0F4FA"/>
          </w:tcPr>
          <w:p>
            <w:pPr>
              <w:jc w:val="center"/>
            </w:pPr>
            <w:r/>
            <w:r>
              <w:rPr>
                <w:rFonts w:ascii="微软雅黑" w:hAnsi="微软雅黑"/>
                <w:sz w:val="15"/>
              </w:rPr>
              <w:t>密钥管理安全</w:t>
            </w:r>
          </w:p>
        </w:tc>
        <w:tc>
          <w:tcPr>
            <w:tcW w:type="dxa" w:w="454"/>
            <w:shd w:fill="F0F4FA"/>
          </w:tcPr>
          <w:p>
            <w:pPr>
              <w:jc w:val="center"/>
            </w:pPr>
            <w:r/>
            <w:r>
              <w:rPr>
                <w:rFonts w:ascii="微软雅黑" w:hAnsi="微软雅黑"/>
                <w:sz w:val="15"/>
              </w:rPr>
              <w:t>2</w:t>
            </w:r>
          </w:p>
        </w:tc>
        <w:tc>
          <w:tcPr>
            <w:tcW w:type="dxa" w:w="454"/>
            <w:shd w:fill="F0F4FA"/>
          </w:tcPr>
          <w:p>
            <w:pPr>
              <w:jc w:val="center"/>
            </w:pPr>
            <w:r/>
            <w:r>
              <w:rPr>
                <w:rFonts w:ascii="微软雅黑" w:hAnsi="微软雅黑"/>
                <w:sz w:val="15"/>
              </w:rPr>
              <w:t>5</w:t>
            </w:r>
          </w:p>
        </w:tc>
        <w:tc>
          <w:tcPr>
            <w:tcW w:type="dxa" w:w="454"/>
            <w:shd w:fill="F0F4FA"/>
          </w:tcPr>
          <w:p>
            <w:pPr>
              <w:jc w:val="center"/>
            </w:pPr>
            <w:r/>
            <w:r>
              <w:rPr>
                <w:rFonts w:ascii="微软雅黑" w:hAnsi="微软雅黑"/>
                <w:sz w:val="15"/>
              </w:rPr>
              <w:t>10</w:t>
            </w:r>
          </w:p>
        </w:tc>
        <w:tc>
          <w:tcPr>
            <w:tcW w:type="dxa" w:w="454"/>
            <w:shd w:fill="F0F4FA"/>
          </w:tcPr>
          <w:p>
            <w:pPr>
              <w:jc w:val="center"/>
            </w:pPr>
            <w:r/>
            <w:r>
              <w:rPr>
                <w:rFonts w:ascii="微软雅黑" w:hAnsi="微软雅黑"/>
                <w:sz w:val="15"/>
              </w:rPr>
              <w:t>高</w:t>
            </w:r>
          </w:p>
        </w:tc>
        <w:tc>
          <w:tcPr>
            <w:tcW w:type="dxa" w:w="1984"/>
            <w:shd w:fill="F0F4FA"/>
          </w:tcPr>
          <w:p>
            <w:pPr>
              <w:jc w:val="center"/>
            </w:pPr>
            <w:r/>
            <w:r>
              <w:rPr>
                <w:rFonts w:ascii="微软雅黑" w:hAnsi="微软雅黑"/>
                <w:sz w:val="15"/>
              </w:rPr>
              <w:t>HSM/KMS+分级管理+秘密共享</w:t>
            </w:r>
          </w:p>
        </w:tc>
      </w:tr>
      <w:tr>
        <w:tc>
          <w:tcPr>
            <w:tcW w:type="dxa" w:w="567"/>
          </w:tcPr>
          <w:p>
            <w:pPr>
              <w:jc w:val="center"/>
            </w:pPr>
            <w:r/>
            <w:r>
              <w:rPr>
                <w:rFonts w:ascii="微软雅黑" w:hAnsi="微软雅黑"/>
                <w:sz w:val="15"/>
              </w:rPr>
              <w:t>R-07</w:t>
            </w:r>
          </w:p>
        </w:tc>
        <w:tc>
          <w:tcPr>
            <w:tcW w:type="dxa" w:w="567"/>
          </w:tcPr>
          <w:p>
            <w:pPr>
              <w:jc w:val="center"/>
            </w:pPr>
            <w:r/>
            <w:r>
              <w:rPr>
                <w:rFonts w:ascii="微软雅黑" w:hAnsi="微软雅黑"/>
                <w:sz w:val="15"/>
              </w:rPr>
              <w:t>安全</w:t>
            </w:r>
          </w:p>
        </w:tc>
        <w:tc>
          <w:tcPr>
            <w:tcW w:type="dxa" w:w="1417"/>
          </w:tcPr>
          <w:p>
            <w:pPr>
              <w:jc w:val="center"/>
            </w:pPr>
            <w:r/>
            <w:r>
              <w:rPr>
                <w:rFonts w:ascii="微软雅黑" w:hAnsi="微软雅黑"/>
                <w:sz w:val="15"/>
              </w:rPr>
              <w:t>合规风险</w:t>
            </w:r>
          </w:p>
        </w:tc>
        <w:tc>
          <w:tcPr>
            <w:tcW w:type="dxa" w:w="454"/>
          </w:tcPr>
          <w:p>
            <w:pPr>
              <w:jc w:val="center"/>
            </w:pPr>
            <w:r/>
            <w:r>
              <w:rPr>
                <w:rFonts w:ascii="微软雅黑" w:hAnsi="微软雅黑"/>
                <w:sz w:val="15"/>
              </w:rPr>
              <w:t>2</w:t>
            </w:r>
          </w:p>
        </w:tc>
        <w:tc>
          <w:tcPr>
            <w:tcW w:type="dxa" w:w="454"/>
          </w:tcPr>
          <w:p>
            <w:pPr>
              <w:jc w:val="center"/>
            </w:pPr>
            <w:r/>
            <w:r>
              <w:rPr>
                <w:rFonts w:ascii="微软雅黑" w:hAnsi="微软雅黑"/>
                <w:sz w:val="15"/>
              </w:rPr>
              <w:t>4</w:t>
            </w:r>
          </w:p>
        </w:tc>
        <w:tc>
          <w:tcPr>
            <w:tcW w:type="dxa" w:w="454"/>
          </w:tcPr>
          <w:p>
            <w:pPr>
              <w:jc w:val="center"/>
            </w:pPr>
            <w:r/>
            <w:r>
              <w:rPr>
                <w:rFonts w:ascii="微软雅黑" w:hAnsi="微软雅黑"/>
                <w:sz w:val="15"/>
              </w:rPr>
              <w:t>8</w:t>
            </w:r>
          </w:p>
        </w:tc>
        <w:tc>
          <w:tcPr>
            <w:tcW w:type="dxa" w:w="454"/>
          </w:tcPr>
          <w:p>
            <w:pPr>
              <w:jc w:val="center"/>
            </w:pPr>
            <w:r/>
            <w:r>
              <w:rPr>
                <w:rFonts w:ascii="微软雅黑" w:hAnsi="微软雅黑"/>
                <w:sz w:val="15"/>
              </w:rPr>
              <w:t>中</w:t>
            </w:r>
          </w:p>
        </w:tc>
        <w:tc>
          <w:tcPr>
            <w:tcW w:type="dxa" w:w="1984"/>
          </w:tcPr>
          <w:p>
            <w:pPr>
              <w:jc w:val="center"/>
            </w:pPr>
            <w:r/>
            <w:r>
              <w:rPr>
                <w:rFonts w:ascii="微软雅黑" w:hAnsi="微软雅黑"/>
                <w:sz w:val="15"/>
              </w:rPr>
              <w:t>法律顾问+内嵌合规+年审制度</w:t>
            </w:r>
          </w:p>
        </w:tc>
      </w:tr>
      <w:tr>
        <w:tc>
          <w:tcPr>
            <w:tcW w:type="dxa" w:w="567"/>
            <w:shd w:fill="F0F4FA"/>
          </w:tcPr>
          <w:p>
            <w:pPr>
              <w:jc w:val="center"/>
            </w:pPr>
            <w:r/>
            <w:r>
              <w:rPr>
                <w:rFonts w:ascii="微软雅黑" w:hAnsi="微软雅黑"/>
                <w:sz w:val="15"/>
              </w:rPr>
              <w:t>R-08</w:t>
            </w:r>
          </w:p>
        </w:tc>
        <w:tc>
          <w:tcPr>
            <w:tcW w:type="dxa" w:w="567"/>
            <w:shd w:fill="F0F4FA"/>
          </w:tcPr>
          <w:p>
            <w:pPr>
              <w:jc w:val="center"/>
            </w:pPr>
            <w:r/>
            <w:r>
              <w:rPr>
                <w:rFonts w:ascii="微软雅黑" w:hAnsi="微软雅黑"/>
                <w:sz w:val="15"/>
              </w:rPr>
              <w:t>管理</w:t>
            </w:r>
          </w:p>
        </w:tc>
        <w:tc>
          <w:tcPr>
            <w:tcW w:type="dxa" w:w="1417"/>
            <w:shd w:fill="F0F4FA"/>
          </w:tcPr>
          <w:p>
            <w:pPr>
              <w:jc w:val="center"/>
            </w:pPr>
            <w:r/>
            <w:r>
              <w:rPr>
                <w:rFonts w:ascii="微软雅黑" w:hAnsi="微软雅黑"/>
                <w:sz w:val="15"/>
              </w:rPr>
              <w:t>项目进度延期</w:t>
            </w:r>
          </w:p>
        </w:tc>
        <w:tc>
          <w:tcPr>
            <w:tcW w:type="dxa" w:w="454"/>
            <w:shd w:fill="F0F4FA"/>
          </w:tcPr>
          <w:p>
            <w:pPr>
              <w:jc w:val="center"/>
            </w:pPr>
            <w:r/>
            <w:r>
              <w:rPr>
                <w:rFonts w:ascii="微软雅黑" w:hAnsi="微软雅黑"/>
                <w:sz w:val="15"/>
              </w:rPr>
              <w:t>4</w:t>
            </w:r>
          </w:p>
        </w:tc>
        <w:tc>
          <w:tcPr>
            <w:tcW w:type="dxa" w:w="454"/>
            <w:shd w:fill="F0F4FA"/>
          </w:tcPr>
          <w:p>
            <w:pPr>
              <w:jc w:val="center"/>
            </w:pPr>
            <w:r/>
            <w:r>
              <w:rPr>
                <w:rFonts w:ascii="微软雅黑" w:hAnsi="微软雅黑"/>
                <w:sz w:val="15"/>
              </w:rPr>
              <w:t>3</w:t>
            </w:r>
          </w:p>
        </w:tc>
        <w:tc>
          <w:tcPr>
            <w:tcW w:type="dxa" w:w="454"/>
            <w:shd w:fill="F0F4FA"/>
          </w:tcPr>
          <w:p>
            <w:pPr>
              <w:jc w:val="center"/>
            </w:pPr>
            <w:r/>
            <w:r>
              <w:rPr>
                <w:rFonts w:ascii="微软雅黑" w:hAnsi="微软雅黑"/>
                <w:sz w:val="15"/>
              </w:rPr>
              <w:t>12</w:t>
            </w:r>
          </w:p>
        </w:tc>
        <w:tc>
          <w:tcPr>
            <w:tcW w:type="dxa" w:w="454"/>
            <w:shd w:fill="F0F4FA"/>
          </w:tcPr>
          <w:p>
            <w:pPr>
              <w:jc w:val="center"/>
            </w:pPr>
            <w:r/>
            <w:r>
              <w:rPr>
                <w:rFonts w:ascii="微软雅黑" w:hAnsi="微软雅黑"/>
                <w:sz w:val="15"/>
              </w:rPr>
              <w:t>高</w:t>
            </w:r>
          </w:p>
        </w:tc>
        <w:tc>
          <w:tcPr>
            <w:tcW w:type="dxa" w:w="1984"/>
            <w:shd w:fill="F0F4FA"/>
          </w:tcPr>
          <w:p>
            <w:pPr>
              <w:jc w:val="center"/>
            </w:pPr>
            <w:r/>
            <w:r>
              <w:rPr>
                <w:rFonts w:ascii="微软雅黑" w:hAnsi="微软雅黑"/>
                <w:sz w:val="15"/>
              </w:rPr>
              <w:t>敏捷开发+分批复交付+缓冲时间</w:t>
            </w:r>
          </w:p>
        </w:tc>
      </w:tr>
      <w:tr>
        <w:tc>
          <w:tcPr>
            <w:tcW w:type="dxa" w:w="567"/>
          </w:tcPr>
          <w:p>
            <w:pPr>
              <w:jc w:val="center"/>
            </w:pPr>
            <w:r/>
            <w:r>
              <w:rPr>
                <w:rFonts w:ascii="微软雅黑" w:hAnsi="微软雅黑"/>
                <w:sz w:val="15"/>
              </w:rPr>
              <w:t>R-09</w:t>
            </w:r>
          </w:p>
        </w:tc>
        <w:tc>
          <w:tcPr>
            <w:tcW w:type="dxa" w:w="567"/>
          </w:tcPr>
          <w:p>
            <w:pPr>
              <w:jc w:val="center"/>
            </w:pPr>
            <w:r/>
            <w:r>
              <w:rPr>
                <w:rFonts w:ascii="微软雅黑" w:hAnsi="微软雅黑"/>
                <w:sz w:val="15"/>
              </w:rPr>
              <w:t>管理</w:t>
            </w:r>
          </w:p>
        </w:tc>
        <w:tc>
          <w:tcPr>
            <w:tcW w:type="dxa" w:w="1417"/>
          </w:tcPr>
          <w:p>
            <w:pPr>
              <w:jc w:val="center"/>
            </w:pPr>
            <w:r/>
            <w:r>
              <w:rPr>
                <w:rFonts w:ascii="微软雅黑" w:hAnsi="微软雅黑"/>
                <w:sz w:val="15"/>
              </w:rPr>
              <w:t>核心技术人才流失</w:t>
            </w:r>
          </w:p>
        </w:tc>
        <w:tc>
          <w:tcPr>
            <w:tcW w:type="dxa" w:w="454"/>
          </w:tcPr>
          <w:p>
            <w:pPr>
              <w:jc w:val="center"/>
            </w:pPr>
            <w:r/>
            <w:r>
              <w:rPr>
                <w:rFonts w:ascii="微软雅黑" w:hAnsi="微软雅黑"/>
                <w:sz w:val="15"/>
              </w:rPr>
              <w:t>4</w:t>
            </w:r>
          </w:p>
        </w:tc>
        <w:tc>
          <w:tcPr>
            <w:tcW w:type="dxa" w:w="454"/>
          </w:tcPr>
          <w:p>
            <w:pPr>
              <w:jc w:val="center"/>
            </w:pPr>
            <w:r/>
            <w:r>
              <w:rPr>
                <w:rFonts w:ascii="微软雅黑" w:hAnsi="微软雅黑"/>
                <w:sz w:val="15"/>
              </w:rPr>
              <w:t>4</w:t>
            </w:r>
          </w:p>
        </w:tc>
        <w:tc>
          <w:tcPr>
            <w:tcW w:type="dxa" w:w="454"/>
          </w:tcPr>
          <w:p>
            <w:pPr>
              <w:jc w:val="center"/>
            </w:pPr>
            <w:r/>
            <w:r>
              <w:rPr>
                <w:rFonts w:ascii="微软雅黑" w:hAnsi="微软雅黑"/>
                <w:sz w:val="15"/>
              </w:rPr>
              <w:t>16</w:t>
            </w:r>
          </w:p>
        </w:tc>
        <w:tc>
          <w:tcPr>
            <w:tcW w:type="dxa" w:w="454"/>
          </w:tcPr>
          <w:p>
            <w:pPr>
              <w:jc w:val="center"/>
            </w:pPr>
            <w:r/>
            <w:r>
              <w:rPr>
                <w:rFonts w:ascii="微软雅黑" w:hAnsi="微软雅黑"/>
                <w:sz w:val="15"/>
              </w:rPr>
              <w:t>高</w:t>
            </w:r>
          </w:p>
        </w:tc>
        <w:tc>
          <w:tcPr>
            <w:tcW w:type="dxa" w:w="1984"/>
          </w:tcPr>
          <w:p>
            <w:pPr>
              <w:jc w:val="center"/>
            </w:pPr>
            <w:r/>
            <w:r>
              <w:rPr>
                <w:rFonts w:ascii="微软雅黑" w:hAnsi="微软雅黑"/>
                <w:sz w:val="15"/>
              </w:rPr>
              <w:t>校企合作+知识管理+开源协作</w:t>
            </w:r>
          </w:p>
        </w:tc>
      </w:tr>
      <w:tr>
        <w:tc>
          <w:tcPr>
            <w:tcW w:type="dxa" w:w="567"/>
            <w:shd w:fill="F0F4FA"/>
          </w:tcPr>
          <w:p>
            <w:pPr>
              <w:jc w:val="center"/>
            </w:pPr>
            <w:r/>
            <w:r>
              <w:rPr>
                <w:rFonts w:ascii="微软雅黑" w:hAnsi="微软雅黑"/>
                <w:sz w:val="15"/>
              </w:rPr>
              <w:t>R-10</w:t>
            </w:r>
          </w:p>
        </w:tc>
        <w:tc>
          <w:tcPr>
            <w:tcW w:type="dxa" w:w="567"/>
            <w:shd w:fill="F0F4FA"/>
          </w:tcPr>
          <w:p>
            <w:pPr>
              <w:jc w:val="center"/>
            </w:pPr>
            <w:r/>
            <w:r>
              <w:rPr>
                <w:rFonts w:ascii="微软雅黑" w:hAnsi="微软雅黑"/>
                <w:sz w:val="15"/>
              </w:rPr>
              <w:t>管理</w:t>
            </w:r>
          </w:p>
        </w:tc>
        <w:tc>
          <w:tcPr>
            <w:tcW w:type="dxa" w:w="1417"/>
            <w:shd w:fill="F0F4FA"/>
          </w:tcPr>
          <w:p>
            <w:pPr>
              <w:jc w:val="center"/>
            </w:pPr>
            <w:r/>
            <w:r>
              <w:rPr>
                <w:rFonts w:ascii="微软雅黑" w:hAnsi="微软雅黑"/>
                <w:sz w:val="15"/>
              </w:rPr>
              <w:t>需求变更</w:t>
            </w:r>
          </w:p>
        </w:tc>
        <w:tc>
          <w:tcPr>
            <w:tcW w:type="dxa" w:w="454"/>
            <w:shd w:fill="F0F4FA"/>
          </w:tcPr>
          <w:p>
            <w:pPr>
              <w:jc w:val="center"/>
            </w:pPr>
            <w:r/>
            <w:r>
              <w:rPr>
                <w:rFonts w:ascii="微软雅黑" w:hAnsi="微软雅黑"/>
                <w:sz w:val="15"/>
              </w:rPr>
              <w:t>3</w:t>
            </w:r>
          </w:p>
        </w:tc>
        <w:tc>
          <w:tcPr>
            <w:tcW w:type="dxa" w:w="454"/>
            <w:shd w:fill="F0F4FA"/>
          </w:tcPr>
          <w:p>
            <w:pPr>
              <w:jc w:val="center"/>
            </w:pPr>
            <w:r/>
            <w:r>
              <w:rPr>
                <w:rFonts w:ascii="微软雅黑" w:hAnsi="微软雅黑"/>
                <w:sz w:val="15"/>
              </w:rPr>
              <w:t>3</w:t>
            </w:r>
          </w:p>
        </w:tc>
        <w:tc>
          <w:tcPr>
            <w:tcW w:type="dxa" w:w="454"/>
            <w:shd w:fill="F0F4FA"/>
          </w:tcPr>
          <w:p>
            <w:pPr>
              <w:jc w:val="center"/>
            </w:pPr>
            <w:r/>
            <w:r>
              <w:rPr>
                <w:rFonts w:ascii="微软雅黑" w:hAnsi="微软雅黑"/>
                <w:sz w:val="15"/>
              </w:rPr>
              <w:t>9</w:t>
            </w:r>
          </w:p>
        </w:tc>
        <w:tc>
          <w:tcPr>
            <w:tcW w:type="dxa" w:w="454"/>
            <w:shd w:fill="F0F4FA"/>
          </w:tcPr>
          <w:p>
            <w:pPr>
              <w:jc w:val="center"/>
            </w:pPr>
            <w:r/>
            <w:r>
              <w:rPr>
                <w:rFonts w:ascii="微软雅黑" w:hAnsi="微软雅黑"/>
                <w:sz w:val="15"/>
              </w:rPr>
              <w:t>中</w:t>
            </w:r>
          </w:p>
        </w:tc>
        <w:tc>
          <w:tcPr>
            <w:tcW w:type="dxa" w:w="1984"/>
            <w:shd w:fill="F0F4FA"/>
          </w:tcPr>
          <w:p>
            <w:pPr>
              <w:jc w:val="center"/>
            </w:pPr>
            <w:r/>
            <w:r>
              <w:rPr>
                <w:rFonts w:ascii="微软雅黑" w:hAnsi="微软雅黑"/>
                <w:sz w:val="15"/>
              </w:rPr>
              <w:t>可扩展架构+变更委员会+预算预留</w:t>
            </w:r>
          </w:p>
        </w:tc>
      </w:tr>
    </w:tbl>
    <w:p/>
    <w:p>
      <w:pPr>
        <w:pStyle w:val="Heading2"/>
      </w:pPr>
      <w:r>
        <w:rPr>
          <w:rFonts w:ascii="微软雅黑" w:hAnsi="微软雅黑" w:eastAsia="微软雅黑"/>
        </w:rPr>
        <w:t>9.6  应急预案</w:t>
      </w:r>
    </w:p>
    <w:p>
      <w:pPr>
        <w:spacing w:line="360" w:lineRule="auto" w:after="120"/>
        <w:ind w:firstLine="420"/>
      </w:pPr>
      <w:r>
        <w:rPr>
          <w:rFonts w:ascii="微软雅黑" w:hAnsi="微软雅黑" w:eastAsia="微软雅黑"/>
          <w:b w:val="0"/>
          <w:sz w:val="21"/>
        </w:rPr>
        <w:t>针对高风险事项，制定以下应急响应预案：</w:t>
      </w:r>
    </w:p>
    <w:p>
      <w:pPr>
        <w:pStyle w:val="ListBullet"/>
      </w:pPr>
      <w:r>
        <w:rPr>
          <w:rFonts w:ascii="微软雅黑" w:hAnsi="微软雅黑" w:eastAsia="微软雅黑"/>
          <w:sz w:val="20"/>
        </w:rPr>
        <w:t>数据安全事件应急：成立安全应急响应小组（CSIRT），明确事件分级（I-IV级）、报告流程（发现→初步研判→升级报告→应急处置→根因分析→整改闭环）和响应时间（I级安全事件1小时响应，4小时内提交初步报告）。</w:t>
      </w:r>
    </w:p>
    <w:p>
      <w:pPr>
        <w:pStyle w:val="ListBullet"/>
      </w:pPr>
      <w:r>
        <w:rPr>
          <w:rFonts w:ascii="微软雅黑" w:hAnsi="微软雅黑" w:eastAsia="微软雅黑"/>
          <w:sz w:val="20"/>
        </w:rPr>
        <w:t>核心服务中断应急：部署服务降级策略，非核心模块故障时可自动切换为基本模式。建立服务故障热备份切换机制，主节点故障时自动切换到备节点。</w:t>
      </w:r>
    </w:p>
    <w:p>
      <w:pPr>
        <w:pStyle w:val="ListBullet"/>
      </w:pPr>
      <w:r>
        <w:rPr>
          <w:rFonts w:ascii="微软雅黑" w:hAnsi="微软雅黑" w:eastAsia="微软雅黑"/>
          <w:sz w:val="20"/>
        </w:rPr>
        <w:t>合规重大变更应急：成立合规响应专项小组，政策发布后立即评估影响。重大法规变更设置2周快速适配+1周全面测试的3周快速响应机制。</w:t>
      </w:r>
    </w:p>
    <w:p>
      <w:pPr>
        <w:pStyle w:val="ListBullet"/>
      </w:pPr>
      <w:r>
        <w:rPr>
          <w:rFonts w:ascii="微软雅黑" w:hAnsi="微软雅黑" w:eastAsia="微软雅黑"/>
          <w:sz w:val="20"/>
        </w:rPr>
        <w:t>核心技术团队流失应急：建立关键模块的"技术画像"文档，确保团队知识不流失。与外部技术咨询公司签订备用合同。</w:t>
      </w:r>
    </w:p>
    <w:p>
      <w:r>
        <w:br w:type="page"/>
      </w:r>
    </w:p>
    <w:p>
      <w:pPr>
        <w:pStyle w:val="Heading1"/>
      </w:pPr>
      <w:r>
        <w:rPr>
          <w:rFonts w:ascii="微软雅黑" w:hAnsi="微软雅黑" w:eastAsia="微软雅黑"/>
        </w:rPr>
        <w:t>参考文献</w:t>
      </w:r>
    </w:p>
    <w:p>
      <w:pPr>
        <w:spacing w:line="360" w:lineRule="auto" w:after="60"/>
      </w:pPr>
      <w:r>
        <w:rPr>
          <w:rFonts w:ascii="微软雅黑" w:hAnsi="微软雅黑" w:eastAsia="微软雅黑"/>
          <w:sz w:val="18"/>
        </w:rPr>
        <w:t>[1] 中国信息通信研究院. 全球数字经济白皮书（2024）[R]. 北京: 中国信通院, 2024.</w:t>
      </w:r>
    </w:p>
    <w:p>
      <w:pPr>
        <w:spacing w:line="360" w:lineRule="auto" w:after="60"/>
      </w:pPr>
      <w:r>
        <w:rPr>
          <w:rFonts w:ascii="微软雅黑" w:hAnsi="微软雅黑" w:eastAsia="微软雅黑"/>
          <w:sz w:val="18"/>
        </w:rPr>
        <w:t>[2] 中共中央, 国务院. 关于构建数据基础制度更好发挥数据要素作用的意见（数据二十条）[Z]. 北京, 2022-12-19.</w:t>
      </w:r>
    </w:p>
    <w:p>
      <w:pPr>
        <w:spacing w:line="360" w:lineRule="auto" w:after="60"/>
      </w:pPr>
      <w:r>
        <w:rPr>
          <w:rFonts w:ascii="微软雅黑" w:hAnsi="微软雅黑" w:eastAsia="微软雅黑"/>
          <w:sz w:val="18"/>
        </w:rPr>
        <w:t>[3] 国家数据局. 可信数据空间发展行动计划（2024-2028年）[Z]. 北京, 2024-11.</w:t>
      </w:r>
    </w:p>
    <w:p>
      <w:pPr>
        <w:spacing w:line="360" w:lineRule="auto" w:after="60"/>
      </w:pPr>
      <w:r>
        <w:rPr>
          <w:rFonts w:ascii="微软雅黑" w:hAnsi="微软雅黑" w:eastAsia="微软雅黑"/>
          <w:sz w:val="18"/>
        </w:rPr>
        <w:t>[4] 全国人民代表大会常务委员会. 中华人民共和国数据安全法[Z]. 北京, 2021-06-10.</w:t>
      </w:r>
    </w:p>
    <w:p>
      <w:pPr>
        <w:spacing w:line="360" w:lineRule="auto" w:after="60"/>
      </w:pPr>
      <w:r>
        <w:rPr>
          <w:rFonts w:ascii="微软雅黑" w:hAnsi="微软雅黑" w:eastAsia="微软雅黑"/>
          <w:sz w:val="18"/>
        </w:rPr>
        <w:t>[5] 全国人民代表大会常务委员会. 中华人民共和国个人信息保护法[Z]. 北京, 2021-08-20.</w:t>
      </w:r>
    </w:p>
    <w:p>
      <w:pPr>
        <w:spacing w:line="360" w:lineRule="auto" w:after="60"/>
      </w:pPr>
      <w:r>
        <w:rPr>
          <w:rFonts w:ascii="微软雅黑" w:hAnsi="微软雅黑" w:eastAsia="微软雅黑"/>
          <w:sz w:val="18"/>
        </w:rPr>
        <w:t>[6] European Commission. A European Strategy for Data [Z]. Brussels: COM(2020) 66 final, 2020-02-19.</w:t>
      </w:r>
    </w:p>
    <w:p>
      <w:pPr>
        <w:spacing w:line="360" w:lineRule="auto" w:after="60"/>
      </w:pPr>
      <w:r>
        <w:rPr>
          <w:rFonts w:ascii="微软雅黑" w:hAnsi="微软雅黑" w:eastAsia="微软雅黑"/>
          <w:sz w:val="18"/>
        </w:rPr>
        <w:t>[7] International Data Spaces Association (IDSA). IDS Reference Architecture Model 4.0 [S]. Berlin: IDSA, 2023.</w:t>
      </w:r>
    </w:p>
    <w:p>
      <w:pPr>
        <w:spacing w:line="360" w:lineRule="auto" w:after="60"/>
      </w:pPr>
      <w:r>
        <w:rPr>
          <w:rFonts w:ascii="微软雅黑" w:hAnsi="微软雅黑" w:eastAsia="微软雅黑"/>
          <w:sz w:val="18"/>
        </w:rPr>
        <w:t>[8] GAIA-X European Association for Data and Cloud. GAIA-X Architecture Document 22.10 [S]. Brussels, 2022.</w:t>
      </w:r>
    </w:p>
    <w:p>
      <w:pPr>
        <w:spacing w:line="360" w:lineRule="auto" w:after="60"/>
      </w:pPr>
      <w:r>
        <w:rPr>
          <w:rFonts w:ascii="微软雅黑" w:hAnsi="微软雅黑" w:eastAsia="微软雅黑"/>
          <w:sz w:val="18"/>
        </w:rPr>
        <w:t>[9] McMahan B, Moore E, Ramage D, et al. Communication-Efficient Learning of Deep Networks from Decentralized Data [C]. AISTATS, 2017.</w:t>
      </w:r>
    </w:p>
    <w:p>
      <w:pPr>
        <w:spacing w:line="360" w:lineRule="auto" w:after="60"/>
      </w:pPr>
      <w:r>
        <w:rPr>
          <w:rFonts w:ascii="微软雅黑" w:hAnsi="微软雅黑" w:eastAsia="微软雅黑"/>
          <w:sz w:val="18"/>
        </w:rPr>
        <w:t>[10] Yang Q, Liu Y, Chen T, et al. Federated Machine Learning: Concept and Applications [J]. ACM TIST, 2019, 10(2): 1-19.</w:t>
      </w:r>
    </w:p>
    <w:p>
      <w:pPr>
        <w:spacing w:line="360" w:lineRule="auto" w:after="60"/>
      </w:pPr>
      <w:r>
        <w:rPr>
          <w:rFonts w:ascii="微软雅黑" w:hAnsi="微软雅黑" w:eastAsia="微软雅黑"/>
          <w:sz w:val="18"/>
        </w:rPr>
        <w:t>[11] Costan V, Devadas S. Intel SGX Explained [R]. Cryptology ePrint Archive, Report 2016/086, 2016.</w:t>
      </w:r>
    </w:p>
    <w:p>
      <w:pPr>
        <w:spacing w:line="360" w:lineRule="auto" w:after="60"/>
      </w:pPr>
      <w:r>
        <w:rPr>
          <w:rFonts w:ascii="微软雅黑" w:hAnsi="微软雅黑" w:eastAsia="微软雅黑"/>
          <w:sz w:val="18"/>
        </w:rPr>
        <w:t>[12] Yao A C. Protocols for Secure Computations [C]. FOCS, 1982: 160-164.</w:t>
      </w:r>
    </w:p>
    <w:p>
      <w:pPr>
        <w:spacing w:line="360" w:lineRule="auto" w:after="60"/>
      </w:pPr>
      <w:r>
        <w:rPr>
          <w:rFonts w:ascii="微软雅黑" w:hAnsi="微软雅黑" w:eastAsia="微软雅黑"/>
          <w:sz w:val="18"/>
        </w:rPr>
        <w:t>[13] Gentry C. Fully Homomorphic Encryption Using Ideal Lattices [C]. STOC, 2009: 169-178.</w:t>
      </w:r>
    </w:p>
    <w:p>
      <w:pPr>
        <w:spacing w:line="360" w:lineRule="auto" w:after="60"/>
      </w:pPr>
      <w:r>
        <w:rPr>
          <w:rFonts w:ascii="微软雅黑" w:hAnsi="微软雅黑" w:eastAsia="微软雅黑"/>
          <w:sz w:val="18"/>
        </w:rPr>
        <w:t>[14] Dwork C, Roth A. The Algorithmic Foundations of Differential Privacy [J]. Foundations and Trends in TCS, 2014, 9(3-4): 211-407.</w:t>
      </w:r>
    </w:p>
    <w:p>
      <w:pPr>
        <w:spacing w:line="360" w:lineRule="auto" w:after="60"/>
      </w:pPr>
      <w:r>
        <w:rPr>
          <w:rFonts w:ascii="微软雅黑" w:hAnsi="微软雅黑" w:eastAsia="微软雅黑"/>
          <w:sz w:val="18"/>
        </w:rPr>
        <w:t>[15] World Wide Web Consortium (W3C). Decentralized Identifiers (DIDs) v1.0 [S]. W3C Recommendation, 2022-07-19.</w:t>
      </w:r>
    </w:p>
    <w:p>
      <w:pPr>
        <w:spacing w:line="360" w:lineRule="auto" w:after="60"/>
      </w:pPr>
      <w:r>
        <w:rPr>
          <w:rFonts w:ascii="微软雅黑" w:hAnsi="微软雅黑" w:eastAsia="微软雅黑"/>
          <w:sz w:val="18"/>
        </w:rPr>
        <w:t>[16] World Wide Web Consortium (W3C). Verifiable Credentials Data Model v2.0 [S]. W3C Candidate Recommendation, 2024.</w:t>
      </w:r>
    </w:p>
    <w:p>
      <w:pPr>
        <w:spacing w:line="360" w:lineRule="auto" w:after="60"/>
      </w:pPr>
      <w:r>
        <w:rPr>
          <w:rFonts w:ascii="微软雅黑" w:hAnsi="微软雅黑" w:eastAsia="微软雅黑"/>
          <w:sz w:val="18"/>
        </w:rPr>
        <w:t>[17] Nakamoto S. Bitcoin: A Peer-to-Peer Electronic Cash System [EB/OL]. 2008. https://bitcoin.org/bitcoin.pdf.</w:t>
      </w:r>
    </w:p>
    <w:p>
      <w:pPr>
        <w:spacing w:line="360" w:lineRule="auto" w:after="60"/>
      </w:pPr>
      <w:r>
        <w:rPr>
          <w:rFonts w:ascii="微软雅黑" w:hAnsi="微软雅黑" w:eastAsia="微软雅黑"/>
          <w:sz w:val="18"/>
        </w:rPr>
        <w:t>[18] Buterin V. Ethereum: A Next-Generation Smart Contract and Decentralized Application Platform [EB/OL]. 2014. https://ethereum.org/whitepaper/.</w:t>
      </w:r>
    </w:p>
    <w:p>
      <w:pPr>
        <w:spacing w:line="360" w:lineRule="auto" w:after="60"/>
      </w:pPr>
      <w:r>
        <w:rPr>
          <w:rFonts w:ascii="微软雅黑" w:hAnsi="微软雅黑" w:eastAsia="微软雅黑"/>
          <w:sz w:val="18"/>
        </w:rPr>
        <w:t>[19] 国家市场监督管理总局, 中国国家标准化管理委员会. GB/T 36073-2018 数据管理能力成熟度模型（DCMM）[S]. 北京: 中国标准出版社, 2018.</w:t>
      </w:r>
    </w:p>
    <w:p>
      <w:pPr>
        <w:spacing w:line="360" w:lineRule="auto" w:after="60"/>
      </w:pPr>
      <w:r>
        <w:rPr>
          <w:rFonts w:ascii="微软雅黑" w:hAnsi="微软雅黑" w:eastAsia="微软雅黑"/>
          <w:sz w:val="18"/>
        </w:rPr>
        <w:t>[20] 国家市场监督管理总局, 中国国家标准化管理委员会. GB/T 22239-2019 信息安全技术 网络安全等级保护基本要求[S]. 北京: 中国标准出版社, 2019.</w:t>
      </w:r>
    </w:p>
    <w:p>
      <w:pPr>
        <w:spacing w:line="360" w:lineRule="auto" w:after="60"/>
      </w:pPr>
      <w:r>
        <w:rPr>
          <w:rFonts w:ascii="微软雅黑" w:hAnsi="微软雅黑" w:eastAsia="微软雅黑"/>
          <w:sz w:val="18"/>
        </w:rPr>
        <w:t>[21] 中国电力企业联合会. DL/T 2528-2022 电力数据共享技术规范[S]. 北京: 中国电力出版社, 2022.</w:t>
      </w:r>
    </w:p>
    <w:p>
      <w:pPr>
        <w:spacing w:line="360" w:lineRule="auto" w:after="60"/>
      </w:pPr>
      <w:r>
        <w:rPr>
          <w:rFonts w:ascii="微软雅黑" w:hAnsi="微软雅黑" w:eastAsia="微软雅黑"/>
          <w:sz w:val="18"/>
        </w:rPr>
        <w:t>[22] ISO/IEC 27001:2022. Information security, cybersecurity and privacy protection — Information security management systems — Requirements [S]. Geneva: ISO, 2022.</w:t>
      </w:r>
    </w:p>
    <w:p>
      <w:pPr>
        <w:spacing w:line="360" w:lineRule="auto" w:after="60"/>
      </w:pPr>
      <w:r>
        <w:rPr>
          <w:rFonts w:ascii="微软雅黑" w:hAnsi="微软雅黑" w:eastAsia="微软雅黑"/>
          <w:sz w:val="18"/>
        </w:rPr>
        <w:t>[23] Liu Y, Kang Y, Xing C, et al. A Secure Federated Transfer Learning Framework [J]. IEEE Intelligent Systems, 2020, 35(4): 70-82.</w:t>
      </w:r>
    </w:p>
    <w:p>
      <w:pPr>
        <w:spacing w:line="360" w:lineRule="auto" w:after="60"/>
      </w:pPr>
      <w:r>
        <w:rPr>
          <w:rFonts w:ascii="微软雅黑" w:hAnsi="微软雅黑" w:eastAsia="微软雅黑"/>
          <w:sz w:val="18"/>
        </w:rPr>
        <w:t>[24] Damgard I, Pastro V, Smart N, et al. Multiparty Computation from Somewhat Homomorphic Encryption [C]. CRYPTO, 2012: 643-662.</w:t>
      </w:r>
    </w:p>
    <w:p>
      <w:pPr>
        <w:spacing w:line="360" w:lineRule="auto" w:after="60"/>
      </w:pPr>
      <w:r>
        <w:rPr>
          <w:rFonts w:ascii="微软雅黑" w:hAnsi="微软雅黑" w:eastAsia="微软雅黑"/>
          <w:sz w:val="18"/>
        </w:rPr>
        <w:t>[25] Cheon J H, Kim A, Kim M, et al. Homomorphic Encryption for Arithmetic of Approximate Numbers [C]. ASIACRYPT, 2017: 409-437.</w:t>
      </w:r>
    </w:p>
    <w:p>
      <w:pPr>
        <w:spacing w:line="360" w:lineRule="auto" w:after="60"/>
      </w:pPr>
      <w:r>
        <w:rPr>
          <w:rFonts w:ascii="微软雅黑" w:hAnsi="微软雅黑" w:eastAsia="微软雅黑"/>
          <w:sz w:val="18"/>
        </w:rPr>
        <w:t>[26] 国家发展改革委, 国家能源局. 关于加快建设新型电力系统的意见 [Z]. 北京, 2023.</w:t>
      </w:r>
    </w:p>
    <w:p>
      <w:pPr>
        <w:spacing w:line="360" w:lineRule="auto" w:after="60"/>
      </w:pPr>
      <w:r>
        <w:rPr>
          <w:rFonts w:ascii="微软雅黑" w:hAnsi="微软雅黑" w:eastAsia="微软雅黑"/>
          <w:sz w:val="18"/>
        </w:rPr>
        <w:t>[27] 国务院. 关键信息基础设施安全保护条例 [Z]. 北京: 国务院令第745号, 2021-07-30.</w:t>
      </w:r>
    </w:p>
    <w:p>
      <w:pPr>
        <w:spacing w:line="360" w:lineRule="auto" w:after="60"/>
      </w:pPr>
      <w:r>
        <w:rPr>
          <w:rFonts w:ascii="微软雅黑" w:hAnsi="微软雅黑" w:eastAsia="微软雅黑"/>
          <w:sz w:val="18"/>
        </w:rPr>
        <w:t>[28] 财政部. 企业数据资源相关会计处理暂行规定 [Z]. 北京: 财会〔2023〕11号, 2023-08-01.</w:t>
      </w:r>
    </w:p>
    <w:p>
      <w:pPr>
        <w:spacing w:line="360" w:lineRule="auto" w:after="60"/>
      </w:pPr>
      <w:r>
        <w:rPr>
          <w:rFonts w:ascii="微软雅黑" w:hAnsi="微软雅黑" w:eastAsia="微软雅黑"/>
          <w:sz w:val="18"/>
        </w:rPr>
        <w:t>[29] International Energy Agency (IEA). Digitalisation and Energy [R]. Paris: IEA, 2017.</w:t>
      </w:r>
    </w:p>
    <w:p>
      <w:pPr>
        <w:spacing w:line="360" w:lineRule="auto" w:after="60"/>
      </w:pPr>
      <w:r>
        <w:rPr>
          <w:rFonts w:ascii="微软雅黑" w:hAnsi="微软雅黑" w:eastAsia="微软雅黑"/>
          <w:sz w:val="18"/>
        </w:rPr>
        <w:t>[30] Manyika J, Chui M, Brown B, et al. Big data: The next frontier for innovation, competition, and productivity [R]. McKinsey Global Institute, 2011.</w:t>
      </w:r>
    </w:p>
    <w:p>
      <w:r>
        <w:br w:type="page"/>
      </w:r>
    </w:p>
    <w:p>
      <w:pPr>
        <w:pStyle w:val="Heading1"/>
      </w:pPr>
      <w:r>
        <w:rPr>
          <w:rFonts w:ascii="微软雅黑" w:hAnsi="微软雅黑" w:eastAsia="微软雅黑"/>
        </w:rPr>
        <w:t>附录</w:t>
      </w:r>
    </w:p>
    <w:p>
      <w:pPr>
        <w:pStyle w:val="Heading2"/>
      </w:pPr>
      <w:r>
        <w:rPr>
          <w:rFonts w:ascii="微软雅黑" w:hAnsi="微软雅黑" w:eastAsia="微软雅黑"/>
        </w:rPr>
        <w:t>附录A  术语与缩略语表</w:t>
      </w:r>
    </w:p>
    <w:p>
      <w:pPr>
        <w:spacing w:line="360" w:lineRule="auto" w:after="120"/>
        <w:jc w:val="center"/>
      </w:pPr>
      <w:r>
        <w:rPr>
          <w:rFonts w:ascii="微软雅黑" w:hAnsi="微软雅黑" w:eastAsia="微软雅黑"/>
          <w:b/>
          <w:sz w:val="18"/>
        </w:rPr>
        <w:t>表A-1  主要术语和缩略语</w:t>
      </w:r>
    </w:p>
    <w:tbl>
      <w:tblPr>
        <w:tblStyle w:val="TableGrid"/>
        <w:tblW w:type="auto" w:w="0"/>
        <w:jc w:val="center"/>
        <w:tblLook w:firstColumn="1" w:firstRow="1" w:lastColumn="0" w:lastRow="0" w:noHBand="0" w:noVBand="1" w:val="04A0"/>
      </w:tblPr>
      <w:tblGrid>
        <w:gridCol w:w="2771"/>
        <w:gridCol w:w="2771"/>
        <w:gridCol w:w="2771"/>
      </w:tblGrid>
      <w:tr>
        <w:tc>
          <w:tcPr>
            <w:tcW w:type="dxa" w:w="1417"/>
            <w:shd w:fill="1A3C6D"/>
          </w:tcPr>
          <w:p>
            <w:pPr>
              <w:jc w:val="center"/>
            </w:pPr>
            <w:r/>
            <w:r>
              <w:rPr>
                <w:rFonts w:ascii="微软雅黑" w:hAnsi="微软雅黑"/>
                <w:b/>
                <w:color w:val="FFFFFF"/>
                <w:sz w:val="16"/>
              </w:rPr>
              <w:t>术语/缩略语</w:t>
            </w:r>
          </w:p>
        </w:tc>
        <w:tc>
          <w:tcPr>
            <w:tcW w:type="dxa" w:w="2551"/>
            <w:shd w:fill="1A3C6D"/>
          </w:tcPr>
          <w:p>
            <w:pPr>
              <w:jc w:val="center"/>
            </w:pPr>
            <w:r/>
            <w:r>
              <w:rPr>
                <w:rFonts w:ascii="微软雅黑" w:hAnsi="微软雅黑"/>
                <w:b/>
                <w:color w:val="FFFFFF"/>
                <w:sz w:val="16"/>
              </w:rPr>
              <w:t>全称</w:t>
            </w:r>
          </w:p>
        </w:tc>
        <w:tc>
          <w:tcPr>
            <w:tcW w:type="dxa" w:w="1984"/>
            <w:shd w:fill="1A3C6D"/>
          </w:tcPr>
          <w:p>
            <w:pPr>
              <w:jc w:val="center"/>
            </w:pPr>
            <w:r/>
            <w:r>
              <w:rPr>
                <w:rFonts w:ascii="微软雅黑" w:hAnsi="微软雅黑"/>
                <w:b/>
                <w:color w:val="FFFFFF"/>
                <w:sz w:val="16"/>
              </w:rPr>
              <w:t>中文释义</w:t>
            </w:r>
          </w:p>
        </w:tc>
      </w:tr>
      <w:tr>
        <w:tc>
          <w:tcPr>
            <w:tcW w:type="dxa" w:w="1417"/>
          </w:tcPr>
          <w:p>
            <w:pPr>
              <w:jc w:val="center"/>
            </w:pPr>
            <w:r/>
            <w:r>
              <w:rPr>
                <w:rFonts w:ascii="微软雅黑" w:hAnsi="微软雅黑"/>
                <w:sz w:val="15"/>
              </w:rPr>
              <w:t>TDS</w:t>
            </w:r>
          </w:p>
        </w:tc>
        <w:tc>
          <w:tcPr>
            <w:tcW w:type="dxa" w:w="2551"/>
          </w:tcPr>
          <w:p>
            <w:pPr>
              <w:jc w:val="center"/>
            </w:pPr>
            <w:r/>
            <w:r>
              <w:rPr>
                <w:rFonts w:ascii="微软雅黑" w:hAnsi="微软雅黑"/>
                <w:sz w:val="15"/>
              </w:rPr>
              <w:t>Trusted Data Space</w:t>
            </w:r>
          </w:p>
        </w:tc>
        <w:tc>
          <w:tcPr>
            <w:tcW w:type="dxa" w:w="1984"/>
          </w:tcPr>
          <w:p>
            <w:pPr>
              <w:jc w:val="center"/>
            </w:pPr>
            <w:r/>
            <w:r>
              <w:rPr>
                <w:rFonts w:ascii="微软雅黑" w:hAnsi="微软雅黑"/>
                <w:sz w:val="15"/>
              </w:rPr>
              <w:t>可信数据空间</w:t>
            </w:r>
          </w:p>
        </w:tc>
      </w:tr>
      <w:tr>
        <w:tc>
          <w:tcPr>
            <w:tcW w:type="dxa" w:w="1417"/>
            <w:shd w:fill="F0F4FA"/>
          </w:tcPr>
          <w:p>
            <w:pPr>
              <w:jc w:val="center"/>
            </w:pPr>
            <w:r/>
            <w:r>
              <w:rPr>
                <w:rFonts w:ascii="微软雅黑" w:hAnsi="微软雅黑"/>
                <w:sz w:val="15"/>
              </w:rPr>
              <w:t>ETDS</w:t>
            </w:r>
          </w:p>
        </w:tc>
        <w:tc>
          <w:tcPr>
            <w:tcW w:type="dxa" w:w="2551"/>
            <w:shd w:fill="F0F4FA"/>
          </w:tcPr>
          <w:p>
            <w:pPr>
              <w:jc w:val="center"/>
            </w:pPr>
            <w:r/>
            <w:r>
              <w:rPr>
                <w:rFonts w:ascii="微软雅黑" w:hAnsi="微软雅黑"/>
                <w:sz w:val="15"/>
              </w:rPr>
              <w:t>Energy Trusted Data Space</w:t>
            </w:r>
          </w:p>
        </w:tc>
        <w:tc>
          <w:tcPr>
            <w:tcW w:type="dxa" w:w="1984"/>
            <w:shd w:fill="F0F4FA"/>
          </w:tcPr>
          <w:p>
            <w:pPr>
              <w:jc w:val="center"/>
            </w:pPr>
            <w:r/>
            <w:r>
              <w:rPr>
                <w:rFonts w:ascii="微软雅黑" w:hAnsi="微软雅黑"/>
                <w:sz w:val="15"/>
              </w:rPr>
              <w:t>能源可信数据空间</w:t>
            </w:r>
          </w:p>
        </w:tc>
      </w:tr>
      <w:tr>
        <w:tc>
          <w:tcPr>
            <w:tcW w:type="dxa" w:w="1417"/>
          </w:tcPr>
          <w:p>
            <w:pPr>
              <w:jc w:val="center"/>
            </w:pPr>
            <w:r/>
            <w:r>
              <w:rPr>
                <w:rFonts w:ascii="微软雅黑" w:hAnsi="微软雅黑"/>
                <w:sz w:val="15"/>
              </w:rPr>
              <w:t>FL</w:t>
            </w:r>
          </w:p>
        </w:tc>
        <w:tc>
          <w:tcPr>
            <w:tcW w:type="dxa" w:w="2551"/>
          </w:tcPr>
          <w:p>
            <w:pPr>
              <w:jc w:val="center"/>
            </w:pPr>
            <w:r/>
            <w:r>
              <w:rPr>
                <w:rFonts w:ascii="微软雅黑" w:hAnsi="微软雅黑"/>
                <w:sz w:val="15"/>
              </w:rPr>
              <w:t>Federated Learning</w:t>
            </w:r>
          </w:p>
        </w:tc>
        <w:tc>
          <w:tcPr>
            <w:tcW w:type="dxa" w:w="1984"/>
          </w:tcPr>
          <w:p>
            <w:pPr>
              <w:jc w:val="center"/>
            </w:pPr>
            <w:r/>
            <w:r>
              <w:rPr>
                <w:rFonts w:ascii="微软雅黑" w:hAnsi="微软雅黑"/>
                <w:sz w:val="15"/>
              </w:rPr>
              <w:t>联邦学习</w:t>
            </w:r>
          </w:p>
        </w:tc>
      </w:tr>
      <w:tr>
        <w:tc>
          <w:tcPr>
            <w:tcW w:type="dxa" w:w="1417"/>
            <w:shd w:fill="F0F4FA"/>
          </w:tcPr>
          <w:p>
            <w:pPr>
              <w:jc w:val="center"/>
            </w:pPr>
            <w:r/>
            <w:r>
              <w:rPr>
                <w:rFonts w:ascii="微软雅黑" w:hAnsi="微软雅黑"/>
                <w:sz w:val="15"/>
              </w:rPr>
              <w:t>TEE</w:t>
            </w:r>
          </w:p>
        </w:tc>
        <w:tc>
          <w:tcPr>
            <w:tcW w:type="dxa" w:w="2551"/>
            <w:shd w:fill="F0F4FA"/>
          </w:tcPr>
          <w:p>
            <w:pPr>
              <w:jc w:val="center"/>
            </w:pPr>
            <w:r/>
            <w:r>
              <w:rPr>
                <w:rFonts w:ascii="微软雅黑" w:hAnsi="微软雅黑"/>
                <w:sz w:val="15"/>
              </w:rPr>
              <w:t>Trusted Execution Environment</w:t>
            </w:r>
          </w:p>
        </w:tc>
        <w:tc>
          <w:tcPr>
            <w:tcW w:type="dxa" w:w="1984"/>
            <w:shd w:fill="F0F4FA"/>
          </w:tcPr>
          <w:p>
            <w:pPr>
              <w:jc w:val="center"/>
            </w:pPr>
            <w:r/>
            <w:r>
              <w:rPr>
                <w:rFonts w:ascii="微软雅黑" w:hAnsi="微软雅黑"/>
                <w:sz w:val="15"/>
              </w:rPr>
              <w:t>可信执行环境</w:t>
            </w:r>
          </w:p>
        </w:tc>
      </w:tr>
      <w:tr>
        <w:tc>
          <w:tcPr>
            <w:tcW w:type="dxa" w:w="1417"/>
          </w:tcPr>
          <w:p>
            <w:pPr>
              <w:jc w:val="center"/>
            </w:pPr>
            <w:r/>
            <w:r>
              <w:rPr>
                <w:rFonts w:ascii="微软雅黑" w:hAnsi="微软雅黑"/>
                <w:sz w:val="15"/>
              </w:rPr>
              <w:t>SGX</w:t>
            </w:r>
          </w:p>
        </w:tc>
        <w:tc>
          <w:tcPr>
            <w:tcW w:type="dxa" w:w="2551"/>
          </w:tcPr>
          <w:p>
            <w:pPr>
              <w:jc w:val="center"/>
            </w:pPr>
            <w:r/>
            <w:r>
              <w:rPr>
                <w:rFonts w:ascii="微软雅黑" w:hAnsi="微软雅黑"/>
                <w:sz w:val="15"/>
              </w:rPr>
              <w:t>Software Guard Extensions</w:t>
            </w:r>
          </w:p>
        </w:tc>
        <w:tc>
          <w:tcPr>
            <w:tcW w:type="dxa" w:w="1984"/>
          </w:tcPr>
          <w:p>
            <w:pPr>
              <w:jc w:val="center"/>
            </w:pPr>
            <w:r/>
            <w:r>
              <w:rPr>
                <w:rFonts w:ascii="微软雅黑" w:hAnsi="微软雅黑"/>
                <w:sz w:val="15"/>
              </w:rPr>
              <w:t>Intel安全扩展指令集</w:t>
            </w:r>
          </w:p>
        </w:tc>
      </w:tr>
      <w:tr>
        <w:tc>
          <w:tcPr>
            <w:tcW w:type="dxa" w:w="1417"/>
            <w:shd w:fill="F0F4FA"/>
          </w:tcPr>
          <w:p>
            <w:pPr>
              <w:jc w:val="center"/>
            </w:pPr>
            <w:r/>
            <w:r>
              <w:rPr>
                <w:rFonts w:ascii="微软雅黑" w:hAnsi="微软雅黑"/>
                <w:sz w:val="15"/>
              </w:rPr>
              <w:t>MPC</w:t>
            </w:r>
          </w:p>
        </w:tc>
        <w:tc>
          <w:tcPr>
            <w:tcW w:type="dxa" w:w="2551"/>
            <w:shd w:fill="F0F4FA"/>
          </w:tcPr>
          <w:p>
            <w:pPr>
              <w:jc w:val="center"/>
            </w:pPr>
            <w:r/>
            <w:r>
              <w:rPr>
                <w:rFonts w:ascii="微软雅黑" w:hAnsi="微软雅黑"/>
                <w:sz w:val="15"/>
              </w:rPr>
              <w:t>Secure Multi-Party Computation</w:t>
            </w:r>
          </w:p>
        </w:tc>
        <w:tc>
          <w:tcPr>
            <w:tcW w:type="dxa" w:w="1984"/>
            <w:shd w:fill="F0F4FA"/>
          </w:tcPr>
          <w:p>
            <w:pPr>
              <w:jc w:val="center"/>
            </w:pPr>
            <w:r/>
            <w:r>
              <w:rPr>
                <w:rFonts w:ascii="微软雅黑" w:hAnsi="微软雅黑"/>
                <w:sz w:val="15"/>
              </w:rPr>
              <w:t>安全多方计算</w:t>
            </w:r>
          </w:p>
        </w:tc>
      </w:tr>
      <w:tr>
        <w:tc>
          <w:tcPr>
            <w:tcW w:type="dxa" w:w="1417"/>
          </w:tcPr>
          <w:p>
            <w:pPr>
              <w:jc w:val="center"/>
            </w:pPr>
            <w:r/>
            <w:r>
              <w:rPr>
                <w:rFonts w:ascii="微软雅黑" w:hAnsi="微软雅黑"/>
                <w:sz w:val="15"/>
              </w:rPr>
              <w:t>HE</w:t>
            </w:r>
          </w:p>
        </w:tc>
        <w:tc>
          <w:tcPr>
            <w:tcW w:type="dxa" w:w="2551"/>
          </w:tcPr>
          <w:p>
            <w:pPr>
              <w:jc w:val="center"/>
            </w:pPr>
            <w:r/>
            <w:r>
              <w:rPr>
                <w:rFonts w:ascii="微软雅黑" w:hAnsi="微软雅黑"/>
                <w:sz w:val="15"/>
              </w:rPr>
              <w:t>Homomorphic Encryption</w:t>
            </w:r>
          </w:p>
        </w:tc>
        <w:tc>
          <w:tcPr>
            <w:tcW w:type="dxa" w:w="1984"/>
          </w:tcPr>
          <w:p>
            <w:pPr>
              <w:jc w:val="center"/>
            </w:pPr>
            <w:r/>
            <w:r>
              <w:rPr>
                <w:rFonts w:ascii="微软雅黑" w:hAnsi="微软雅黑"/>
                <w:sz w:val="15"/>
              </w:rPr>
              <w:t>同态加密</w:t>
            </w:r>
          </w:p>
        </w:tc>
      </w:tr>
      <w:tr>
        <w:tc>
          <w:tcPr>
            <w:tcW w:type="dxa" w:w="1417"/>
            <w:shd w:fill="F0F4FA"/>
          </w:tcPr>
          <w:p>
            <w:pPr>
              <w:jc w:val="center"/>
            </w:pPr>
            <w:r/>
            <w:r>
              <w:rPr>
                <w:rFonts w:ascii="微软雅黑" w:hAnsi="微软雅黑"/>
                <w:sz w:val="15"/>
              </w:rPr>
              <w:t>DP</w:t>
            </w:r>
          </w:p>
        </w:tc>
        <w:tc>
          <w:tcPr>
            <w:tcW w:type="dxa" w:w="2551"/>
            <w:shd w:fill="F0F4FA"/>
          </w:tcPr>
          <w:p>
            <w:pPr>
              <w:jc w:val="center"/>
            </w:pPr>
            <w:r/>
            <w:r>
              <w:rPr>
                <w:rFonts w:ascii="微软雅黑" w:hAnsi="微软雅黑"/>
                <w:sz w:val="15"/>
              </w:rPr>
              <w:t>Differential Privacy</w:t>
            </w:r>
          </w:p>
        </w:tc>
        <w:tc>
          <w:tcPr>
            <w:tcW w:type="dxa" w:w="1984"/>
            <w:shd w:fill="F0F4FA"/>
          </w:tcPr>
          <w:p>
            <w:pPr>
              <w:jc w:val="center"/>
            </w:pPr>
            <w:r/>
            <w:r>
              <w:rPr>
                <w:rFonts w:ascii="微软雅黑" w:hAnsi="微软雅黑"/>
                <w:sz w:val="15"/>
              </w:rPr>
              <w:t>差分隐私</w:t>
            </w:r>
          </w:p>
        </w:tc>
      </w:tr>
      <w:tr>
        <w:tc>
          <w:tcPr>
            <w:tcW w:type="dxa" w:w="1417"/>
          </w:tcPr>
          <w:p>
            <w:pPr>
              <w:jc w:val="center"/>
            </w:pPr>
            <w:r/>
            <w:r>
              <w:rPr>
                <w:rFonts w:ascii="微软雅黑" w:hAnsi="微软雅黑"/>
                <w:sz w:val="15"/>
              </w:rPr>
              <w:t>DID</w:t>
            </w:r>
          </w:p>
        </w:tc>
        <w:tc>
          <w:tcPr>
            <w:tcW w:type="dxa" w:w="2551"/>
          </w:tcPr>
          <w:p>
            <w:pPr>
              <w:jc w:val="center"/>
            </w:pPr>
            <w:r/>
            <w:r>
              <w:rPr>
                <w:rFonts w:ascii="微软雅黑" w:hAnsi="微软雅黑"/>
                <w:sz w:val="15"/>
              </w:rPr>
              <w:t>Decentralized Identifier</w:t>
            </w:r>
          </w:p>
        </w:tc>
        <w:tc>
          <w:tcPr>
            <w:tcW w:type="dxa" w:w="1984"/>
          </w:tcPr>
          <w:p>
            <w:pPr>
              <w:jc w:val="center"/>
            </w:pPr>
            <w:r/>
            <w:r>
              <w:rPr>
                <w:rFonts w:ascii="微软雅黑" w:hAnsi="微软雅黑"/>
                <w:sz w:val="15"/>
              </w:rPr>
              <w:t>去中心化标识符</w:t>
            </w:r>
          </w:p>
        </w:tc>
      </w:tr>
      <w:tr>
        <w:tc>
          <w:tcPr>
            <w:tcW w:type="dxa" w:w="1417"/>
            <w:shd w:fill="F0F4FA"/>
          </w:tcPr>
          <w:p>
            <w:pPr>
              <w:jc w:val="center"/>
            </w:pPr>
            <w:r/>
            <w:r>
              <w:rPr>
                <w:rFonts w:ascii="微软雅黑" w:hAnsi="微软雅黑"/>
                <w:sz w:val="15"/>
              </w:rPr>
              <w:t>VC</w:t>
            </w:r>
          </w:p>
        </w:tc>
        <w:tc>
          <w:tcPr>
            <w:tcW w:type="dxa" w:w="2551"/>
            <w:shd w:fill="F0F4FA"/>
          </w:tcPr>
          <w:p>
            <w:pPr>
              <w:jc w:val="center"/>
            </w:pPr>
            <w:r/>
            <w:r>
              <w:rPr>
                <w:rFonts w:ascii="微软雅黑" w:hAnsi="微软雅黑"/>
                <w:sz w:val="15"/>
              </w:rPr>
              <w:t>Verifiable Credential</w:t>
            </w:r>
          </w:p>
        </w:tc>
        <w:tc>
          <w:tcPr>
            <w:tcW w:type="dxa" w:w="1984"/>
            <w:shd w:fill="F0F4FA"/>
          </w:tcPr>
          <w:p>
            <w:pPr>
              <w:jc w:val="center"/>
            </w:pPr>
            <w:r/>
            <w:r>
              <w:rPr>
                <w:rFonts w:ascii="微软雅黑" w:hAnsi="微软雅黑"/>
                <w:sz w:val="15"/>
              </w:rPr>
              <w:t>可验证凭证</w:t>
            </w:r>
          </w:p>
        </w:tc>
      </w:tr>
      <w:tr>
        <w:tc>
          <w:tcPr>
            <w:tcW w:type="dxa" w:w="1417"/>
          </w:tcPr>
          <w:p>
            <w:pPr>
              <w:jc w:val="center"/>
            </w:pPr>
            <w:r/>
            <w:r>
              <w:rPr>
                <w:rFonts w:ascii="微软雅黑" w:hAnsi="微软雅黑"/>
                <w:sz w:val="15"/>
              </w:rPr>
              <w:t>IDSA</w:t>
            </w:r>
          </w:p>
        </w:tc>
        <w:tc>
          <w:tcPr>
            <w:tcW w:type="dxa" w:w="2551"/>
          </w:tcPr>
          <w:p>
            <w:pPr>
              <w:jc w:val="center"/>
            </w:pPr>
            <w:r/>
            <w:r>
              <w:rPr>
                <w:rFonts w:ascii="微软雅黑" w:hAnsi="微软雅黑"/>
                <w:sz w:val="15"/>
              </w:rPr>
              <w:t>International Data Spaces Association</w:t>
            </w:r>
          </w:p>
        </w:tc>
        <w:tc>
          <w:tcPr>
            <w:tcW w:type="dxa" w:w="1984"/>
          </w:tcPr>
          <w:p>
            <w:pPr>
              <w:jc w:val="center"/>
            </w:pPr>
            <w:r/>
            <w:r>
              <w:rPr>
                <w:rFonts w:ascii="微软雅黑" w:hAnsi="微软雅黑"/>
                <w:sz w:val="15"/>
              </w:rPr>
              <w:t>国际数据空间协会</w:t>
            </w:r>
          </w:p>
        </w:tc>
      </w:tr>
      <w:tr>
        <w:tc>
          <w:tcPr>
            <w:tcW w:type="dxa" w:w="1417"/>
            <w:shd w:fill="F0F4FA"/>
          </w:tcPr>
          <w:p>
            <w:pPr>
              <w:jc w:val="center"/>
            </w:pPr>
            <w:r/>
            <w:r>
              <w:rPr>
                <w:rFonts w:ascii="微软雅黑" w:hAnsi="微软雅黑"/>
                <w:sz w:val="15"/>
              </w:rPr>
              <w:t>PSI</w:t>
            </w:r>
          </w:p>
        </w:tc>
        <w:tc>
          <w:tcPr>
            <w:tcW w:type="dxa" w:w="2551"/>
            <w:shd w:fill="F0F4FA"/>
          </w:tcPr>
          <w:p>
            <w:pPr>
              <w:jc w:val="center"/>
            </w:pPr>
            <w:r/>
            <w:r>
              <w:rPr>
                <w:rFonts w:ascii="微软雅黑" w:hAnsi="微软雅黑"/>
                <w:sz w:val="15"/>
              </w:rPr>
              <w:t>Private Set Intersection</w:t>
            </w:r>
          </w:p>
        </w:tc>
        <w:tc>
          <w:tcPr>
            <w:tcW w:type="dxa" w:w="1984"/>
            <w:shd w:fill="F0F4FA"/>
          </w:tcPr>
          <w:p>
            <w:pPr>
              <w:jc w:val="center"/>
            </w:pPr>
            <w:r/>
            <w:r>
              <w:rPr>
                <w:rFonts w:ascii="微软雅黑" w:hAnsi="微软雅黑"/>
                <w:sz w:val="15"/>
              </w:rPr>
              <w:t>隐私集合求交</w:t>
            </w:r>
          </w:p>
        </w:tc>
      </w:tr>
      <w:tr>
        <w:tc>
          <w:tcPr>
            <w:tcW w:type="dxa" w:w="1417"/>
          </w:tcPr>
          <w:p>
            <w:pPr>
              <w:jc w:val="center"/>
            </w:pPr>
            <w:r/>
            <w:r>
              <w:rPr>
                <w:rFonts w:ascii="微软雅黑" w:hAnsi="微软雅黑"/>
                <w:sz w:val="15"/>
              </w:rPr>
              <w:t>ZKP</w:t>
            </w:r>
          </w:p>
        </w:tc>
        <w:tc>
          <w:tcPr>
            <w:tcW w:type="dxa" w:w="2551"/>
          </w:tcPr>
          <w:p>
            <w:pPr>
              <w:jc w:val="center"/>
            </w:pPr>
            <w:r/>
            <w:r>
              <w:rPr>
                <w:rFonts w:ascii="微软雅黑" w:hAnsi="微软雅黑"/>
                <w:sz w:val="15"/>
              </w:rPr>
              <w:t>Zero-Knowledge Proof</w:t>
            </w:r>
          </w:p>
        </w:tc>
        <w:tc>
          <w:tcPr>
            <w:tcW w:type="dxa" w:w="1984"/>
          </w:tcPr>
          <w:p>
            <w:pPr>
              <w:jc w:val="center"/>
            </w:pPr>
            <w:r/>
            <w:r>
              <w:rPr>
                <w:rFonts w:ascii="微软雅黑" w:hAnsi="微软雅黑"/>
                <w:sz w:val="15"/>
              </w:rPr>
              <w:t>零知识证明</w:t>
            </w:r>
          </w:p>
        </w:tc>
      </w:tr>
      <w:tr>
        <w:tc>
          <w:tcPr>
            <w:tcW w:type="dxa" w:w="1417"/>
            <w:shd w:fill="F0F4FA"/>
          </w:tcPr>
          <w:p>
            <w:pPr>
              <w:jc w:val="center"/>
            </w:pPr>
            <w:r/>
            <w:r>
              <w:rPr>
                <w:rFonts w:ascii="微软雅黑" w:hAnsi="微软雅黑"/>
                <w:sz w:val="15"/>
              </w:rPr>
              <w:t>RBAC</w:t>
            </w:r>
          </w:p>
        </w:tc>
        <w:tc>
          <w:tcPr>
            <w:tcW w:type="dxa" w:w="2551"/>
            <w:shd w:fill="F0F4FA"/>
          </w:tcPr>
          <w:p>
            <w:pPr>
              <w:jc w:val="center"/>
            </w:pPr>
            <w:r/>
            <w:r>
              <w:rPr>
                <w:rFonts w:ascii="微软雅黑" w:hAnsi="微软雅黑"/>
                <w:sz w:val="15"/>
              </w:rPr>
              <w:t>Role-Based Access Control</w:t>
            </w:r>
          </w:p>
        </w:tc>
        <w:tc>
          <w:tcPr>
            <w:tcW w:type="dxa" w:w="1984"/>
            <w:shd w:fill="F0F4FA"/>
          </w:tcPr>
          <w:p>
            <w:pPr>
              <w:jc w:val="center"/>
            </w:pPr>
            <w:r/>
            <w:r>
              <w:rPr>
                <w:rFonts w:ascii="微软雅黑" w:hAnsi="微软雅黑"/>
                <w:sz w:val="15"/>
              </w:rPr>
              <w:t>基于角色的访问控制</w:t>
            </w:r>
          </w:p>
        </w:tc>
      </w:tr>
      <w:tr>
        <w:tc>
          <w:tcPr>
            <w:tcW w:type="dxa" w:w="1417"/>
          </w:tcPr>
          <w:p>
            <w:pPr>
              <w:jc w:val="center"/>
            </w:pPr>
            <w:r/>
            <w:r>
              <w:rPr>
                <w:rFonts w:ascii="微软雅黑" w:hAnsi="微软雅黑"/>
                <w:sz w:val="15"/>
              </w:rPr>
              <w:t>ABAC</w:t>
            </w:r>
          </w:p>
        </w:tc>
        <w:tc>
          <w:tcPr>
            <w:tcW w:type="dxa" w:w="2551"/>
          </w:tcPr>
          <w:p>
            <w:pPr>
              <w:jc w:val="center"/>
            </w:pPr>
            <w:r/>
            <w:r>
              <w:rPr>
                <w:rFonts w:ascii="微软雅黑" w:hAnsi="微软雅黑"/>
                <w:sz w:val="15"/>
              </w:rPr>
              <w:t>Attribute-Based Access Control</w:t>
            </w:r>
          </w:p>
        </w:tc>
        <w:tc>
          <w:tcPr>
            <w:tcW w:type="dxa" w:w="1984"/>
          </w:tcPr>
          <w:p>
            <w:pPr>
              <w:jc w:val="center"/>
            </w:pPr>
            <w:r/>
            <w:r>
              <w:rPr>
                <w:rFonts w:ascii="微软雅黑" w:hAnsi="微软雅黑"/>
                <w:sz w:val="15"/>
              </w:rPr>
              <w:t>基于属性的访问控制</w:t>
            </w:r>
          </w:p>
        </w:tc>
      </w:tr>
      <w:tr>
        <w:tc>
          <w:tcPr>
            <w:tcW w:type="dxa" w:w="1417"/>
            <w:shd w:fill="F0F4FA"/>
          </w:tcPr>
          <w:p>
            <w:pPr>
              <w:jc w:val="center"/>
            </w:pPr>
            <w:r/>
            <w:r>
              <w:rPr>
                <w:rFonts w:ascii="微软雅黑" w:hAnsi="微软雅黑"/>
                <w:sz w:val="15"/>
              </w:rPr>
              <w:t>MFA</w:t>
            </w:r>
          </w:p>
        </w:tc>
        <w:tc>
          <w:tcPr>
            <w:tcW w:type="dxa" w:w="2551"/>
            <w:shd w:fill="F0F4FA"/>
          </w:tcPr>
          <w:p>
            <w:pPr>
              <w:jc w:val="center"/>
            </w:pPr>
            <w:r/>
            <w:r>
              <w:rPr>
                <w:rFonts w:ascii="微软雅黑" w:hAnsi="微软雅黑"/>
                <w:sz w:val="15"/>
              </w:rPr>
              <w:t>Multi-Factor Authentication</w:t>
            </w:r>
          </w:p>
        </w:tc>
        <w:tc>
          <w:tcPr>
            <w:tcW w:type="dxa" w:w="1984"/>
            <w:shd w:fill="F0F4FA"/>
          </w:tcPr>
          <w:p>
            <w:pPr>
              <w:jc w:val="center"/>
            </w:pPr>
            <w:r/>
            <w:r>
              <w:rPr>
                <w:rFonts w:ascii="微软雅黑" w:hAnsi="微软雅黑"/>
                <w:sz w:val="15"/>
              </w:rPr>
              <w:t>多因素认证</w:t>
            </w:r>
          </w:p>
        </w:tc>
      </w:tr>
      <w:tr>
        <w:tc>
          <w:tcPr>
            <w:tcW w:type="dxa" w:w="1417"/>
          </w:tcPr>
          <w:p>
            <w:pPr>
              <w:jc w:val="center"/>
            </w:pPr>
            <w:r/>
            <w:r>
              <w:rPr>
                <w:rFonts w:ascii="微软雅黑" w:hAnsi="微软雅黑"/>
                <w:sz w:val="15"/>
              </w:rPr>
              <w:t>SSO</w:t>
            </w:r>
          </w:p>
        </w:tc>
        <w:tc>
          <w:tcPr>
            <w:tcW w:type="dxa" w:w="2551"/>
          </w:tcPr>
          <w:p>
            <w:pPr>
              <w:jc w:val="center"/>
            </w:pPr>
            <w:r/>
            <w:r>
              <w:rPr>
                <w:rFonts w:ascii="微软雅黑" w:hAnsi="微软雅黑"/>
                <w:sz w:val="15"/>
              </w:rPr>
              <w:t>Single Sign-On</w:t>
            </w:r>
          </w:p>
        </w:tc>
        <w:tc>
          <w:tcPr>
            <w:tcW w:type="dxa" w:w="1984"/>
          </w:tcPr>
          <w:p>
            <w:pPr>
              <w:jc w:val="center"/>
            </w:pPr>
            <w:r/>
            <w:r>
              <w:rPr>
                <w:rFonts w:ascii="微软雅黑" w:hAnsi="微软雅黑"/>
                <w:sz w:val="15"/>
              </w:rPr>
              <w:t>单点登录</w:t>
            </w:r>
          </w:p>
        </w:tc>
      </w:tr>
      <w:tr>
        <w:tc>
          <w:tcPr>
            <w:tcW w:type="dxa" w:w="1417"/>
            <w:shd w:fill="F0F4FA"/>
          </w:tcPr>
          <w:p>
            <w:pPr>
              <w:jc w:val="center"/>
            </w:pPr>
            <w:r/>
            <w:r>
              <w:rPr>
                <w:rFonts w:ascii="微软雅黑" w:hAnsi="微软雅黑"/>
                <w:sz w:val="15"/>
              </w:rPr>
              <w:t>TOTP</w:t>
            </w:r>
          </w:p>
        </w:tc>
        <w:tc>
          <w:tcPr>
            <w:tcW w:type="dxa" w:w="2551"/>
            <w:shd w:fill="F0F4FA"/>
          </w:tcPr>
          <w:p>
            <w:pPr>
              <w:jc w:val="center"/>
            </w:pPr>
            <w:r/>
            <w:r>
              <w:rPr>
                <w:rFonts w:ascii="微软雅黑" w:hAnsi="微软雅黑"/>
                <w:sz w:val="15"/>
              </w:rPr>
              <w:t>Time-based One-Time Password</w:t>
            </w:r>
          </w:p>
        </w:tc>
        <w:tc>
          <w:tcPr>
            <w:tcW w:type="dxa" w:w="1984"/>
            <w:shd w:fill="F0F4FA"/>
          </w:tcPr>
          <w:p>
            <w:pPr>
              <w:jc w:val="center"/>
            </w:pPr>
            <w:r/>
            <w:r>
              <w:rPr>
                <w:rFonts w:ascii="微软雅黑" w:hAnsi="微软雅黑"/>
                <w:sz w:val="15"/>
              </w:rPr>
              <w:t>基于时间的一次性密码</w:t>
            </w:r>
          </w:p>
        </w:tc>
      </w:tr>
      <w:tr>
        <w:tc>
          <w:tcPr>
            <w:tcW w:type="dxa" w:w="1417"/>
          </w:tcPr>
          <w:p>
            <w:pPr>
              <w:jc w:val="center"/>
            </w:pPr>
            <w:r/>
            <w:r>
              <w:rPr>
                <w:rFonts w:ascii="微软雅黑" w:hAnsi="微软雅黑"/>
                <w:sz w:val="15"/>
              </w:rPr>
              <w:t>RAG</w:t>
            </w:r>
          </w:p>
        </w:tc>
        <w:tc>
          <w:tcPr>
            <w:tcW w:type="dxa" w:w="2551"/>
          </w:tcPr>
          <w:p>
            <w:pPr>
              <w:jc w:val="center"/>
            </w:pPr>
            <w:r/>
            <w:r>
              <w:rPr>
                <w:rFonts w:ascii="微软雅黑" w:hAnsi="微软雅黑"/>
                <w:sz w:val="15"/>
              </w:rPr>
              <w:t>Retrieval-Augmented Generation</w:t>
            </w:r>
          </w:p>
        </w:tc>
        <w:tc>
          <w:tcPr>
            <w:tcW w:type="dxa" w:w="1984"/>
          </w:tcPr>
          <w:p>
            <w:pPr>
              <w:jc w:val="center"/>
            </w:pPr>
            <w:r/>
            <w:r>
              <w:rPr>
                <w:rFonts w:ascii="微软雅黑" w:hAnsi="微软雅黑"/>
                <w:sz w:val="15"/>
              </w:rPr>
              <w:t>检索增强生成</w:t>
            </w:r>
          </w:p>
        </w:tc>
      </w:tr>
      <w:tr>
        <w:tc>
          <w:tcPr>
            <w:tcW w:type="dxa" w:w="1417"/>
            <w:shd w:fill="F0F4FA"/>
          </w:tcPr>
          <w:p>
            <w:pPr>
              <w:jc w:val="center"/>
            </w:pPr>
            <w:r/>
            <w:r>
              <w:rPr>
                <w:rFonts w:ascii="微软雅黑" w:hAnsi="微软雅黑"/>
                <w:sz w:val="15"/>
              </w:rPr>
              <w:t>LLM</w:t>
            </w:r>
          </w:p>
        </w:tc>
        <w:tc>
          <w:tcPr>
            <w:tcW w:type="dxa" w:w="2551"/>
            <w:shd w:fill="F0F4FA"/>
          </w:tcPr>
          <w:p>
            <w:pPr>
              <w:jc w:val="center"/>
            </w:pPr>
            <w:r/>
            <w:r>
              <w:rPr>
                <w:rFonts w:ascii="微软雅黑" w:hAnsi="微软雅黑"/>
                <w:sz w:val="15"/>
              </w:rPr>
              <w:t>Large Language Model</w:t>
            </w:r>
          </w:p>
        </w:tc>
        <w:tc>
          <w:tcPr>
            <w:tcW w:type="dxa" w:w="1984"/>
            <w:shd w:fill="F0F4FA"/>
          </w:tcPr>
          <w:p>
            <w:pPr>
              <w:jc w:val="center"/>
            </w:pPr>
            <w:r/>
            <w:r>
              <w:rPr>
                <w:rFonts w:ascii="微软雅黑" w:hAnsi="微软雅黑"/>
                <w:sz w:val="15"/>
              </w:rPr>
              <w:t>大语言模型</w:t>
            </w:r>
          </w:p>
        </w:tc>
      </w:tr>
      <w:tr>
        <w:tc>
          <w:tcPr>
            <w:tcW w:type="dxa" w:w="1417"/>
          </w:tcPr>
          <w:p>
            <w:pPr>
              <w:jc w:val="center"/>
            </w:pPr>
            <w:r/>
            <w:r>
              <w:rPr>
                <w:rFonts w:ascii="微软雅黑" w:hAnsi="微软雅黑"/>
                <w:sz w:val="15"/>
              </w:rPr>
              <w:t>CII</w:t>
            </w:r>
          </w:p>
        </w:tc>
        <w:tc>
          <w:tcPr>
            <w:tcW w:type="dxa" w:w="2551"/>
          </w:tcPr>
          <w:p>
            <w:pPr>
              <w:jc w:val="center"/>
            </w:pPr>
            <w:r/>
            <w:r>
              <w:rPr>
                <w:rFonts w:ascii="微软雅黑" w:hAnsi="微软雅黑"/>
                <w:sz w:val="15"/>
              </w:rPr>
              <w:t>Critical Information Infrastructure</w:t>
            </w:r>
          </w:p>
        </w:tc>
        <w:tc>
          <w:tcPr>
            <w:tcW w:type="dxa" w:w="1984"/>
          </w:tcPr>
          <w:p>
            <w:pPr>
              <w:jc w:val="center"/>
            </w:pPr>
            <w:r/>
            <w:r>
              <w:rPr>
                <w:rFonts w:ascii="微软雅黑" w:hAnsi="微软雅黑"/>
                <w:sz w:val="15"/>
              </w:rPr>
              <w:t>关键信息基础设施</w:t>
            </w:r>
          </w:p>
        </w:tc>
      </w:tr>
      <w:tr>
        <w:tc>
          <w:tcPr>
            <w:tcW w:type="dxa" w:w="1417"/>
            <w:shd w:fill="F0F4FA"/>
          </w:tcPr>
          <w:p>
            <w:pPr>
              <w:jc w:val="center"/>
            </w:pPr>
            <w:r/>
            <w:r>
              <w:rPr>
                <w:rFonts w:ascii="微软雅黑" w:hAnsi="微软雅黑"/>
                <w:sz w:val="15"/>
              </w:rPr>
              <w:t>DCMM</w:t>
            </w:r>
          </w:p>
        </w:tc>
        <w:tc>
          <w:tcPr>
            <w:tcW w:type="dxa" w:w="2551"/>
            <w:shd w:fill="F0F4FA"/>
          </w:tcPr>
          <w:p>
            <w:pPr>
              <w:jc w:val="center"/>
            </w:pPr>
            <w:r/>
            <w:r>
              <w:rPr>
                <w:rFonts w:ascii="微软雅黑" w:hAnsi="微软雅黑"/>
                <w:sz w:val="15"/>
              </w:rPr>
              <w:t>Data Capability Maturity Model</w:t>
            </w:r>
          </w:p>
        </w:tc>
        <w:tc>
          <w:tcPr>
            <w:tcW w:type="dxa" w:w="1984"/>
            <w:shd w:fill="F0F4FA"/>
          </w:tcPr>
          <w:p>
            <w:pPr>
              <w:jc w:val="center"/>
            </w:pPr>
            <w:r/>
            <w:r>
              <w:rPr>
                <w:rFonts w:ascii="微软雅黑" w:hAnsi="微软雅黑"/>
                <w:sz w:val="15"/>
              </w:rPr>
              <w:t>数据管理能力成熟度模型</w:t>
            </w:r>
          </w:p>
        </w:tc>
      </w:tr>
      <w:tr>
        <w:tc>
          <w:tcPr>
            <w:tcW w:type="dxa" w:w="1417"/>
          </w:tcPr>
          <w:p>
            <w:pPr>
              <w:jc w:val="center"/>
            </w:pPr>
            <w:r/>
            <w:r>
              <w:rPr>
                <w:rFonts w:ascii="微软雅黑" w:hAnsi="微软雅黑"/>
                <w:sz w:val="15"/>
              </w:rPr>
              <w:t>SIEM</w:t>
            </w:r>
          </w:p>
        </w:tc>
        <w:tc>
          <w:tcPr>
            <w:tcW w:type="dxa" w:w="2551"/>
          </w:tcPr>
          <w:p>
            <w:pPr>
              <w:jc w:val="center"/>
            </w:pPr>
            <w:r/>
            <w:r>
              <w:rPr>
                <w:rFonts w:ascii="微软雅黑" w:hAnsi="微软雅黑"/>
                <w:sz w:val="15"/>
              </w:rPr>
              <w:t>Security Information and Event Management</w:t>
            </w:r>
          </w:p>
        </w:tc>
        <w:tc>
          <w:tcPr>
            <w:tcW w:type="dxa" w:w="1984"/>
          </w:tcPr>
          <w:p>
            <w:pPr>
              <w:jc w:val="center"/>
            </w:pPr>
            <w:r/>
            <w:r>
              <w:rPr>
                <w:rFonts w:ascii="微软雅黑" w:hAnsi="微软雅黑"/>
                <w:sz w:val="15"/>
              </w:rPr>
              <w:t>安全信息和事件管理</w:t>
            </w:r>
          </w:p>
        </w:tc>
      </w:tr>
      <w:tr>
        <w:tc>
          <w:tcPr>
            <w:tcW w:type="dxa" w:w="1417"/>
            <w:shd w:fill="F0F4FA"/>
          </w:tcPr>
          <w:p>
            <w:pPr>
              <w:jc w:val="center"/>
            </w:pPr>
            <w:r/>
            <w:r>
              <w:rPr>
                <w:rFonts w:ascii="微软雅黑" w:hAnsi="微软雅黑"/>
                <w:sz w:val="15"/>
              </w:rPr>
              <w:t>PoA</w:t>
            </w:r>
          </w:p>
        </w:tc>
        <w:tc>
          <w:tcPr>
            <w:tcW w:type="dxa" w:w="2551"/>
            <w:shd w:fill="F0F4FA"/>
          </w:tcPr>
          <w:p>
            <w:pPr>
              <w:jc w:val="center"/>
            </w:pPr>
            <w:r/>
            <w:r>
              <w:rPr>
                <w:rFonts w:ascii="微软雅黑" w:hAnsi="微软雅黑"/>
                <w:sz w:val="15"/>
              </w:rPr>
              <w:t>Proof of Authority</w:t>
            </w:r>
          </w:p>
        </w:tc>
        <w:tc>
          <w:tcPr>
            <w:tcW w:type="dxa" w:w="1984"/>
            <w:shd w:fill="F0F4FA"/>
          </w:tcPr>
          <w:p>
            <w:pPr>
              <w:jc w:val="center"/>
            </w:pPr>
            <w:r/>
            <w:r>
              <w:rPr>
                <w:rFonts w:ascii="微软雅黑" w:hAnsi="微软雅黑"/>
                <w:sz w:val="15"/>
              </w:rPr>
              <w:t>权威证明共识</w:t>
            </w:r>
          </w:p>
        </w:tc>
      </w:tr>
      <w:tr>
        <w:tc>
          <w:tcPr>
            <w:tcW w:type="dxa" w:w="1417"/>
          </w:tcPr>
          <w:p>
            <w:pPr>
              <w:jc w:val="center"/>
            </w:pPr>
            <w:r/>
            <w:r>
              <w:rPr>
                <w:rFonts w:ascii="微软雅黑" w:hAnsi="微软雅黑"/>
                <w:sz w:val="15"/>
              </w:rPr>
              <w:t>RTO</w:t>
            </w:r>
          </w:p>
        </w:tc>
        <w:tc>
          <w:tcPr>
            <w:tcW w:type="dxa" w:w="2551"/>
          </w:tcPr>
          <w:p>
            <w:pPr>
              <w:jc w:val="center"/>
            </w:pPr>
            <w:r/>
            <w:r>
              <w:rPr>
                <w:rFonts w:ascii="微软雅黑" w:hAnsi="微软雅黑"/>
                <w:sz w:val="15"/>
              </w:rPr>
              <w:t>Recovery Time Objective</w:t>
            </w:r>
          </w:p>
        </w:tc>
        <w:tc>
          <w:tcPr>
            <w:tcW w:type="dxa" w:w="1984"/>
          </w:tcPr>
          <w:p>
            <w:pPr>
              <w:jc w:val="center"/>
            </w:pPr>
            <w:r/>
            <w:r>
              <w:rPr>
                <w:rFonts w:ascii="微软雅黑" w:hAnsi="微软雅黑"/>
                <w:sz w:val="15"/>
              </w:rPr>
              <w:t>恢复时间目标</w:t>
            </w:r>
          </w:p>
        </w:tc>
      </w:tr>
      <w:tr>
        <w:tc>
          <w:tcPr>
            <w:tcW w:type="dxa" w:w="1417"/>
            <w:shd w:fill="F0F4FA"/>
          </w:tcPr>
          <w:p>
            <w:pPr>
              <w:jc w:val="center"/>
            </w:pPr>
            <w:r/>
            <w:r>
              <w:rPr>
                <w:rFonts w:ascii="微软雅黑" w:hAnsi="微软雅黑"/>
                <w:sz w:val="15"/>
              </w:rPr>
              <w:t>RPO</w:t>
            </w:r>
          </w:p>
        </w:tc>
        <w:tc>
          <w:tcPr>
            <w:tcW w:type="dxa" w:w="2551"/>
            <w:shd w:fill="F0F4FA"/>
          </w:tcPr>
          <w:p>
            <w:pPr>
              <w:jc w:val="center"/>
            </w:pPr>
            <w:r/>
            <w:r>
              <w:rPr>
                <w:rFonts w:ascii="微软雅黑" w:hAnsi="微软雅黑"/>
                <w:sz w:val="15"/>
              </w:rPr>
              <w:t>Recovery Point Objective</w:t>
            </w:r>
          </w:p>
        </w:tc>
        <w:tc>
          <w:tcPr>
            <w:tcW w:type="dxa" w:w="1984"/>
            <w:shd w:fill="F0F4FA"/>
          </w:tcPr>
          <w:p>
            <w:pPr>
              <w:jc w:val="center"/>
            </w:pPr>
            <w:r/>
            <w:r>
              <w:rPr>
                <w:rFonts w:ascii="微软雅黑" w:hAnsi="微软雅黑"/>
                <w:sz w:val="15"/>
              </w:rPr>
              <w:t>恢复点目标</w:t>
            </w:r>
          </w:p>
        </w:tc>
      </w:tr>
    </w:tbl>
    <w:p/>
    <w:p>
      <w:r>
        <w:br w:type="page"/>
      </w:r>
    </w:p>
    <w:p>
      <w:pPr>
        <w:pStyle w:val="Heading2"/>
      </w:pPr>
      <w:r>
        <w:rPr>
          <w:rFonts w:ascii="微软雅黑" w:hAnsi="微软雅黑" w:eastAsia="微软雅黑"/>
        </w:rPr>
        <w:t>附录B  系统API端点统计</w:t>
      </w:r>
    </w:p>
    <w:p>
      <w:pPr>
        <w:spacing w:line="360" w:lineRule="auto" w:after="120"/>
        <w:ind w:firstLine="420"/>
      </w:pPr>
      <w:r>
        <w:rPr>
          <w:rFonts w:ascii="微软雅黑" w:hAnsi="微软雅黑" w:eastAsia="微软雅黑"/>
          <w:b w:val="0"/>
          <w:sz w:val="21"/>
        </w:rPr>
        <w:t>能源可信数据空间后端系统共实现约604个API端点，按照功能模块分布如下：</w:t>
      </w:r>
    </w:p>
    <w:p>
      <w:pPr>
        <w:spacing w:line="360" w:lineRule="auto" w:after="120"/>
        <w:jc w:val="center"/>
      </w:pPr>
      <w:r>
        <w:rPr>
          <w:rFonts w:ascii="微软雅黑" w:hAnsi="微软雅黑" w:eastAsia="微软雅黑"/>
          <w:b/>
          <w:sz w:val="18"/>
        </w:rPr>
        <w:t>表B-1  API端点按模块分布</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134"/>
            <w:shd w:fill="1A3C6D"/>
          </w:tcPr>
          <w:p>
            <w:pPr>
              <w:jc w:val="center"/>
            </w:pPr>
            <w:r/>
            <w:r>
              <w:rPr>
                <w:rFonts w:ascii="微软雅黑" w:hAnsi="微软雅黑"/>
                <w:b/>
                <w:color w:val="FFFFFF"/>
                <w:sz w:val="16"/>
              </w:rPr>
              <w:t>模块分类</w:t>
            </w:r>
          </w:p>
        </w:tc>
        <w:tc>
          <w:tcPr>
            <w:tcW w:type="dxa" w:w="850"/>
            <w:shd w:fill="1A3C6D"/>
          </w:tcPr>
          <w:p>
            <w:pPr>
              <w:jc w:val="center"/>
            </w:pPr>
            <w:r/>
            <w:r>
              <w:rPr>
                <w:rFonts w:ascii="微软雅黑" w:hAnsi="微软雅黑"/>
                <w:b/>
                <w:color w:val="FFFFFF"/>
                <w:sz w:val="16"/>
              </w:rPr>
              <w:t>端点数量</w:t>
            </w:r>
          </w:p>
        </w:tc>
        <w:tc>
          <w:tcPr>
            <w:tcW w:type="dxa" w:w="567"/>
            <w:shd w:fill="1A3C6D"/>
          </w:tcPr>
          <w:p>
            <w:pPr>
              <w:jc w:val="center"/>
            </w:pPr>
            <w:r/>
            <w:r>
              <w:rPr>
                <w:rFonts w:ascii="微软雅黑" w:hAnsi="微软雅黑"/>
                <w:b/>
                <w:color w:val="FFFFFF"/>
                <w:sz w:val="16"/>
              </w:rPr>
              <w:t>占比</w:t>
            </w:r>
          </w:p>
        </w:tc>
        <w:tc>
          <w:tcPr>
            <w:tcW w:type="dxa" w:w="3685"/>
            <w:shd w:fill="1A3C6D"/>
          </w:tcPr>
          <w:p>
            <w:pPr>
              <w:jc w:val="center"/>
            </w:pPr>
            <w:r/>
            <w:r>
              <w:rPr>
                <w:rFonts w:ascii="微软雅黑" w:hAnsi="微软雅黑"/>
                <w:b/>
                <w:color w:val="FFFFFF"/>
                <w:sz w:val="16"/>
              </w:rPr>
              <w:t>核心功能</w:t>
            </w:r>
          </w:p>
        </w:tc>
      </w:tr>
      <w:tr>
        <w:tc>
          <w:tcPr>
            <w:tcW w:type="dxa" w:w="1134"/>
          </w:tcPr>
          <w:p>
            <w:pPr>
              <w:jc w:val="center"/>
            </w:pPr>
            <w:r/>
            <w:r>
              <w:rPr>
                <w:rFonts w:ascii="微软雅黑" w:hAnsi="微软雅黑"/>
                <w:sz w:val="15"/>
              </w:rPr>
              <w:t>数据资产管理</w:t>
            </w:r>
          </w:p>
        </w:tc>
        <w:tc>
          <w:tcPr>
            <w:tcW w:type="dxa" w:w="850"/>
          </w:tcPr>
          <w:p>
            <w:pPr>
              <w:jc w:val="center"/>
            </w:pPr>
            <w:r/>
            <w:r>
              <w:rPr>
                <w:rFonts w:ascii="微软雅黑" w:hAnsi="微软雅黑"/>
                <w:sz w:val="15"/>
              </w:rPr>
              <w:t>~80</w:t>
            </w:r>
          </w:p>
        </w:tc>
        <w:tc>
          <w:tcPr>
            <w:tcW w:type="dxa" w:w="567"/>
          </w:tcPr>
          <w:p>
            <w:pPr>
              <w:jc w:val="center"/>
            </w:pPr>
            <w:r/>
            <w:r>
              <w:rPr>
                <w:rFonts w:ascii="微软雅黑" w:hAnsi="微软雅黑"/>
                <w:sz w:val="15"/>
              </w:rPr>
              <w:t>13%</w:t>
            </w:r>
          </w:p>
        </w:tc>
        <w:tc>
          <w:tcPr>
            <w:tcW w:type="dxa" w:w="3685"/>
          </w:tcPr>
          <w:p>
            <w:pPr>
              <w:jc w:val="center"/>
            </w:pPr>
            <w:r/>
            <w:r>
              <w:rPr>
                <w:rFonts w:ascii="微软雅黑" w:hAnsi="微软雅黑"/>
                <w:sz w:val="15"/>
              </w:rPr>
              <w:t>数据源/资产/目录/血缘/质量CRUD</w:t>
            </w:r>
          </w:p>
        </w:tc>
      </w:tr>
      <w:tr>
        <w:tc>
          <w:tcPr>
            <w:tcW w:type="dxa" w:w="1134"/>
            <w:shd w:fill="F0F4FA"/>
          </w:tcPr>
          <w:p>
            <w:pPr>
              <w:jc w:val="center"/>
            </w:pPr>
            <w:r/>
            <w:r>
              <w:rPr>
                <w:rFonts w:ascii="微软雅黑" w:hAnsi="微软雅黑"/>
                <w:sz w:val="15"/>
              </w:rPr>
              <w:t>可信数据共享</w:t>
            </w:r>
          </w:p>
        </w:tc>
        <w:tc>
          <w:tcPr>
            <w:tcW w:type="dxa" w:w="850"/>
            <w:shd w:fill="F0F4FA"/>
          </w:tcPr>
          <w:p>
            <w:pPr>
              <w:jc w:val="center"/>
            </w:pPr>
            <w:r/>
            <w:r>
              <w:rPr>
                <w:rFonts w:ascii="微软雅黑" w:hAnsi="微软雅黑"/>
                <w:sz w:val="15"/>
              </w:rPr>
              <w:t>~90</w:t>
            </w:r>
          </w:p>
        </w:tc>
        <w:tc>
          <w:tcPr>
            <w:tcW w:type="dxa" w:w="567"/>
            <w:shd w:fill="F0F4FA"/>
          </w:tcPr>
          <w:p>
            <w:pPr>
              <w:jc w:val="center"/>
            </w:pPr>
            <w:r/>
            <w:r>
              <w:rPr>
                <w:rFonts w:ascii="微软雅黑" w:hAnsi="微软雅黑"/>
                <w:sz w:val="15"/>
              </w:rPr>
              <w:t>15%</w:t>
            </w:r>
          </w:p>
        </w:tc>
        <w:tc>
          <w:tcPr>
            <w:tcW w:type="dxa" w:w="3685"/>
            <w:shd w:fill="F0F4FA"/>
          </w:tcPr>
          <w:p>
            <w:pPr>
              <w:jc w:val="center"/>
            </w:pPr>
            <w:r/>
            <w:r>
              <w:rPr>
                <w:rFonts w:ascii="微软雅黑" w:hAnsi="微软雅黑"/>
                <w:sz w:val="15"/>
              </w:rPr>
              <w:t>数据发布/订阅/共享/连接器/隐私计算</w:t>
            </w:r>
          </w:p>
        </w:tc>
      </w:tr>
      <w:tr>
        <w:tc>
          <w:tcPr>
            <w:tcW w:type="dxa" w:w="1134"/>
          </w:tcPr>
          <w:p>
            <w:pPr>
              <w:jc w:val="center"/>
            </w:pPr>
            <w:r/>
            <w:r>
              <w:rPr>
                <w:rFonts w:ascii="微软雅黑" w:hAnsi="微软雅黑"/>
                <w:sz w:val="15"/>
              </w:rPr>
              <w:t>区块链存证</w:t>
            </w:r>
          </w:p>
        </w:tc>
        <w:tc>
          <w:tcPr>
            <w:tcW w:type="dxa" w:w="850"/>
          </w:tcPr>
          <w:p>
            <w:pPr>
              <w:jc w:val="center"/>
            </w:pPr>
            <w:r/>
            <w:r>
              <w:rPr>
                <w:rFonts w:ascii="微软雅黑" w:hAnsi="微软雅黑"/>
                <w:sz w:val="15"/>
              </w:rPr>
              <w:t>~50</w:t>
            </w:r>
          </w:p>
        </w:tc>
        <w:tc>
          <w:tcPr>
            <w:tcW w:type="dxa" w:w="567"/>
          </w:tcPr>
          <w:p>
            <w:pPr>
              <w:jc w:val="center"/>
            </w:pPr>
            <w:r/>
            <w:r>
              <w:rPr>
                <w:rFonts w:ascii="微软雅黑" w:hAnsi="微软雅黑"/>
                <w:sz w:val="15"/>
              </w:rPr>
              <w:t>8%</w:t>
            </w:r>
          </w:p>
        </w:tc>
        <w:tc>
          <w:tcPr>
            <w:tcW w:type="dxa" w:w="3685"/>
          </w:tcPr>
          <w:p>
            <w:pPr>
              <w:jc w:val="center"/>
            </w:pPr>
            <w:r/>
            <w:r>
              <w:rPr>
                <w:rFonts w:ascii="微软雅黑" w:hAnsi="微软雅黑"/>
                <w:sz w:val="15"/>
              </w:rPr>
              <w:t>智能合约/存证/查询/NFT管理</w:t>
            </w:r>
          </w:p>
        </w:tc>
      </w:tr>
      <w:tr>
        <w:tc>
          <w:tcPr>
            <w:tcW w:type="dxa" w:w="1134"/>
            <w:shd w:fill="F0F4FA"/>
          </w:tcPr>
          <w:p>
            <w:pPr>
              <w:jc w:val="center"/>
            </w:pPr>
            <w:r/>
            <w:r>
              <w:rPr>
                <w:rFonts w:ascii="微软雅黑" w:hAnsi="微软雅黑"/>
                <w:sz w:val="15"/>
              </w:rPr>
              <w:t>数据授权</w:t>
            </w:r>
          </w:p>
        </w:tc>
        <w:tc>
          <w:tcPr>
            <w:tcW w:type="dxa" w:w="850"/>
            <w:shd w:fill="F0F4FA"/>
          </w:tcPr>
          <w:p>
            <w:pPr>
              <w:jc w:val="center"/>
            </w:pPr>
            <w:r/>
            <w:r>
              <w:rPr>
                <w:rFonts w:ascii="微软雅黑" w:hAnsi="微软雅黑"/>
                <w:sz w:val="15"/>
              </w:rPr>
              <w:t>~80</w:t>
            </w:r>
          </w:p>
        </w:tc>
        <w:tc>
          <w:tcPr>
            <w:tcW w:type="dxa" w:w="567"/>
            <w:shd w:fill="F0F4FA"/>
          </w:tcPr>
          <w:p>
            <w:pPr>
              <w:jc w:val="center"/>
            </w:pPr>
            <w:r/>
            <w:r>
              <w:rPr>
                <w:rFonts w:ascii="微软雅黑" w:hAnsi="微软雅黑"/>
                <w:sz w:val="15"/>
              </w:rPr>
              <w:t>13%</w:t>
            </w:r>
          </w:p>
        </w:tc>
        <w:tc>
          <w:tcPr>
            <w:tcW w:type="dxa" w:w="3685"/>
            <w:shd w:fill="F0F4FA"/>
          </w:tcPr>
          <w:p>
            <w:pPr>
              <w:jc w:val="center"/>
            </w:pPr>
            <w:r/>
            <w:r>
              <w:rPr>
                <w:rFonts w:ascii="微软雅黑" w:hAnsi="微软雅黑"/>
                <w:sz w:val="15"/>
              </w:rPr>
              <w:t>DID/VC/授权/审批/访问控制/MFA</w:t>
            </w:r>
          </w:p>
        </w:tc>
      </w:tr>
      <w:tr>
        <w:tc>
          <w:tcPr>
            <w:tcW w:type="dxa" w:w="1134"/>
          </w:tcPr>
          <w:p>
            <w:pPr>
              <w:jc w:val="center"/>
            </w:pPr>
            <w:r/>
            <w:r>
              <w:rPr>
                <w:rFonts w:ascii="微软雅黑" w:hAnsi="微软雅黑"/>
                <w:sz w:val="15"/>
              </w:rPr>
              <w:t>监管中心</w:t>
            </w:r>
          </w:p>
        </w:tc>
        <w:tc>
          <w:tcPr>
            <w:tcW w:type="dxa" w:w="850"/>
          </w:tcPr>
          <w:p>
            <w:pPr>
              <w:jc w:val="center"/>
            </w:pPr>
            <w:r/>
            <w:r>
              <w:rPr>
                <w:rFonts w:ascii="微软雅黑" w:hAnsi="微软雅黑"/>
                <w:sz w:val="15"/>
              </w:rPr>
              <w:t>~60</w:t>
            </w:r>
          </w:p>
        </w:tc>
        <w:tc>
          <w:tcPr>
            <w:tcW w:type="dxa" w:w="567"/>
          </w:tcPr>
          <w:p>
            <w:pPr>
              <w:jc w:val="center"/>
            </w:pPr>
            <w:r/>
            <w:r>
              <w:rPr>
                <w:rFonts w:ascii="微软雅黑" w:hAnsi="微软雅黑"/>
                <w:sz w:val="15"/>
              </w:rPr>
              <w:t>10%</w:t>
            </w:r>
          </w:p>
        </w:tc>
        <w:tc>
          <w:tcPr>
            <w:tcW w:type="dxa" w:w="3685"/>
          </w:tcPr>
          <w:p>
            <w:pPr>
              <w:jc w:val="center"/>
            </w:pPr>
            <w:r/>
            <w:r>
              <w:rPr>
                <w:rFonts w:ascii="微软雅黑" w:hAnsi="微软雅黑"/>
                <w:sz w:val="15"/>
              </w:rPr>
              <w:t>审计/合规/风险/告警/安全策略</w:t>
            </w:r>
          </w:p>
        </w:tc>
      </w:tr>
      <w:tr>
        <w:tc>
          <w:tcPr>
            <w:tcW w:type="dxa" w:w="1134"/>
            <w:shd w:fill="F0F4FA"/>
          </w:tcPr>
          <w:p>
            <w:pPr>
              <w:jc w:val="center"/>
            </w:pPr>
            <w:r/>
            <w:r>
              <w:rPr>
                <w:rFonts w:ascii="微软雅黑" w:hAnsi="微软雅黑"/>
                <w:sz w:val="15"/>
              </w:rPr>
              <w:t>运营分析</w:t>
            </w:r>
          </w:p>
        </w:tc>
        <w:tc>
          <w:tcPr>
            <w:tcW w:type="dxa" w:w="850"/>
            <w:shd w:fill="F0F4FA"/>
          </w:tcPr>
          <w:p>
            <w:pPr>
              <w:jc w:val="center"/>
            </w:pPr>
            <w:r/>
            <w:r>
              <w:rPr>
                <w:rFonts w:ascii="微软雅黑" w:hAnsi="微软雅黑"/>
                <w:sz w:val="15"/>
              </w:rPr>
              <w:t>~70</w:t>
            </w:r>
          </w:p>
        </w:tc>
        <w:tc>
          <w:tcPr>
            <w:tcW w:type="dxa" w:w="567"/>
            <w:shd w:fill="F0F4FA"/>
          </w:tcPr>
          <w:p>
            <w:pPr>
              <w:jc w:val="center"/>
            </w:pPr>
            <w:r/>
            <w:r>
              <w:rPr>
                <w:rFonts w:ascii="微软雅黑" w:hAnsi="微软雅黑"/>
                <w:sz w:val="15"/>
              </w:rPr>
              <w:t>12%</w:t>
            </w:r>
          </w:p>
        </w:tc>
        <w:tc>
          <w:tcPr>
            <w:tcW w:type="dxa" w:w="3685"/>
            <w:shd w:fill="F0F4FA"/>
          </w:tcPr>
          <w:p>
            <w:pPr>
              <w:jc w:val="center"/>
            </w:pPr>
            <w:r/>
            <w:r>
              <w:rPr>
                <w:rFonts w:ascii="微软雅黑" w:hAnsi="微软雅黑"/>
                <w:sz w:val="15"/>
              </w:rPr>
              <w:t>仪表盘/KPI/SLA/报表/监控</w:t>
            </w:r>
          </w:p>
        </w:tc>
      </w:tr>
      <w:tr>
        <w:tc>
          <w:tcPr>
            <w:tcW w:type="dxa" w:w="1134"/>
          </w:tcPr>
          <w:p>
            <w:pPr>
              <w:jc w:val="center"/>
            </w:pPr>
            <w:r/>
            <w:r>
              <w:rPr>
                <w:rFonts w:ascii="微软雅黑" w:hAnsi="微软雅黑"/>
                <w:sz w:val="15"/>
              </w:rPr>
              <w:t>AI Agent</w:t>
            </w:r>
          </w:p>
        </w:tc>
        <w:tc>
          <w:tcPr>
            <w:tcW w:type="dxa" w:w="850"/>
          </w:tcPr>
          <w:p>
            <w:pPr>
              <w:jc w:val="center"/>
            </w:pPr>
            <w:r/>
            <w:r>
              <w:rPr>
                <w:rFonts w:ascii="微软雅黑" w:hAnsi="微软雅黑"/>
                <w:sz w:val="15"/>
              </w:rPr>
              <w:t>~30</w:t>
            </w:r>
          </w:p>
        </w:tc>
        <w:tc>
          <w:tcPr>
            <w:tcW w:type="dxa" w:w="567"/>
          </w:tcPr>
          <w:p>
            <w:pPr>
              <w:jc w:val="center"/>
            </w:pPr>
            <w:r/>
            <w:r>
              <w:rPr>
                <w:rFonts w:ascii="微软雅黑" w:hAnsi="微软雅黑"/>
                <w:sz w:val="15"/>
              </w:rPr>
              <w:t>5%</w:t>
            </w:r>
          </w:p>
        </w:tc>
        <w:tc>
          <w:tcPr>
            <w:tcW w:type="dxa" w:w="3685"/>
          </w:tcPr>
          <w:p>
            <w:pPr>
              <w:jc w:val="center"/>
            </w:pPr>
            <w:r/>
            <w:r>
              <w:rPr>
                <w:rFonts w:ascii="微软雅黑" w:hAnsi="微软雅黑"/>
                <w:sz w:val="15"/>
              </w:rPr>
              <w:t>对话/知识库/Agent管理/推荐</w:t>
            </w:r>
          </w:p>
        </w:tc>
      </w:tr>
      <w:tr>
        <w:tc>
          <w:tcPr>
            <w:tcW w:type="dxa" w:w="1134"/>
            <w:shd w:fill="F0F4FA"/>
          </w:tcPr>
          <w:p>
            <w:pPr>
              <w:jc w:val="center"/>
            </w:pPr>
            <w:r/>
            <w:r>
              <w:rPr>
                <w:rFonts w:ascii="微软雅黑" w:hAnsi="微软雅黑"/>
                <w:sz w:val="15"/>
              </w:rPr>
              <w:t>系统管理</w:t>
            </w:r>
          </w:p>
        </w:tc>
        <w:tc>
          <w:tcPr>
            <w:tcW w:type="dxa" w:w="850"/>
            <w:shd w:fill="F0F4FA"/>
          </w:tcPr>
          <w:p>
            <w:pPr>
              <w:jc w:val="center"/>
            </w:pPr>
            <w:r/>
            <w:r>
              <w:rPr>
                <w:rFonts w:ascii="微软雅黑" w:hAnsi="微软雅黑"/>
                <w:sz w:val="15"/>
              </w:rPr>
              <w:t>~90</w:t>
            </w:r>
          </w:p>
        </w:tc>
        <w:tc>
          <w:tcPr>
            <w:tcW w:type="dxa" w:w="567"/>
            <w:shd w:fill="F0F4FA"/>
          </w:tcPr>
          <w:p>
            <w:pPr>
              <w:jc w:val="center"/>
            </w:pPr>
            <w:r/>
            <w:r>
              <w:rPr>
                <w:rFonts w:ascii="微软雅黑" w:hAnsi="微软雅黑"/>
                <w:sz w:val="15"/>
              </w:rPr>
              <w:t>15%</w:t>
            </w:r>
          </w:p>
        </w:tc>
        <w:tc>
          <w:tcPr>
            <w:tcW w:type="dxa" w:w="3685"/>
            <w:shd w:fill="F0F4FA"/>
          </w:tcPr>
          <w:p>
            <w:pPr>
              <w:jc w:val="center"/>
            </w:pPr>
            <w:r/>
            <w:r>
              <w:rPr>
                <w:rFonts w:ascii="微软雅黑" w:hAnsi="微软雅黑"/>
                <w:sz w:val="15"/>
              </w:rPr>
              <w:t>用户/组织/角色/权限/通知/日志</w:t>
            </w:r>
          </w:p>
        </w:tc>
      </w:tr>
      <w:tr>
        <w:tc>
          <w:tcPr>
            <w:tcW w:type="dxa" w:w="1134"/>
          </w:tcPr>
          <w:p>
            <w:pPr>
              <w:jc w:val="center"/>
            </w:pPr>
            <w:r/>
            <w:r>
              <w:rPr>
                <w:rFonts w:ascii="微软雅黑" w:hAnsi="微软雅黑"/>
                <w:sz w:val="15"/>
              </w:rPr>
              <w:t>其他</w:t>
            </w:r>
          </w:p>
        </w:tc>
        <w:tc>
          <w:tcPr>
            <w:tcW w:type="dxa" w:w="850"/>
          </w:tcPr>
          <w:p>
            <w:pPr>
              <w:jc w:val="center"/>
            </w:pPr>
            <w:r/>
            <w:r>
              <w:rPr>
                <w:rFonts w:ascii="微软雅黑" w:hAnsi="微软雅黑"/>
                <w:sz w:val="15"/>
              </w:rPr>
              <w:t>~54</w:t>
            </w:r>
          </w:p>
        </w:tc>
        <w:tc>
          <w:tcPr>
            <w:tcW w:type="dxa" w:w="567"/>
          </w:tcPr>
          <w:p>
            <w:pPr>
              <w:jc w:val="center"/>
            </w:pPr>
            <w:r/>
            <w:r>
              <w:rPr>
                <w:rFonts w:ascii="微软雅黑" w:hAnsi="微软雅黑"/>
                <w:sz w:val="15"/>
              </w:rPr>
              <w:t>9%</w:t>
            </w:r>
          </w:p>
        </w:tc>
        <w:tc>
          <w:tcPr>
            <w:tcW w:type="dxa" w:w="3685"/>
          </w:tcPr>
          <w:p>
            <w:pPr>
              <w:jc w:val="center"/>
            </w:pPr>
            <w:r/>
            <w:r>
              <w:rPr>
                <w:rFonts w:ascii="微软雅黑" w:hAnsi="微软雅黑"/>
                <w:sz w:val="15"/>
              </w:rPr>
              <w:t>文件/搜索/统计/门户等辅助功能</w:t>
            </w:r>
          </w:p>
        </w:tc>
      </w:tr>
    </w:tbl>
    <w:p/>
    <w:p>
      <w:r>
        <w:br w:type="page"/>
      </w:r>
    </w:p>
    <w:p>
      <w:pPr>
        <w:pStyle w:val="Heading2"/>
      </w:pPr>
      <w:r>
        <w:rPr>
          <w:rFonts w:ascii="微软雅黑" w:hAnsi="微软雅黑" w:eastAsia="微软雅黑"/>
        </w:rPr>
        <w:t>附录C  智能合约接口清单</w:t>
      </w:r>
    </w:p>
    <w:p>
      <w:pPr>
        <w:spacing w:line="360" w:lineRule="auto" w:after="120"/>
        <w:ind w:firstLine="420"/>
      </w:pPr>
      <w:r>
        <w:rPr>
          <w:rFonts w:ascii="微软雅黑" w:hAnsi="微软雅黑" w:eastAsia="微软雅黑"/>
          <w:b w:val="0"/>
          <w:sz w:val="21"/>
        </w:rPr>
        <w:t>系统部署6个核心Solidity智能合约，合约接口清单如下：</w:t>
      </w:r>
    </w:p>
    <w:p>
      <w:pPr>
        <w:spacing w:line="360" w:lineRule="auto" w:after="120"/>
        <w:jc w:val="center"/>
      </w:pPr>
      <w:r>
        <w:rPr>
          <w:rFonts w:ascii="微软雅黑" w:hAnsi="微软雅黑" w:eastAsia="微软雅黑"/>
          <w:b/>
          <w:sz w:val="18"/>
        </w:rPr>
        <w:t>表C-1  智能合约接口清单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247"/>
            <w:shd w:fill="1A3C6D"/>
          </w:tcPr>
          <w:p>
            <w:pPr>
              <w:jc w:val="center"/>
            </w:pPr>
            <w:r/>
            <w:r>
              <w:rPr>
                <w:rFonts w:ascii="微软雅黑" w:hAnsi="微软雅黑"/>
                <w:b/>
                <w:color w:val="FFFFFF"/>
                <w:sz w:val="16"/>
              </w:rPr>
              <w:t>合约名称</w:t>
            </w:r>
          </w:p>
        </w:tc>
        <w:tc>
          <w:tcPr>
            <w:tcW w:type="dxa" w:w="1134"/>
            <w:shd w:fill="1A3C6D"/>
          </w:tcPr>
          <w:p>
            <w:pPr>
              <w:jc w:val="center"/>
            </w:pPr>
            <w:r/>
            <w:r>
              <w:rPr>
                <w:rFonts w:ascii="微软雅黑" w:hAnsi="微软雅黑"/>
                <w:b/>
                <w:color w:val="FFFFFF"/>
                <w:sz w:val="16"/>
              </w:rPr>
              <w:t>合约地址前缀</w:t>
            </w:r>
          </w:p>
        </w:tc>
        <w:tc>
          <w:tcPr>
            <w:tcW w:type="dxa" w:w="2154"/>
            <w:shd w:fill="1A3C6D"/>
          </w:tcPr>
          <w:p>
            <w:pPr>
              <w:jc w:val="center"/>
            </w:pPr>
            <w:r/>
            <w:r>
              <w:rPr>
                <w:rFonts w:ascii="微软雅黑" w:hAnsi="微软雅黑"/>
                <w:b/>
                <w:color w:val="FFFFFF"/>
                <w:sz w:val="16"/>
              </w:rPr>
              <w:t>主要方法</w:t>
            </w:r>
          </w:p>
        </w:tc>
        <w:tc>
          <w:tcPr>
            <w:tcW w:type="dxa" w:w="1984"/>
            <w:shd w:fill="1A3C6D"/>
          </w:tcPr>
          <w:p>
            <w:pPr>
              <w:jc w:val="center"/>
            </w:pPr>
            <w:r/>
            <w:r>
              <w:rPr>
                <w:rFonts w:ascii="微软雅黑" w:hAnsi="微软雅黑"/>
                <w:b/>
                <w:color w:val="FFFFFF"/>
                <w:sz w:val="16"/>
              </w:rPr>
              <w:t>链上事件</w:t>
            </w:r>
          </w:p>
        </w:tc>
      </w:tr>
      <w:tr>
        <w:tc>
          <w:tcPr>
            <w:tcW w:type="dxa" w:w="1247"/>
          </w:tcPr>
          <w:p>
            <w:pPr>
              <w:jc w:val="center"/>
            </w:pPr>
            <w:r/>
            <w:r>
              <w:rPr>
                <w:rFonts w:ascii="微软雅黑" w:hAnsi="微软雅黑"/>
                <w:sz w:val="15"/>
              </w:rPr>
              <w:t>DataRegistry</w:t>
            </w:r>
          </w:p>
        </w:tc>
        <w:tc>
          <w:tcPr>
            <w:tcW w:type="dxa" w:w="1134"/>
          </w:tcPr>
          <w:p>
            <w:pPr>
              <w:jc w:val="center"/>
            </w:pPr>
            <w:r/>
            <w:r>
              <w:rPr>
                <w:rFonts w:ascii="微软雅黑" w:hAnsi="微软雅黑"/>
                <w:sz w:val="15"/>
              </w:rPr>
              <w:t>0xDA...</w:t>
            </w:r>
          </w:p>
        </w:tc>
        <w:tc>
          <w:tcPr>
            <w:tcW w:type="dxa" w:w="2154"/>
          </w:tcPr>
          <w:p>
            <w:pPr>
              <w:jc w:val="center"/>
            </w:pPr>
            <w:r/>
            <w:r>
              <w:rPr>
                <w:rFonts w:ascii="微软雅黑" w:hAnsi="微软雅黑"/>
                <w:sz w:val="15"/>
              </w:rPr>
              <w:t>registerAsset, updateStatus, revokeAsset</w:t>
            </w:r>
          </w:p>
        </w:tc>
        <w:tc>
          <w:tcPr>
            <w:tcW w:type="dxa" w:w="1984"/>
          </w:tcPr>
          <w:p>
            <w:pPr>
              <w:jc w:val="center"/>
            </w:pPr>
            <w:r/>
            <w:r>
              <w:rPr>
                <w:rFonts w:ascii="微软雅黑" w:hAnsi="微软雅黑"/>
                <w:sz w:val="15"/>
              </w:rPr>
              <w:t>AssetRegistered, AssetUpdated</w:t>
            </w:r>
          </w:p>
        </w:tc>
      </w:tr>
      <w:tr>
        <w:tc>
          <w:tcPr>
            <w:tcW w:type="dxa" w:w="1247"/>
            <w:shd w:fill="F0F4FA"/>
          </w:tcPr>
          <w:p>
            <w:pPr>
              <w:jc w:val="center"/>
            </w:pPr>
            <w:r/>
            <w:r>
              <w:rPr>
                <w:rFonts w:ascii="微软雅黑" w:hAnsi="微软雅黑"/>
                <w:sz w:val="15"/>
              </w:rPr>
              <w:t>DataTrade</w:t>
            </w:r>
          </w:p>
        </w:tc>
        <w:tc>
          <w:tcPr>
            <w:tcW w:type="dxa" w:w="1134"/>
            <w:shd w:fill="F0F4FA"/>
          </w:tcPr>
          <w:p>
            <w:pPr>
              <w:jc w:val="center"/>
            </w:pPr>
            <w:r/>
            <w:r>
              <w:rPr>
                <w:rFonts w:ascii="微软雅黑" w:hAnsi="微软雅黑"/>
                <w:sz w:val="15"/>
              </w:rPr>
              <w:t>0xTR...</w:t>
            </w:r>
          </w:p>
        </w:tc>
        <w:tc>
          <w:tcPr>
            <w:tcW w:type="dxa" w:w="2154"/>
            <w:shd w:fill="F0F4FA"/>
          </w:tcPr>
          <w:p>
            <w:pPr>
              <w:jc w:val="center"/>
            </w:pPr>
            <w:r/>
            <w:r>
              <w:rPr>
                <w:rFonts w:ascii="微软雅黑" w:hAnsi="微软雅黑"/>
                <w:sz w:val="15"/>
              </w:rPr>
              <w:t>listProduct, purchase, settlePayment</w:t>
            </w:r>
          </w:p>
        </w:tc>
        <w:tc>
          <w:tcPr>
            <w:tcW w:type="dxa" w:w="1984"/>
            <w:shd w:fill="F0F4FA"/>
          </w:tcPr>
          <w:p>
            <w:pPr>
              <w:jc w:val="center"/>
            </w:pPr>
            <w:r/>
            <w:r>
              <w:rPr>
                <w:rFonts w:ascii="微软雅黑" w:hAnsi="微软雅黑"/>
                <w:sz w:val="15"/>
              </w:rPr>
              <w:t>ProductListed, TradeCompleted</w:t>
            </w:r>
          </w:p>
        </w:tc>
      </w:tr>
      <w:tr>
        <w:tc>
          <w:tcPr>
            <w:tcW w:type="dxa" w:w="1247"/>
          </w:tcPr>
          <w:p>
            <w:pPr>
              <w:jc w:val="center"/>
            </w:pPr>
            <w:r/>
            <w:r>
              <w:rPr>
                <w:rFonts w:ascii="微软雅黑" w:hAnsi="微软雅黑"/>
                <w:sz w:val="15"/>
              </w:rPr>
              <w:t>EvidenceRegistry</w:t>
            </w:r>
          </w:p>
        </w:tc>
        <w:tc>
          <w:tcPr>
            <w:tcW w:type="dxa" w:w="1134"/>
          </w:tcPr>
          <w:p>
            <w:pPr>
              <w:jc w:val="center"/>
            </w:pPr>
            <w:r/>
            <w:r>
              <w:rPr>
                <w:rFonts w:ascii="微软雅黑" w:hAnsi="微软雅黑"/>
                <w:sz w:val="15"/>
              </w:rPr>
              <w:t>0xEV...</w:t>
            </w:r>
          </w:p>
        </w:tc>
        <w:tc>
          <w:tcPr>
            <w:tcW w:type="dxa" w:w="2154"/>
          </w:tcPr>
          <w:p>
            <w:pPr>
              <w:jc w:val="center"/>
            </w:pPr>
            <w:r/>
            <w:r>
              <w:rPr>
                <w:rFonts w:ascii="微软雅黑" w:hAnsi="微软雅黑"/>
                <w:sz w:val="15"/>
              </w:rPr>
              <w:t>submitEvidence, verifyEvidence, queryByHash</w:t>
            </w:r>
          </w:p>
        </w:tc>
        <w:tc>
          <w:tcPr>
            <w:tcW w:type="dxa" w:w="1984"/>
          </w:tcPr>
          <w:p>
            <w:pPr>
              <w:jc w:val="center"/>
            </w:pPr>
            <w:r/>
            <w:r>
              <w:rPr>
                <w:rFonts w:ascii="微软雅黑" w:hAnsi="微软雅黑"/>
                <w:sz w:val="15"/>
              </w:rPr>
              <w:t>EvidenceSubmitted, EvidenceVerified</w:t>
            </w:r>
          </w:p>
        </w:tc>
      </w:tr>
      <w:tr>
        <w:tc>
          <w:tcPr>
            <w:tcW w:type="dxa" w:w="1247"/>
            <w:shd w:fill="F0F4FA"/>
          </w:tcPr>
          <w:p>
            <w:pPr>
              <w:jc w:val="center"/>
            </w:pPr>
            <w:r/>
            <w:r>
              <w:rPr>
                <w:rFonts w:ascii="微软雅黑" w:hAnsi="微软雅黑"/>
                <w:sz w:val="15"/>
              </w:rPr>
              <w:t>DataNFT</w:t>
            </w:r>
          </w:p>
        </w:tc>
        <w:tc>
          <w:tcPr>
            <w:tcW w:type="dxa" w:w="1134"/>
            <w:shd w:fill="F0F4FA"/>
          </w:tcPr>
          <w:p>
            <w:pPr>
              <w:jc w:val="center"/>
            </w:pPr>
            <w:r/>
            <w:r>
              <w:rPr>
                <w:rFonts w:ascii="微软雅黑" w:hAnsi="微软雅黑"/>
                <w:sz w:val="15"/>
              </w:rPr>
              <w:t>0xNF...</w:t>
            </w:r>
          </w:p>
        </w:tc>
        <w:tc>
          <w:tcPr>
            <w:tcW w:type="dxa" w:w="2154"/>
            <w:shd w:fill="F0F4FA"/>
          </w:tcPr>
          <w:p>
            <w:pPr>
              <w:jc w:val="center"/>
            </w:pPr>
            <w:r/>
            <w:r>
              <w:rPr>
                <w:rFonts w:ascii="微软雅黑" w:hAnsi="微软雅黑"/>
                <w:sz w:val="15"/>
              </w:rPr>
              <w:t>mintNFT, transferNFT, burnNFT</w:t>
            </w:r>
          </w:p>
        </w:tc>
        <w:tc>
          <w:tcPr>
            <w:tcW w:type="dxa" w:w="1984"/>
            <w:shd w:fill="F0F4FA"/>
          </w:tcPr>
          <w:p>
            <w:pPr>
              <w:jc w:val="center"/>
            </w:pPr>
            <w:r/>
            <w:r>
              <w:rPr>
                <w:rFonts w:ascii="微软雅黑" w:hAnsi="微软雅黑"/>
                <w:sz w:val="15"/>
              </w:rPr>
              <w:t>NFTMinted, NFTTransferred</w:t>
            </w:r>
          </w:p>
        </w:tc>
      </w:tr>
      <w:tr>
        <w:tc>
          <w:tcPr>
            <w:tcW w:type="dxa" w:w="1247"/>
          </w:tcPr>
          <w:p>
            <w:pPr>
              <w:jc w:val="center"/>
            </w:pPr>
            <w:r/>
            <w:r>
              <w:rPr>
                <w:rFonts w:ascii="微软雅黑" w:hAnsi="微软雅黑"/>
                <w:sz w:val="15"/>
              </w:rPr>
              <w:t>AuthorizationHub</w:t>
            </w:r>
          </w:p>
        </w:tc>
        <w:tc>
          <w:tcPr>
            <w:tcW w:type="dxa" w:w="1134"/>
          </w:tcPr>
          <w:p>
            <w:pPr>
              <w:jc w:val="center"/>
            </w:pPr>
            <w:r/>
            <w:r>
              <w:rPr>
                <w:rFonts w:ascii="微软雅黑" w:hAnsi="微软雅黑"/>
                <w:sz w:val="15"/>
              </w:rPr>
              <w:t>0xAU...</w:t>
            </w:r>
          </w:p>
        </w:tc>
        <w:tc>
          <w:tcPr>
            <w:tcW w:type="dxa" w:w="2154"/>
          </w:tcPr>
          <w:p>
            <w:pPr>
              <w:jc w:val="center"/>
            </w:pPr>
            <w:r/>
            <w:r>
              <w:rPr>
                <w:rFonts w:ascii="微软雅黑" w:hAnsi="微软雅黑"/>
                <w:sz w:val="15"/>
              </w:rPr>
              <w:t>grantAuth, revokeAuth, checkAuth</w:t>
            </w:r>
          </w:p>
        </w:tc>
        <w:tc>
          <w:tcPr>
            <w:tcW w:type="dxa" w:w="1984"/>
          </w:tcPr>
          <w:p>
            <w:pPr>
              <w:jc w:val="center"/>
            </w:pPr>
            <w:r/>
            <w:r>
              <w:rPr>
                <w:rFonts w:ascii="微软雅黑" w:hAnsi="微软雅黑"/>
                <w:sz w:val="15"/>
              </w:rPr>
              <w:t>AuthGranted, AuthRevoked</w:t>
            </w:r>
          </w:p>
        </w:tc>
      </w:tr>
      <w:tr>
        <w:tc>
          <w:tcPr>
            <w:tcW w:type="dxa" w:w="1247"/>
            <w:shd w:fill="F0F4FA"/>
          </w:tcPr>
          <w:p>
            <w:pPr>
              <w:jc w:val="center"/>
            </w:pPr>
            <w:r/>
            <w:r>
              <w:rPr>
                <w:rFonts w:ascii="微软雅黑" w:hAnsi="微软雅黑"/>
                <w:sz w:val="15"/>
              </w:rPr>
              <w:t>ContractManager</w:t>
            </w:r>
          </w:p>
        </w:tc>
        <w:tc>
          <w:tcPr>
            <w:tcW w:type="dxa" w:w="1134"/>
            <w:shd w:fill="F0F4FA"/>
          </w:tcPr>
          <w:p>
            <w:pPr>
              <w:jc w:val="center"/>
            </w:pPr>
            <w:r/>
            <w:r>
              <w:rPr>
                <w:rFonts w:ascii="微软雅黑" w:hAnsi="微软雅黑"/>
                <w:sz w:val="15"/>
              </w:rPr>
              <w:t>0xCM...</w:t>
            </w:r>
          </w:p>
        </w:tc>
        <w:tc>
          <w:tcPr>
            <w:tcW w:type="dxa" w:w="2154"/>
            <w:shd w:fill="F0F4FA"/>
          </w:tcPr>
          <w:p>
            <w:pPr>
              <w:jc w:val="center"/>
            </w:pPr>
            <w:r/>
            <w:r>
              <w:rPr>
                <w:rFonts w:ascii="微软雅黑" w:hAnsi="微软雅黑"/>
                <w:sz w:val="15"/>
              </w:rPr>
              <w:t>deployContract, upgradeContract, pauseContract</w:t>
            </w:r>
          </w:p>
        </w:tc>
        <w:tc>
          <w:tcPr>
            <w:tcW w:type="dxa" w:w="1984"/>
            <w:shd w:fill="F0F4FA"/>
          </w:tcPr>
          <w:p>
            <w:pPr>
              <w:jc w:val="center"/>
            </w:pPr>
            <w:r/>
            <w:r>
              <w:rPr>
                <w:rFonts w:ascii="微软雅黑" w:hAnsi="微软雅黑"/>
                <w:sz w:val="15"/>
              </w:rPr>
              <w:t>ContractDeployed, ContractUpgraded</w:t>
            </w:r>
          </w:p>
        </w:tc>
      </w:tr>
    </w:tbl>
    <w:p/>
    <w:p>
      <w:r>
        <w:br w:type="page"/>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