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能源可信数据空间隐私保护实现方案分析报告</w:t>
      </w:r>
    </w:p>
    <w:p>
      <w:pPr>
        <w:ind w:left="720"/>
      </w:pPr>
      <w:r>
        <w:t>📅 生成日期：2026-05-27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 1 章 数据加密体系</w:t>
      </w:r>
    </w:p>
    <w:p>
      <w:pPr>
        <w:pStyle w:val="Heading2"/>
      </w:pPr>
      <w:r>
        <w:t>1.1 国密算法全栈实现</w:t>
      </w:r>
    </w:p>
    <w:p>
      <w:r>
        <w:t xml:space="preserve">项目在 </w:t>
      </w:r>
      <w:r>
        <w:rPr>
          <w:rFonts w:ascii="Consolas" w:hAnsi="Consolas"/>
          <w:sz w:val="18"/>
        </w:rPr>
        <w:t>backend/app/core/gmssl_adapter.py</w:t>
      </w:r>
      <w:r>
        <w:t xml:space="preserve"> 和 </w:t>
      </w:r>
      <w:r>
        <w:rPr>
          <w:rFonts w:ascii="Consolas" w:hAnsi="Consolas"/>
          <w:sz w:val="18"/>
        </w:rPr>
        <w:t>backend/app/services/gmssl_real.py</w:t>
      </w:r>
      <w:r>
        <w:t xml:space="preserve"> 中完成了五种国密算法的完整实现，覆盖对称加密、非对称加密、哈希摘要和流密码四大类别。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算法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核心能力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标准依据</w:t>
            </w:r>
          </w:p>
        </w:tc>
      </w:tr>
      <w:tr>
        <w:tc>
          <w:tcPr>
            <w:tcW w:type="dxa" w:w="2160"/>
          </w:tcPr>
          <w:p>
            <w:r>
              <w:t>SM2</w:t>
            </w:r>
          </w:p>
        </w:tc>
        <w:tc>
          <w:tcPr>
            <w:tcW w:type="dxa" w:w="2160"/>
          </w:tcPr>
          <w:p>
            <w:r>
              <w:t>ECC 公钥密码</w:t>
            </w:r>
          </w:p>
        </w:tc>
        <w:tc>
          <w:tcPr>
            <w:tcW w:type="dxa" w:w="2160"/>
          </w:tcPr>
          <w:p>
            <w:r>
              <w:t>数字签名/验签、公钥加密/解密、密钥对生成（256-bit 椭圆曲线）</w:t>
            </w:r>
          </w:p>
        </w:tc>
        <w:tc>
          <w:tcPr>
            <w:tcW w:type="dxa" w:w="2160"/>
          </w:tcPr>
          <w:p>
            <w:r>
              <w:t>GB/T 32918</w:t>
            </w:r>
          </w:p>
        </w:tc>
      </w:tr>
      <w:tr>
        <w:tc>
          <w:tcPr>
            <w:tcW w:type="dxa" w:w="2160"/>
          </w:tcPr>
          <w:p>
            <w:r>
              <w:t>SM3</w:t>
            </w:r>
          </w:p>
        </w:tc>
        <w:tc>
          <w:tcPr>
            <w:tcW w:type="dxa" w:w="2160"/>
          </w:tcPr>
          <w:p>
            <w:r>
              <w:t>密码杂凑</w:t>
            </w:r>
          </w:p>
        </w:tc>
        <w:tc>
          <w:tcPr>
            <w:tcW w:type="dxa" w:w="2160"/>
          </w:tcPr>
          <w:p>
            <w:r>
              <w:t>256-bit 哈希、密码存储（salt + SM3）、TEE 哈希链完整性验证</w:t>
            </w:r>
          </w:p>
        </w:tc>
        <w:tc>
          <w:tcPr>
            <w:tcW w:type="dxa" w:w="2160"/>
          </w:tcPr>
          <w:p>
            <w:r>
              <w:t>GB/T 32905</w:t>
            </w:r>
          </w:p>
        </w:tc>
      </w:tr>
      <w:tr>
        <w:tc>
          <w:tcPr>
            <w:tcW w:type="dxa" w:w="2160"/>
          </w:tcPr>
          <w:p>
            <w:r>
              <w:t>SM4</w:t>
            </w:r>
          </w:p>
        </w:tc>
        <w:tc>
          <w:tcPr>
            <w:tcW w:type="dxa" w:w="2160"/>
          </w:tcPr>
          <w:p>
            <w:r>
              <w:t>分组对称加密</w:t>
            </w:r>
          </w:p>
        </w:tc>
        <w:tc>
          <w:tcPr>
            <w:tcW w:type="dxa" w:w="2160"/>
          </w:tcPr>
          <w:p>
            <w:r>
              <w:t>ECB 模式（128-bit 密钥）、GCM 模式（TEE 结果加密，SM4-CTR + GMAC 认证标签）</w:t>
            </w:r>
          </w:p>
        </w:tc>
        <w:tc>
          <w:tcPr>
            <w:tcW w:type="dxa" w:w="2160"/>
          </w:tcPr>
          <w:p>
            <w:r>
              <w:t>GB/T 32907</w:t>
            </w:r>
          </w:p>
        </w:tc>
      </w:tr>
      <w:tr>
        <w:tc>
          <w:tcPr>
            <w:tcW w:type="dxa" w:w="2160"/>
          </w:tcPr>
          <w:p>
            <w:r>
              <w:t>SM9</w:t>
            </w:r>
          </w:p>
        </w:tc>
        <w:tc>
          <w:tcPr>
            <w:tcW w:type="dxa" w:w="2160"/>
          </w:tcPr>
          <w:p>
            <w:r>
              <w:t>标识密码</w:t>
            </w:r>
          </w:p>
        </w:tc>
        <w:tc>
          <w:tcPr>
            <w:tcW w:type="dxa" w:w="2160"/>
          </w:tcPr>
          <w:p>
            <w:r>
              <w:t>标识签名 IBSA / 标识加密 IBE、基于 KGC 的密钥生成，无需证书管理</w:t>
            </w:r>
          </w:p>
        </w:tc>
        <w:tc>
          <w:tcPr>
            <w:tcW w:type="dxa" w:w="2160"/>
          </w:tcPr>
          <w:p>
            <w:r>
              <w:t>GB/T 38636</w:t>
            </w:r>
          </w:p>
        </w:tc>
      </w:tr>
      <w:tr>
        <w:tc>
          <w:tcPr>
            <w:tcW w:type="dxa" w:w="2160"/>
          </w:tcPr>
          <w:p>
            <w:r>
              <w:t>ZUC-128</w:t>
            </w:r>
          </w:p>
        </w:tc>
        <w:tc>
          <w:tcPr>
            <w:tcW w:type="dxa" w:w="2160"/>
          </w:tcPr>
          <w:p>
            <w:r>
              <w:t>流密码</w:t>
            </w:r>
          </w:p>
        </w:tc>
        <w:tc>
          <w:tcPr>
            <w:tcW w:type="dxa" w:w="2160"/>
          </w:tcPr>
          <w:p>
            <w:r>
              <w:t>流密码加密/解密，128-bit 密钥</w:t>
            </w:r>
          </w:p>
        </w:tc>
        <w:tc>
          <w:tcPr>
            <w:tcW w:type="dxa" w:w="2160"/>
          </w:tcPr>
          <w:p>
            <w:r>
              <w:t>GB/T 33133</w:t>
            </w:r>
          </w:p>
        </w:tc>
      </w:tr>
    </w:tbl>
    <w:p/>
    <w:p>
      <w:r>
        <w:t>五种算法的实现均非空壳或模拟——每个算法类内部包含完整的数学运算逻辑（点乘、双线性对、模运算等），可直接用于生产环境的国密合规场景。</w:t>
      </w:r>
    </w:p>
    <w:p>
      <w:pPr>
        <w:pStyle w:val="Heading2"/>
      </w:pPr>
      <w:r>
        <w:t>1.2 密码存储与验证方案</w:t>
      </w:r>
    </w:p>
    <w:p>
      <w:r>
        <w:t xml:space="preserve">密码安全模块位于 </w:t>
      </w:r>
      <w:r>
        <w:rPr>
          <w:rFonts w:ascii="Consolas" w:hAnsi="Consolas"/>
          <w:sz w:val="18"/>
        </w:rPr>
        <w:t>backend/app/core/security.py</w:t>
      </w:r>
      <w:r>
        <w:t xml:space="preserve">，采用 </w:t>
      </w:r>
      <w:r>
        <w:rPr>
          <w:b/>
        </w:rPr>
        <w:t>随机 salt + SM3 哈希 + 恒定时间比较</w:t>
      </w:r>
      <w:r>
        <w:t xml:space="preserve"> 三重保护：</w:t>
      </w:r>
    </w:p>
    <w:p>
      <w:pPr>
        <w:pStyle w:val="NoSpacing"/>
      </w:pPr>
      <w:r>
        <w:rPr>
          <w:rFonts w:ascii="Consolas" w:hAnsi="Consolas"/>
          <w:sz w:val="18"/>
        </w:rPr>
        <w:t># — 密码哈希：随机 16 字节 salt + SM3(salt || password)</w:t>
      </w:r>
    </w:p>
    <w:p>
      <w:pPr>
        <w:pStyle w:val="NoSpacing"/>
      </w:pPr>
      <w:r>
        <w:rPr>
          <w:rFonts w:ascii="Consolas" w:hAnsi="Consolas"/>
          <w:sz w:val="18"/>
        </w:rPr>
        <w:t>def hash_password(password: str) -&gt; str: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salt = secrets.token_hex(16)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hash_val = sm3_engine.hash((salt + password).encode('utf-8'))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return f"{salt}${hash_val}"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# — 验证：secrets.compare_digest() 恒定时间比较，防时序侧信道攻击</w:t>
      </w:r>
    </w:p>
    <w:p>
      <w:pPr>
        <w:pStyle w:val="NoSpacing"/>
      </w:pPr>
      <w:r>
        <w:rPr>
          <w:rFonts w:ascii="Consolas" w:hAnsi="Consolas"/>
          <w:sz w:val="18"/>
        </w:rPr>
        <w:t>def verify_password(password: str, hashed: str) -&gt; bool: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salt, stored_hash = hashed.split('$', 1)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computed = sm3_engine.hash((salt + password).encode('utf-8'))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return secrets.compare_digest(computed, stored_hash)</w:t>
      </w:r>
    </w:p>
    <w:p>
      <w:pPr>
        <w:pStyle w:val="NoSpacing"/>
      </w:pPr>
    </w:p>
    <w:p>
      <w:r>
        <w:t>该方案的技术亮点：</w:t>
      </w:r>
    </w:p>
    <w:p>
      <w:pPr>
        <w:pStyle w:val="ListNumber"/>
      </w:pPr>
      <w:r>
        <w:rPr>
          <w:b/>
        </w:rPr>
        <w:t>随机 salt 防彩虹表</w:t>
      </w:r>
      <w:r>
        <w:t>：每个密码独立生成 16 字节随机盐，确保相同明文的哈希值不同。</w:t>
      </w:r>
    </w:p>
    <w:p>
      <w:pPr>
        <w:pStyle w:val="ListNumber"/>
      </w:pPr>
      <w:r>
        <w:rPr>
          <w:b/>
        </w:rPr>
        <w:t>SM3 替代 SHA-256</w:t>
      </w:r>
      <w:r>
        <w:t>：满足等国密合规要求，输出 256-bit 固定长度摘要。</w:t>
      </w:r>
    </w:p>
    <w:p>
      <w:pPr>
        <w:pStyle w:val="ListNumber"/>
      </w:pPr>
      <w:r>
        <w:rPr>
          <w:b/>
        </w:rPr>
        <w:t>secrets.compare_digest 防时序攻击</w:t>
      </w:r>
      <w:r>
        <w:t>：O(1) 恒定时间字符串比较，杜绝攻击者通过测量验证耗时推断哈希前缀。</w:t>
      </w:r>
    </w:p>
    <w:p>
      <w:pPr>
        <w:pStyle w:val="ListNumber"/>
      </w:pPr>
      <w:r>
        <w:rPr>
          <w:b/>
        </w:rPr>
        <w:t>存储格式自描述</w:t>
      </w:r>
      <w:r>
        <w:t>：</w:t>
      </w:r>
      <w:r>
        <w:rPr>
          <w:rFonts w:ascii="Consolas" w:hAnsi="Consolas"/>
          <w:sz w:val="18"/>
        </w:rPr>
        <w:t>{salt}${hash}</w:t>
      </w:r>
      <w:r>
        <w:t xml:space="preserve"> 格式内含盐值，验证时无需额外查询。</w:t>
      </w:r>
    </w:p>
    <w:p>
      <w:pPr>
        <w:pStyle w:val="Heading2"/>
      </w:pPr>
      <w:r>
        <w:t>1.3 SM4-GCM 在 TEE 中的应用</w:t>
      </w:r>
    </w:p>
    <w:p>
      <w:r>
        <w:t>TEE 可信执行环境（</w:t>
      </w:r>
      <w:r>
        <w:rPr>
          <w:rFonts w:ascii="Consolas" w:hAnsi="Consolas"/>
          <w:sz w:val="18"/>
        </w:rPr>
        <w:t>services/tee_service.py</w:t>
      </w:r>
      <w:r>
        <w:t xml:space="preserve">）中，结果加密器 </w:t>
      </w:r>
      <w:r>
        <w:rPr>
          <w:rFonts w:ascii="Consolas" w:hAnsi="Consolas"/>
          <w:sz w:val="18"/>
        </w:rPr>
        <w:t>ResultEncryptor</w:t>
      </w:r>
      <w:r>
        <w:t xml:space="preserve"> 实现了 </w:t>
      </w:r>
      <w:r>
        <w:rPr>
          <w:b/>
        </w:rPr>
        <w:t>SM4-GCM 模式</w:t>
      </w:r>
      <w:r>
        <w:t>——相比通用的 SM4-ECB，GCM 额外提供了数据完整性和认证能力：</w:t>
      </w:r>
    </w:p>
    <w:p>
      <w:pPr>
        <w:pStyle w:val="NoSpacing"/>
      </w:pPr>
      <w:r>
        <w:rPr>
          <w:rFonts w:ascii="Consolas" w:hAnsi="Consolas"/>
          <w:sz w:val="18"/>
        </w:rPr>
        <w:t>class ResultEncryptor: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"""SM4-GCM 结果加密器"""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@staticmethod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encrypt(key: bytes, nonce: bytes, plaintext: bytes, aad: bytes = b"") -&gt; dict: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内部流程：SM4-CTR 加密明文 + GMAC 计算认证标签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返回 {"nonce": hex, "ciphertext": hex, "tag": hex}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...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  @staticmethod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decrypt(key: bytes, nonce: bytes, ciphertext: bytes, tag: bytes, aad: bytes = b"") -&gt; bytes: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先验证 GMAC 标签，通过后才解密返回明文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...</w:t>
      </w:r>
    </w:p>
    <w:p>
      <w:pPr>
        <w:pStyle w:val="NoSpacing"/>
      </w:pPr>
    </w:p>
    <w:p>
      <w:r>
        <w:t xml:space="preserve">GCM 模式的关键优势在于 </w:t>
      </w:r>
      <w:r>
        <w:rPr>
          <w:b/>
        </w:rPr>
        <w:t>认证加密（AEAD）</w:t>
      </w:r>
      <w:r>
        <w:t>：攻击者即使拥有密钥，若篡改密文，解密时 GMAC 标签验证会立即失败并拒绝返回篡改数据。这在 TEE 场景中至关重要——确保飞地输出的结果在传输过程中未被中间人修改。</w:t>
      </w:r>
    </w:p>
    <w:p>
      <w:pPr>
        <w:pStyle w:val="Heading2"/>
      </w:pPr>
      <w:r>
        <w:t>1.4 密钥管理体系</w:t>
      </w:r>
    </w:p>
    <w:p>
      <w:r>
        <w:t>项目对不同算法采用分层隔离的密钥管理策略：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密钥类型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生命周期管理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存储方式</w:t>
            </w:r>
          </w:p>
        </w:tc>
      </w:tr>
      <w:tr>
        <w:tc>
          <w:tcPr>
            <w:tcW w:type="dxa" w:w="2880"/>
          </w:tcPr>
          <w:p>
            <w:r>
              <w:t>SM2 密钥对</w:t>
            </w:r>
          </w:p>
        </w:tc>
        <w:tc>
          <w:tcPr>
            <w:tcW w:type="dxa" w:w="2880"/>
          </w:tcPr>
          <w:p>
            <w:r>
              <w:t>gmssl_adapter 统一生成（公钥/私钥对）</w:t>
            </w:r>
          </w:p>
        </w:tc>
        <w:tc>
          <w:tcPr>
            <w:tcW w:type="dxa" w:w="2880"/>
          </w:tcPr>
          <w:p>
            <w:r>
              <w:t>私钥本地存储，公钥可传入 DID Document</w:t>
            </w:r>
          </w:p>
        </w:tc>
      </w:tr>
      <w:tr>
        <w:tc>
          <w:tcPr>
            <w:tcW w:type="dxa" w:w="2880"/>
          </w:tcPr>
          <w:p>
            <w:r>
              <w:t>SM4 密钥</w:t>
            </w:r>
          </w:p>
        </w:tc>
        <w:tc>
          <w:tcPr>
            <w:tcW w:type="dxa" w:w="2880"/>
          </w:tcPr>
          <w:p>
            <w:r>
              <w:t>ResultEncryptor.generate_key() 生成（128-bit）</w:t>
            </w:r>
          </w:p>
        </w:tc>
        <w:tc>
          <w:tcPr>
            <w:tcW w:type="dxa" w:w="2880"/>
          </w:tcPr>
          <w:p>
            <w:r>
              <w:t>在 TEE 中通过 SealedStorage 密封保护</w:t>
            </w:r>
          </w:p>
        </w:tc>
      </w:tr>
      <w:tr>
        <w:tc>
          <w:tcPr>
            <w:tcW w:type="dxa" w:w="2880"/>
          </w:tcPr>
          <w:p>
            <w:r>
              <w:t>HE 密钥</w:t>
            </w:r>
          </w:p>
        </w:tc>
        <w:tc>
          <w:tcPr>
            <w:tcW w:type="dxa" w:w="2880"/>
          </w:tcPr>
          <w:p>
            <w:r>
              <w:t>HeKey 数据库模型持久化</w:t>
            </w:r>
          </w:p>
        </w:tc>
        <w:tc>
          <w:tcPr>
            <w:tcW w:type="dxa" w:w="2880"/>
          </w:tcPr>
          <w:p>
            <w:r>
              <w:t>context/secret_key 经 base64 编码存入数据库</w:t>
            </w:r>
          </w:p>
        </w:tc>
      </w:tr>
      <w:tr>
        <w:tc>
          <w:tcPr>
            <w:tcW w:type="dxa" w:w="2880"/>
          </w:tcPr>
          <w:p>
            <w:r>
              <w:t>AES-256-GCM 密封密钥</w:t>
            </w:r>
          </w:p>
        </w:tc>
        <w:tc>
          <w:tcPr>
            <w:tcW w:type="dxa" w:w="2880"/>
          </w:tcPr>
          <w:p>
            <w:r>
              <w:t>SealedStorage 内部生成</w:t>
            </w:r>
          </w:p>
        </w:tc>
        <w:tc>
          <w:tcPr>
            <w:tcW w:type="dxa" w:w="2880"/>
          </w:tcPr>
          <w:p>
            <w:r>
              <w:t>经 SM4 包装后存入 sealed_data 表，绑定 TEE 身份</w:t>
            </w:r>
          </w:p>
        </w:tc>
      </w:tr>
    </w:tbl>
    <w:p/>
    <w:p>
      <w:r>
        <w:rPr>
          <w:b/>
        </w:rPr>
        <w:t>TEE 密封存储的层级加密结构</w:t>
      </w:r>
      <w:r>
        <w:t>：</w:t>
      </w:r>
    </w:p>
    <w:p>
      <w:pPr>
        <w:pStyle w:val="NoSpacing"/>
      </w:pPr>
      <w:r>
        <w:rPr>
          <w:rFonts w:ascii="Consolas" w:hAnsi="Consolas"/>
          <w:sz w:val="18"/>
        </w:rPr>
        <w:t>原始数据 → AES-256-GCM 加密 → 密文 + 认证标签</w:t>
      </w:r>
    </w:p>
    <w:p>
      <w:pPr>
        <w:pStyle w:val="NoSpacing"/>
      </w:pPr>
      <w:r>
        <w:rPr>
          <w:rFonts w:ascii="Consolas" w:hAnsi="Consolas"/>
          <w:sz w:val="18"/>
        </w:rPr>
        <w:t>AES 密钥 → SM4-GCM 包装    → 包装后的密钥块</w:t>
      </w:r>
    </w:p>
    <w:p>
      <w:pPr>
        <w:pStyle w:val="NoSpacing"/>
      </w:pPr>
      <w:r>
        <w:rPr>
          <w:rFonts w:ascii="Consolas" w:hAnsi="Consolas"/>
          <w:sz w:val="18"/>
        </w:rPr>
        <w:t>身份绑定 → 密封时嵌入 enclave_id + 数据所有者的 DID</w:t>
      </w:r>
    </w:p>
    <w:p>
      <w:pPr>
        <w:pStyle w:val="NoSpacing"/>
      </w:pPr>
    </w:p>
    <w:p>
      <w:pPr>
        <w:ind w:left="720"/>
      </w:pPr>
      <w:r>
        <w:rPr>
          <w:b/>
        </w:rPr>
        <w:t>待优化项</w:t>
      </w:r>
      <w:r>
        <w:t>：SM4 在通用加密场景（</w:t>
      </w:r>
      <w:r>
        <w:rPr>
          <w:rFonts w:ascii="Consolas" w:hAnsi="Consolas"/>
          <w:sz w:val="18"/>
        </w:rPr>
        <w:t>gmssl_adapter.py</w:t>
      </w:r>
      <w:r>
        <w:t>）中使用 ECB 模式，不提供完整性保护。建议将非 TEE 场景下的 SM4 加密也升级为 GCM 或 CBC 模式。</w:t>
      </w:r>
    </w:p>
    <w:p>
      <w:pPr>
        <w:pStyle w:val="Heading2"/>
      </w:pPr>
      <w:r>
        <w:t>1.5 本章小结</w:t>
      </w:r>
    </w:p>
    <w:p>
      <w:r>
        <w:t xml:space="preserve">项目实现了国密算法从 SM2 到 ZUC 的全栈覆盖，共五种算法 </w:t>
      </w:r>
      <w:r>
        <w:rPr>
          <w:b/>
        </w:rPr>
        <w:t>均为完整实现</w:t>
      </w:r>
      <w:r>
        <w:t>（非 API 封装空壳）。密码存储采用 salt + SM3 + 恒定时间比较的专业方案，SM4-GCM 在 TEE 场景提供了认证加密能力。密钥管理按 SM2/SM4/HE/AES-256-GCM 四类分层隔离，密封存储采用 AES-256-GCM → SM4-GCM 的层级加密结构。SM4-ECB 在通用场景中缺乏完整性保护，建议后续升级。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 2 章 访问控制体系</w:t>
      </w:r>
    </w:p>
    <w:p>
      <w:r>
        <w:t xml:space="preserve">项目构建了 </w:t>
      </w:r>
      <w:r>
        <w:rPr>
          <w:b/>
        </w:rPr>
        <w:t>ABAC（属性基）+ DID（去中心化身份）+ VC（可验证凭证）</w:t>
      </w:r>
      <w:r>
        <w:t xml:space="preserve"> 三层纵深访问控制体系，覆盖从属性评估到凭证验证的完整授权链路。</w:t>
      </w:r>
    </w:p>
    <w:p>
      <w:pPr>
        <w:pStyle w:val="Heading2"/>
      </w:pPr>
      <w:r>
        <w:t>2.1 ABAC 基于属性的访问控制</w:t>
      </w:r>
    </w:p>
    <w:p>
      <w:r>
        <w:rPr>
          <w:rFonts w:ascii="Consolas" w:hAnsi="Consolas"/>
          <w:sz w:val="18"/>
        </w:rPr>
        <w:t>services/abac_service.py</w:t>
      </w:r>
      <w:r>
        <w:t>（1569 行）实现了完整的 ABAC 引擎，核心由属性体系、条件评估引擎、策略模板、冲突检测、评估缓存五部分组成。</w:t>
      </w:r>
    </w:p>
    <w:p>
      <w:pPr>
        <w:pStyle w:val="Heading3"/>
      </w:pPr>
      <w:r>
        <w:t>2.1.1 属性体系（11 个内置属性）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主体 Subject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用户角色（admin/analyst/user/auditor）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所属部门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clearance_level</w:t>
            </w:r>
          </w:p>
        </w:tc>
        <w:tc>
          <w:tcPr>
            <w:tcW w:type="dxa" w:w="2880"/>
          </w:tcPr>
          <w:p>
            <w:r>
              <w:t>安全等级（1-5 级）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did</w:t>
            </w:r>
          </w:p>
        </w:tc>
        <w:tc>
          <w:tcPr>
            <w:tcW w:type="dxa" w:w="2880"/>
          </w:tcPr>
          <w:p>
            <w:r>
              <w:t>用户 DID 标识</w:t>
            </w:r>
          </w:p>
        </w:tc>
      </w:tr>
      <w:tr>
        <w:tc>
          <w:tcPr>
            <w:tcW w:type="dxa" w:w="2880"/>
          </w:tcPr>
          <w:p>
            <w:r>
              <w:t>客体 Resource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资源类型（dataset/report/model）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sensitivity</w:t>
            </w:r>
          </w:p>
        </w:tc>
        <w:tc>
          <w:tcPr>
            <w:tcW w:type="dxa" w:w="2880"/>
          </w:tcPr>
          <w:p>
            <w:r>
              <w:t>敏感度等级（1-4 级）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资源所有者</w:t>
            </w:r>
          </w:p>
        </w:tc>
      </w:tr>
      <w:tr>
        <w:tc>
          <w:tcPr>
            <w:tcW w:type="dxa" w:w="2880"/>
          </w:tcPr>
          <w:p>
            <w:r>
              <w:t>操作 Action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操作类型（read/write/delete/execute）</w:t>
            </w:r>
          </w:p>
        </w:tc>
      </w:tr>
      <w:tr>
        <w:tc>
          <w:tcPr>
            <w:tcW w:type="dxa" w:w="2880"/>
          </w:tcPr>
          <w:p>
            <w:r>
              <w:t>环境 Environment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请求时间（Unix 时间戳）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请求来源 IP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请求来源地理位置</w:t>
            </w:r>
          </w:p>
        </w:tc>
      </w:tr>
    </w:tbl>
    <w:p/>
    <w:p>
      <w:pPr>
        <w:pStyle w:val="Heading3"/>
      </w:pPr>
      <w:r>
        <w:t>2.1.2 条件评估引擎（14 种操作符）</w:t>
      </w:r>
    </w:p>
    <w:p>
      <w:r>
        <w:t>评估引擎支持 14 种条件操作符，覆盖字符串、数值、时间、网络四类比较场景：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操作符</w:t>
            </w:r>
          </w:p>
        </w:tc>
      </w:tr>
      <w:tr>
        <w:tc>
          <w:tcPr>
            <w:tcW w:type="dxa" w:w="4320"/>
          </w:tcPr>
          <w:p>
            <w:r>
              <w:t>字符串</w:t>
            </w:r>
          </w:p>
        </w:tc>
        <w:tc>
          <w:tcPr>
            <w:tcW w:type="dxa" w:w="4320"/>
          </w:tcPr>
          <w:p>
            <w:r>
              <w:t>eq（等于）、ne（不等于）、contains、starts_with、ends_with、regex</w:t>
            </w:r>
          </w:p>
        </w:tc>
      </w:tr>
      <w:tr>
        <w:tc>
          <w:tcPr>
            <w:tcW w:type="dxa" w:w="4320"/>
          </w:tcPr>
          <w:p>
            <w:r>
              <w:t>数值</w:t>
            </w:r>
          </w:p>
        </w:tc>
        <w:tc>
          <w:tcPr>
            <w:tcW w:type="dxa" w:w="4320"/>
          </w:tcPr>
          <w:p>
            <w:r>
              <w:t>gt、gte、lt、lte</w:t>
            </w:r>
          </w:p>
        </w:tc>
      </w:tr>
      <w:tr>
        <w:tc>
          <w:tcPr>
            <w:tcW w:type="dxa" w:w="4320"/>
          </w:tcPr>
          <w:p>
            <w:r>
              <w:t>集合</w:t>
            </w:r>
          </w:p>
        </w:tc>
        <w:tc>
          <w:tcPr>
            <w:tcW w:type="dxa" w:w="4320"/>
          </w:tcPr>
          <w:p>
            <w:r>
              <w:t>in（集合包含）</w:t>
            </w:r>
          </w:p>
        </w:tc>
      </w:tr>
      <w:tr>
        <w:tc>
          <w:tcPr>
            <w:tcW w:type="dxa" w:w="4320"/>
          </w:tcPr>
          <w:p>
            <w:r>
              <w:t>存在性</w:t>
            </w:r>
          </w:p>
        </w:tc>
        <w:tc>
          <w:tcPr>
            <w:tcW w:type="dxa" w:w="4320"/>
          </w:tcPr>
          <w:p>
            <w:r>
              <w:t>exists</w:t>
            </w:r>
          </w:p>
        </w:tc>
      </w:tr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time_in_range、time_is_work_hours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ip_in_subnet、ip_in_list</w:t>
            </w:r>
          </w:p>
        </w:tc>
      </w:tr>
    </w:tbl>
    <w:p/>
    <w:p>
      <w:pPr>
        <w:pStyle w:val="Heading3"/>
      </w:pPr>
      <w:r>
        <w:t>2.1.3 预置策略模板（5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模板名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策略逻辑</w:t>
            </w:r>
          </w:p>
        </w:tc>
      </w:tr>
      <w:tr>
        <w:tc>
          <w:tcPr>
            <w:tcW w:type="dxa" w:w="4320"/>
          </w:tcPr>
          <w:p>
            <w:r>
              <w:t>only_during_work_hours</w:t>
            </w:r>
          </w:p>
        </w:tc>
        <w:tc>
          <w:tcPr>
            <w:tcW w:type="dxa" w:w="4320"/>
          </w:tcPr>
          <w:p>
            <w:r>
              <w:t>仅工作时间（9:00-18:00）允许访问</w:t>
            </w:r>
          </w:p>
        </w:tc>
      </w:tr>
      <w:tr>
        <w:tc>
          <w:tcPr>
            <w:tcW w:type="dxa" w:w="4320"/>
          </w:tcPr>
          <w:p>
            <w:r>
              <w:t>ip_whitelist_only</w:t>
            </w:r>
          </w:p>
        </w:tc>
        <w:tc>
          <w:tcPr>
            <w:tcW w:type="dxa" w:w="4320"/>
          </w:tcPr>
          <w:p>
            <w:r>
              <w:t>仅允许白名单 IP 段访问</w:t>
            </w:r>
          </w:p>
        </w:tc>
      </w:tr>
      <w:tr>
        <w:tc>
          <w:tcPr>
            <w:tcW w:type="dxa" w:w="4320"/>
          </w:tcPr>
          <w:p>
            <w:r>
              <w:t>high_sensitivity_restricted</w:t>
            </w:r>
          </w:p>
        </w:tc>
        <w:tc>
          <w:tcPr>
            <w:tcW w:type="dxa" w:w="4320"/>
          </w:tcPr>
          <w:p>
            <w:r>
              <w:t>敏感度 ≥3 的资源仅允许 clearance_level ≥3 的主体访问</w:t>
            </w:r>
          </w:p>
        </w:tc>
      </w:tr>
      <w:tr>
        <w:tc>
          <w:tcPr>
            <w:tcW w:type="dxa" w:w="4320"/>
          </w:tcPr>
          <w:p>
            <w:r>
              <w:t>admin_only</w:t>
            </w:r>
          </w:p>
        </w:tc>
        <w:tc>
          <w:tcPr>
            <w:tcW w:type="dxa" w:w="4320"/>
          </w:tcPr>
          <w:p>
            <w:r>
              <w:t>仅 role=admin 可访问</w:t>
            </w:r>
          </w:p>
        </w:tc>
      </w:tr>
      <w:tr>
        <w:tc>
          <w:tcPr>
            <w:tcW w:type="dxa" w:w="4320"/>
          </w:tcPr>
          <w:p>
            <w:r>
              <w:t>owner_or_admin</w:t>
            </w:r>
          </w:p>
        </w:tc>
        <w:tc>
          <w:tcPr>
            <w:tcW w:type="dxa" w:w="4320"/>
          </w:tcPr>
          <w:p>
            <w:r>
              <w:t>资源所有者或管理员可访问</w:t>
            </w:r>
          </w:p>
        </w:tc>
      </w:tr>
    </w:tbl>
    <w:p/>
    <w:p>
      <w:pPr>
        <w:pStyle w:val="Heading3"/>
      </w:pPr>
      <w:r>
        <w:t>2.1.4 策略冲突检测与评估缓存</w:t>
      </w:r>
    </w:p>
    <w:p>
      <w:pPr>
        <w:pStyle w:val="NoSpacing"/>
      </w:pPr>
      <w:r>
        <w:rPr>
          <w:rFonts w:ascii="Consolas" w:hAnsi="Consolas"/>
          <w:sz w:val="18"/>
        </w:rPr>
        <w:t># 冲突检测：同一资源上同时存在 allow 和 deny 策略时触发告警</w:t>
      </w:r>
    </w:p>
    <w:p>
      <w:pPr>
        <w:pStyle w:val="NoSpacing"/>
      </w:pPr>
      <w:r>
        <w:rPr>
          <w:rFonts w:ascii="Consolas" w:hAnsi="Consolas"/>
          <w:sz w:val="18"/>
        </w:rPr>
        <w:t>def detect_conflicts(policies: list) -&gt; list: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返回冲突报告列表，包含冲突类型、涉及策略 ID、建议操作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...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# LRU 评估缓存：256 条，TTL 60 秒，键为 (policy_id, context_hash)</w:t>
      </w:r>
    </w:p>
    <w:p>
      <w:pPr>
        <w:pStyle w:val="NoSpacing"/>
      </w:pPr>
      <w:r>
        <w:rPr>
          <w:rFonts w:ascii="Consolas" w:hAnsi="Consolas"/>
          <w:sz w:val="18"/>
        </w:rPr>
        <w:t># 命中缓存时直接返回缓存结果，避免重复评估</w:t>
      </w:r>
    </w:p>
    <w:p>
      <w:pPr>
        <w:pStyle w:val="NoSpacing"/>
      </w:pPr>
    </w:p>
    <w:p>
      <w:pPr>
        <w:pStyle w:val="Heading2"/>
      </w:pPr>
      <w:r>
        <w:t>2.2 DID 去中心化身份</w:t>
      </w:r>
    </w:p>
    <w:p>
      <w:r>
        <w:rPr>
          <w:rFonts w:ascii="Consolas" w:hAnsi="Consolas"/>
          <w:sz w:val="18"/>
        </w:rPr>
        <w:t>services/did_service.py</w:t>
      </w:r>
      <w:r>
        <w:t>（644 行）实现了 W3C DID v1.0 标准的双方法支持。</w:t>
      </w:r>
    </w:p>
    <w:p>
      <w:pPr>
        <w:pStyle w:val="Heading3"/>
      </w:pPr>
      <w:r>
        <w:t>2.2.1 两种 DID 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method-specific-id 生成规则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did:tds</w:t>
            </w:r>
          </w:p>
        </w:tc>
        <w:tc>
          <w:tcPr>
            <w:tcW w:type="dxa" w:w="2880"/>
          </w:tcPr>
          <w:p>
            <w:r>
              <w:t>SM3(公钥_hex) 取前 16 位</w:t>
            </w:r>
          </w:p>
        </w:tc>
        <w:tc>
          <w:tcPr>
            <w:tcW w:type="dxa" w:w="2880"/>
          </w:tcPr>
          <w:p>
            <w:r>
              <w:t>非链上场景，轻量级身份标识</w:t>
            </w:r>
          </w:p>
        </w:tc>
      </w:tr>
      <w:tr>
        <w:tc>
          <w:tcPr>
            <w:tcW w:type="dxa" w:w="2880"/>
          </w:tcPr>
          <w:p>
            <w:r>
              <w:t>did:fisco</w:t>
            </w:r>
          </w:p>
        </w:tc>
        <w:tc>
          <w:tcPr>
            <w:tcW w:type="dxa" w:w="2880"/>
          </w:tcPr>
          <w:p>
            <w:r>
              <w:t>blockchainAccountId（eip155 格式）</w:t>
            </w:r>
          </w:p>
        </w:tc>
        <w:tc>
          <w:tcPr>
            <w:tcW w:type="dxa" w:w="2880"/>
          </w:tcPr>
          <w:p>
            <w:r>
              <w:t>FISCO BCOS 链上身份，支持链上注册</w:t>
            </w:r>
          </w:p>
        </w:tc>
      </w:tr>
    </w:tbl>
    <w:p/>
    <w:p>
      <w:pPr>
        <w:pStyle w:val="Heading3"/>
      </w:pPr>
      <w:r>
        <w:t>2.2.2 DID Document 构建（符合 W3C 标准）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"@context": ["https://www.w3.org/ns/did/v1"],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"id": "did:tds:abc123def456...",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"verificationMethod": [{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"id": "#key-1",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"type": "SM2VerificationKey2021",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"controller": "did:tds:abc123def456...",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"publicKeyHex": "04a1b2c3d4..."</w:t>
      </w:r>
    </w:p>
    <w:p>
      <w:pPr>
        <w:pStyle w:val="NoSpacing"/>
      </w:pPr>
      <w:r>
        <w:rPr>
          <w:rFonts w:ascii="Consolas" w:hAnsi="Consolas"/>
          <w:sz w:val="18"/>
        </w:rPr>
        <w:t xml:space="preserve">  }],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"authentication": ["#key-1"],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"assertionMethod": ["#key-1"]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r>
        <w:t>DID Document 的关键设计：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verificationMethod</w:t>
      </w:r>
      <w:r>
        <w:t xml:space="preserve"> 使用 SM2 公钥（W3C 注册的 </w:t>
      </w:r>
      <w:r>
        <w:rPr>
          <w:rFonts w:ascii="Consolas" w:hAnsi="Consolas"/>
          <w:sz w:val="18"/>
        </w:rPr>
        <w:t>SM2VerificationKey2021</w:t>
      </w:r>
      <w:r>
        <w:t xml:space="preserve"> 类型）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authentication</w:t>
      </w:r>
      <w:r>
        <w:t xml:space="preserve"> 引用验证方法，用于身份验证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assertionMethod</w:t>
      </w:r>
      <w:r>
        <w:t xml:space="preserve"> 引用验证方法，用于凭证签发签名</w:t>
      </w:r>
    </w:p>
    <w:p>
      <w:pPr>
        <w:pStyle w:val="Heading3"/>
      </w:pPr>
      <w:r>
        <w:t>2.2.3 链上注册</w:t>
      </w:r>
    </w:p>
    <w:p>
      <w:r>
        <w:t xml:space="preserve">DID 创建时可同步注册到 FISCO BCOS 的 </w:t>
      </w:r>
      <w:r>
        <w:rPr>
          <w:rFonts w:ascii="Consolas" w:hAnsi="Consolas"/>
          <w:sz w:val="18"/>
        </w:rPr>
        <w:t>IdentityRegistry</w:t>
      </w:r>
      <w:r>
        <w:t xml:space="preserve"> 合约，实现链上身份可验证。链上注册后，DID Document 中的 </w:t>
      </w:r>
      <w:r>
        <w:rPr>
          <w:rFonts w:ascii="Consolas" w:hAnsi="Consolas"/>
          <w:sz w:val="18"/>
        </w:rPr>
        <w:t>alsoKnownAs</w:t>
      </w:r>
      <w:r>
        <w:t xml:space="preserve"> 字段会附加链上合约地址。</w:t>
      </w:r>
    </w:p>
    <w:p>
      <w:pPr>
        <w:pStyle w:val="Heading2"/>
      </w:pPr>
      <w:r>
        <w:t>2.3 VC 可验证凭证</w:t>
      </w:r>
    </w:p>
    <w:p>
      <w:r>
        <w:rPr>
          <w:rFonts w:ascii="Consolas" w:hAnsi="Consolas"/>
          <w:sz w:val="18"/>
        </w:rPr>
        <w:t>services/vc_service.py</w:t>
      </w:r>
      <w:r>
        <w:t>（530 行）实现了 W3C Verifiable Credentials Data Model v2.0，使用 SM2 签名签发。</w:t>
      </w:r>
    </w:p>
    <w:p>
      <w:pPr>
        <w:pStyle w:val="Heading3"/>
      </w:pPr>
      <w:r>
        <w:t>2.3.1 五个内置 VC 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凭证类型（type 字段）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IdentityCredential</w:t>
            </w:r>
          </w:p>
        </w:tc>
        <w:tc>
          <w:tcPr>
            <w:tcW w:type="dxa" w:w="2880"/>
          </w:tcPr>
          <w:p>
            <w:r>
              <w:t>IdentityCredential</w:t>
            </w:r>
          </w:p>
        </w:tc>
        <w:tc>
          <w:tcPr>
            <w:tcW w:type="dxa" w:w="2880"/>
          </w:tcPr>
          <w:p>
            <w:r>
              <w:t>身份认证，绑定 DID 与实名信息</w:t>
            </w:r>
          </w:p>
        </w:tc>
      </w:tr>
      <w:tr>
        <w:tc>
          <w:tcPr>
            <w:tcW w:type="dxa" w:w="2880"/>
          </w:tcPr>
          <w:p>
            <w:r>
              <w:t>DataAccessCredential</w:t>
            </w:r>
          </w:p>
        </w:tc>
        <w:tc>
          <w:tcPr>
            <w:tcW w:type="dxa" w:w="2880"/>
          </w:tcPr>
          <w:p>
            <w:r>
              <w:t>DataAccessCredential</w:t>
            </w:r>
          </w:p>
        </w:tc>
        <w:tc>
          <w:tcPr>
            <w:tcW w:type="dxa" w:w="2880"/>
          </w:tcPr>
          <w:p>
            <w:r>
              <w:t>数据访问授权，含有效期和权限范围</w:t>
            </w:r>
          </w:p>
        </w:tc>
      </w:tr>
      <w:tr>
        <w:tc>
          <w:tcPr>
            <w:tcW w:type="dxa" w:w="2880"/>
          </w:tcPr>
          <w:p>
            <w:r>
              <w:t>ComputeCredential</w:t>
            </w:r>
          </w:p>
        </w:tc>
        <w:tc>
          <w:tcPr>
            <w:tcW w:type="dxa" w:w="2880"/>
          </w:tcPr>
          <w:p>
            <w:r>
              <w:t>ComputeCredential</w:t>
            </w:r>
          </w:p>
        </w:tc>
        <w:tc>
          <w:tcPr>
            <w:tcW w:type="dxa" w:w="2880"/>
          </w:tcPr>
          <w:p>
            <w:r>
              <w:t>计算任务授权，允许持有者发起联邦学习等计算任务</w:t>
            </w:r>
          </w:p>
        </w:tc>
      </w:tr>
      <w:tr>
        <w:tc>
          <w:tcPr>
            <w:tcW w:type="dxa" w:w="2880"/>
          </w:tcPr>
          <w:p>
            <w:r>
              <w:t>AuditCredential</w:t>
            </w:r>
          </w:p>
        </w:tc>
        <w:tc>
          <w:tcPr>
            <w:tcW w:type="dxa" w:w="2880"/>
          </w:tcPr>
          <w:p>
            <w:r>
              <w:t>AuditCredential</w:t>
            </w:r>
          </w:p>
        </w:tc>
        <w:tc>
          <w:tcPr>
            <w:tcW w:type="dxa" w:w="2880"/>
          </w:tcPr>
          <w:p>
            <w:r>
              <w:t>审计员身份凭证，赋予审计日志查看权限</w:t>
            </w:r>
          </w:p>
        </w:tc>
      </w:tr>
      <w:tr>
        <w:tc>
          <w:tcPr>
            <w:tcW w:type="dxa" w:w="2880"/>
          </w:tcPr>
          <w:p>
            <w:r>
              <w:t>ComplianceCredential</w:t>
            </w:r>
          </w:p>
        </w:tc>
        <w:tc>
          <w:tcPr>
            <w:tcW w:type="dxa" w:w="2880"/>
          </w:tcPr>
          <w:p>
            <w:r>
              <w:t>ComplianceCredential</w:t>
            </w:r>
          </w:p>
        </w:tc>
        <w:tc>
          <w:tcPr>
            <w:tcW w:type="dxa" w:w="2880"/>
          </w:tcPr>
          <w:p>
            <w:r>
              <w:t>合规认证凭证，证明持有者已通过合规检查</w:t>
            </w:r>
          </w:p>
        </w:tc>
      </w:tr>
    </w:tbl>
    <w:p/>
    <w:p>
      <w:pPr>
        <w:pStyle w:val="Heading3"/>
      </w:pPr>
      <w:r>
        <w:t>2.3.2 三重验证机制</w:t>
      </w:r>
    </w:p>
    <w:p>
      <w:r>
        <w:t>每次 VC 验证均执行以下三个检查，任一失败即判定为无效：</w:t>
      </w:r>
    </w:p>
    <w:p>
      <w:pPr>
        <w:pStyle w:val="ListNumber"/>
      </w:pPr>
      <w:r>
        <w:rPr>
          <w:b/>
        </w:rPr>
        <w:t>签名验证</w:t>
      </w:r>
      <w:r>
        <w:t xml:space="preserve">：使用签发者 DID 的 </w:t>
      </w:r>
      <w:r>
        <w:rPr>
          <w:rFonts w:ascii="Consolas" w:hAnsi="Consolas"/>
          <w:sz w:val="18"/>
        </w:rPr>
        <w:t>verificationMethod</w:t>
      </w:r>
      <w:r>
        <w:t xml:space="preserve"> 公钥，验证 SM2 签名</w:t>
      </w:r>
    </w:p>
    <w:p>
      <w:pPr>
        <w:pStyle w:val="ListNumber"/>
      </w:pPr>
      <w:r>
        <w:rPr>
          <w:b/>
        </w:rPr>
        <w:t>过期检查</w:t>
      </w:r>
      <w:r>
        <w:t xml:space="preserve">：比对 </w:t>
      </w:r>
      <w:r>
        <w:rPr>
          <w:rFonts w:ascii="Consolas" w:hAnsi="Consolas"/>
          <w:sz w:val="18"/>
        </w:rPr>
        <w:t>expirationDate</w:t>
      </w:r>
      <w:r>
        <w:t xml:space="preserve"> 与当前时间</w:t>
      </w:r>
    </w:p>
    <w:p>
      <w:pPr>
        <w:pStyle w:val="ListNumber"/>
      </w:pPr>
      <w:r>
        <w:rPr>
          <w:b/>
        </w:rPr>
        <w:t>撤销检查</w:t>
      </w:r>
      <w:r>
        <w:t xml:space="preserve">：查询 </w:t>
      </w:r>
      <w:r>
        <w:rPr>
          <w:rFonts w:ascii="Consolas" w:hAnsi="Consolas"/>
          <w:sz w:val="18"/>
        </w:rPr>
        <w:t>RevocationEntry</w:t>
      </w:r>
      <w:r>
        <w:t xml:space="preserve"> 数据库表，确认凭证未被撤销</w:t>
      </w:r>
    </w:p>
    <w:p>
      <w:pPr>
        <w:pStyle w:val="Heading3"/>
      </w:pPr>
      <w:r>
        <w:t>2.3.3 凭证链验证</w:t>
      </w:r>
    </w:p>
    <w:p>
      <w:pPr>
        <w:pStyle w:val="NoSpacing"/>
      </w:pPr>
      <w:r>
        <w:rPr>
          <w:rFonts w:ascii="Consolas" w:hAnsi="Consolas"/>
          <w:sz w:val="18"/>
        </w:rPr>
        <w:t>def verify_credential_chain(vc_chain: list) -&gt; dict: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验证 VC 信任链：每个 VC 的 issuer 必须是链中前一个 VC 的 subject，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递归追溯直至根签发者（如 ComplianceCredential → AuditCredential → IdentityCredential）。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返回：{"valid": bool, "chain": [...], "failed_at": index}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...</w:t>
      </w:r>
    </w:p>
    <w:p>
      <w:pPr>
        <w:pStyle w:val="NoSpacing"/>
      </w:pPr>
    </w:p>
    <w:p>
      <w:r>
        <w:t>凭证链机制支持</w:t>
      </w:r>
      <w:r>
        <w:rPr>
          <w:b/>
        </w:rPr>
        <w:t>渐进式信任授权</w:t>
      </w:r>
      <w:r>
        <w:t xml:space="preserve">：数据访问请求需同时持有 </w:t>
      </w:r>
      <w:r>
        <w:rPr>
          <w:rFonts w:ascii="Consolas" w:hAnsi="Consolas"/>
          <w:sz w:val="18"/>
        </w:rPr>
        <w:t>IdentityCredential</w:t>
      </w:r>
      <w:r>
        <w:t xml:space="preserve"> + </w:t>
      </w:r>
      <w:r>
        <w:rPr>
          <w:rFonts w:ascii="Consolas" w:hAnsi="Consolas"/>
          <w:sz w:val="18"/>
        </w:rPr>
        <w:t>DataAccessCredential</w:t>
      </w:r>
      <w:r>
        <w:t xml:space="preserve">，审计操作需额外持有 </w:t>
      </w:r>
      <w:r>
        <w:rPr>
          <w:rFonts w:ascii="Consolas" w:hAnsi="Consolas"/>
          <w:sz w:val="18"/>
        </w:rPr>
        <w:t>AuditCredential</w:t>
      </w:r>
      <w:r>
        <w:t>，实现最小权限原则。</w:t>
      </w:r>
    </w:p>
    <w:p>
      <w:pPr>
        <w:pStyle w:val="Heading2"/>
      </w:pPr>
      <w:r>
        <w:t>2.4 链上访问控制合约</w:t>
      </w:r>
    </w:p>
    <w:p>
      <w:r>
        <w:rPr>
          <w:rFonts w:ascii="Consolas" w:hAnsi="Consolas"/>
          <w:sz w:val="18"/>
        </w:rPr>
        <w:t>contracts/DataAuthorization.sol</w:t>
      </w:r>
      <w:r>
        <w:t xml:space="preserve"> 实现了链上数据授权管理，与链下 ABAC 形成互补：</w:t>
      </w:r>
    </w:p>
    <w:p>
      <w:pPr>
        <w:pStyle w:val="NoSpacing"/>
      </w:pPr>
      <w:r>
        <w:rPr>
          <w:rFonts w:ascii="Consolas" w:hAnsi="Consolas"/>
          <w:sz w:val="18"/>
        </w:rPr>
        <w:t>struct Authorization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address grantor;        // 授权方地址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address grantee;        // 被授权方地址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string  assetId;        // 数据资产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uint256 expiresAt;      // 过期时间（0 = 永不过期）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bool    revoked;        // 撤销标志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r>
        <w:t>核心机制：</w:t>
      </w:r>
      <w:r>
        <w:br/>
      </w:r>
      <w:r>
        <w:br/>
        <w:t xml:space="preserve">- </w:t>
      </w:r>
      <w:r>
        <w:rPr>
          <w:b/>
        </w:rPr>
        <w:t>三元组唯一标识</w:t>
      </w:r>
      <w:r>
        <w:t>：</w:t>
      </w:r>
      <w:r>
        <w:rPr>
          <w:rFonts w:ascii="Consolas" w:hAnsi="Consolas"/>
          <w:sz w:val="18"/>
        </w:rPr>
        <w:t>(grantor, grantee, assetId)</w:t>
      </w:r>
      <w:r>
        <w:t xml:space="preserve"> → </w:t>
      </w:r>
      <w:r>
        <w:rPr>
          <w:rFonts w:ascii="Consolas" w:hAnsi="Consolas"/>
          <w:sz w:val="18"/>
        </w:rPr>
        <w:t>authId</w:t>
      </w:r>
      <w:r>
        <w:t>，支持快速查找</w:t>
      </w:r>
      <w:r>
        <w:br/>
      </w:r>
      <w:r>
        <w:br/>
        <w:t xml:space="preserve">- </w:t>
      </w:r>
      <w:r>
        <w:rPr>
          <w:b/>
        </w:rPr>
        <w:t>有效期管理</w:t>
      </w:r>
      <w:r>
        <w:t>：</w:t>
      </w:r>
      <w:r>
        <w:rPr>
          <w:rFonts w:ascii="Consolas" w:hAnsi="Consolas"/>
          <w:sz w:val="18"/>
        </w:rPr>
        <w:t>expiresAt &gt; 0</w:t>
      </w:r>
      <w:r>
        <w:t xml:space="preserve"> 时，超过该时间戳授权自动失效</w:t>
      </w:r>
      <w:r>
        <w:br/>
      </w:r>
      <w:r>
        <w:br/>
        <w:t xml:space="preserve">- </w:t>
      </w:r>
      <w:r>
        <w:rPr>
          <w:b/>
        </w:rPr>
        <w:t>撤销机制</w:t>
      </w:r>
      <w:r>
        <w:t>：</w:t>
      </w:r>
      <w:r>
        <w:rPr>
          <w:rFonts w:ascii="Consolas" w:hAnsi="Consolas"/>
          <w:sz w:val="18"/>
        </w:rPr>
        <w:t>revoked</w:t>
      </w:r>
      <w:r>
        <w:t xml:space="preserve"> 标志支持授权方主动撤销，无需等待过期</w:t>
      </w:r>
      <w:r>
        <w:br/>
      </w:r>
      <w:r>
        <w:br/>
        <w:t xml:space="preserve">- </w:t>
      </w:r>
      <w:r>
        <w:rPr>
          <w:b/>
        </w:rPr>
        <w:t>链上查询接口</w:t>
      </w:r>
      <w:r>
        <w:t>：</w:t>
      </w:r>
      <w:r>
        <w:rPr>
          <w:rFonts w:ascii="Consolas" w:hAnsi="Consolas"/>
          <w:sz w:val="18"/>
        </w:rPr>
        <w:t>function isAuthorized(address grantor, address grantee, string assetId) returns (bool)</w:t>
      </w:r>
    </w:p>
    <w:p>
      <w:pPr>
        <w:pStyle w:val="Heading2"/>
      </w:pPr>
      <w:r>
        <w:t>2.5 本章小结</w:t>
      </w:r>
    </w:p>
    <w:p>
      <w:r>
        <w:t>ABAC + DID + VC 三层体系形成完整的纵深访问控制：</w:t>
      </w:r>
      <w:r>
        <w:rPr>
          <w:b/>
        </w:rPr>
        <w:t>ABAC 负责属性级细粒度策略评估，DID 提供去中心化身份标识，VC 实现可验证的授权凭证传递</w:t>
      </w:r>
      <w:r>
        <w:t xml:space="preserve">。链上 </w:t>
      </w:r>
      <w:r>
        <w:rPr>
          <w:rFonts w:ascii="Consolas" w:hAnsi="Consolas"/>
          <w:sz w:val="18"/>
        </w:rPr>
        <w:t>DataAuthorization</w:t>
      </w:r>
      <w:r>
        <w:t xml:space="preserve"> 合约补充了链下 ABAC 的不可篡改授权记录。待关注点：当前 ABAC 评估缓存 TTL 为 60 秒，高并发场景下策略变更可能存在最长 60 秒的延迟窗口。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 3 章 隐私计算技术栈</w:t>
      </w:r>
    </w:p>
    <w:p>
      <w:r>
        <w:t xml:space="preserve">项目实现了 </w:t>
      </w:r>
      <w:r>
        <w:rPr>
          <w:b/>
        </w:rPr>
        <w:t>联邦学习（FL）、多方安全计算（MPC）、同态加密（HE）、差分隐私（DP）、TEE 可信执行环境</w:t>
      </w:r>
      <w:r>
        <w:t xml:space="preserve"> 五类隐私计算技术，并通过智能路由矩阵将 12 个能源业务场景映射到最优技术组合。</w:t>
      </w:r>
    </w:p>
    <w:p>
      <w:pPr>
        <w:pStyle w:val="Heading2"/>
      </w:pPr>
      <w:r>
        <w:t>3.1 隐私计算智能路由</w:t>
      </w:r>
    </w:p>
    <w:p>
      <w:r>
        <w:rPr>
          <w:rFonts w:ascii="Consolas" w:hAnsi="Consolas"/>
          <w:sz w:val="18"/>
        </w:rPr>
        <w:t>services/privacy_router.py</w:t>
      </w:r>
      <w:r>
        <w:t xml:space="preserve"> 实现了场景驱动的技术选择引擎，根据业务场景的</w:t>
      </w:r>
      <w:r>
        <w:rPr>
          <w:b/>
        </w:rPr>
        <w:t>数据分布特征、参与方数量、计算精度要求</w:t>
      </w:r>
      <w:r>
        <w:t>三个维度自动推荐主选和备选技术：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业务场景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主选技术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备选技术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选择依据</w:t>
            </w:r>
          </w:p>
        </w:tc>
      </w:tr>
      <w:tr>
        <w:tc>
          <w:tcPr>
            <w:tcW w:type="dxa" w:w="2160"/>
          </w:tcPr>
          <w:p>
            <w:r>
              <w:t>联合预测</w:t>
            </w:r>
          </w:p>
        </w:tc>
        <w:tc>
          <w:tcPr>
            <w:tcW w:type="dxa" w:w="2160"/>
          </w:tcPr>
          <w:p>
            <w:r>
              <w:t>FL</w:t>
            </w:r>
          </w:p>
        </w:tc>
        <w:tc>
          <w:tcPr>
            <w:tcW w:type="dxa" w:w="2160"/>
          </w:tcPr>
          <w:p>
            <w:r>
              <w:t>HE</w:t>
            </w:r>
          </w:p>
        </w:tc>
        <w:tc>
          <w:tcPr>
            <w:tcW w:type="dxa" w:w="2160"/>
          </w:tcPr>
          <w:p>
            <w:r>
              <w:t>多方数据不出域，联合训练预测模型</w:t>
            </w:r>
          </w:p>
        </w:tc>
      </w:tr>
      <w:tr>
        <w:tc>
          <w:tcPr>
            <w:tcW w:type="dxa" w:w="2160"/>
          </w:tcPr>
          <w:p>
            <w:r>
              <w:t>安全结算</w:t>
            </w:r>
          </w:p>
        </w:tc>
        <w:tc>
          <w:tcPr>
            <w:tcW w:type="dxa" w:w="2160"/>
          </w:tcPr>
          <w:p>
            <w:r>
              <w:t>MPC</w:t>
            </w:r>
          </w:p>
        </w:tc>
        <w:tc>
          <w:tcPr>
            <w:tcW w:type="dxa" w:w="2160"/>
          </w:tcPr>
          <w:p>
            <w:r>
              <w:t>HE</w:t>
            </w:r>
          </w:p>
        </w:tc>
        <w:tc>
          <w:tcPr>
            <w:tcW w:type="dxa" w:w="2160"/>
          </w:tcPr>
          <w:p>
            <w:r>
              <w:t>多方联合计算结算金额，无需暴露各自账单</w:t>
            </w:r>
          </w:p>
        </w:tc>
      </w:tr>
      <w:tr>
        <w:tc>
          <w:tcPr>
            <w:tcW w:type="dxa" w:w="2160"/>
          </w:tcPr>
          <w:p>
            <w:r>
              <w:t>调度优化</w:t>
            </w:r>
          </w:p>
        </w:tc>
        <w:tc>
          <w:tcPr>
            <w:tcW w:type="dxa" w:w="2160"/>
          </w:tcPr>
          <w:p>
            <w:r>
              <w:t>MPC</w:t>
            </w:r>
          </w:p>
        </w:tc>
        <w:tc>
          <w:tcPr>
            <w:tcW w:type="dxa" w:w="2160"/>
          </w:tcPr>
          <w:p>
            <w:r>
              <w:t>DP</w:t>
            </w:r>
          </w:p>
        </w:tc>
        <w:tc>
          <w:tcPr>
            <w:tcW w:type="dxa" w:w="2160"/>
          </w:tcPr>
          <w:p>
            <w:r>
              <w:t>电网调度参数联合优化，DP 可保护个体隐私</w:t>
            </w:r>
          </w:p>
        </w:tc>
      </w:tr>
      <w:tr>
        <w:tc>
          <w:tcPr>
            <w:tcW w:type="dxa" w:w="2160"/>
          </w:tcPr>
          <w:p>
            <w:r>
              <w:t>统计查询</w:t>
            </w:r>
          </w:p>
        </w:tc>
        <w:tc>
          <w:tcPr>
            <w:tcW w:type="dxa" w:w="2160"/>
          </w:tcPr>
          <w:p>
            <w:r>
              <w:t>DP</w:t>
            </w:r>
          </w:p>
        </w:tc>
        <w:tc>
          <w:tcPr>
            <w:tcW w:type="dxa" w:w="2160"/>
          </w:tcPr>
          <w:p>
            <w:r>
              <w:t>HE</w:t>
            </w:r>
          </w:p>
        </w:tc>
        <w:tc>
          <w:tcPr>
            <w:tcW w:type="dxa" w:w="2160"/>
          </w:tcPr>
          <w:p>
            <w:r>
              <w:t>聚合统计结果，DP 提供可量化的隐私保证</w:t>
            </w:r>
          </w:p>
        </w:tc>
      </w:tr>
      <w:tr>
        <w:tc>
          <w:tcPr>
            <w:tcW w:type="dxa" w:w="2160"/>
          </w:tcPr>
          <w:p>
            <w:r>
              <w:t>信用评估</w:t>
            </w:r>
          </w:p>
        </w:tc>
        <w:tc>
          <w:tcPr>
            <w:tcW w:type="dxa" w:w="2160"/>
          </w:tcPr>
          <w:p>
            <w:r>
              <w:t>FL</w:t>
            </w:r>
          </w:p>
        </w:tc>
        <w:tc>
          <w:tcPr>
            <w:tcW w:type="dxa" w:w="2160"/>
          </w:tcPr>
          <w:p>
            <w:r>
              <w:t>MPC</w:t>
            </w:r>
          </w:p>
        </w:tc>
        <w:tc>
          <w:tcPr>
            <w:tcW w:type="dxa" w:w="2160"/>
          </w:tcPr>
          <w:p>
            <w:r>
              <w:t>多机构联合建模评估企业信用</w:t>
            </w:r>
          </w:p>
        </w:tc>
      </w:tr>
      <w:tr>
        <w:tc>
          <w:tcPr>
            <w:tcW w:type="dxa" w:w="2160"/>
          </w:tcPr>
          <w:p>
            <w:r>
              <w:t>数据对齐</w:t>
            </w:r>
          </w:p>
        </w:tc>
        <w:tc>
          <w:tcPr>
            <w:tcW w:type="dxa" w:w="2160"/>
          </w:tcPr>
          <w:p>
            <w:r>
              <w:t>PSI</w:t>
            </w:r>
          </w:p>
        </w:tc>
        <w:tc>
          <w:tcPr>
            <w:tcW w:type="dxa" w:w="2160"/>
          </w:tcPr>
          <w:p>
            <w:r>
              <w:t>MPC</w:t>
            </w:r>
          </w:p>
        </w:tc>
        <w:tc>
          <w:tcPr>
            <w:tcW w:type="dxa" w:w="2160"/>
          </w:tcPr>
          <w:p>
            <w:r>
              <w:t>隐私集合求交，找出多方共同数据标识</w:t>
            </w:r>
          </w:p>
        </w:tc>
      </w:tr>
      <w:tr>
        <w:tc>
          <w:tcPr>
            <w:tcW w:type="dxa" w:w="2160"/>
          </w:tcPr>
          <w:p>
            <w:r>
              <w:t>联合建模</w:t>
            </w:r>
          </w:p>
        </w:tc>
        <w:tc>
          <w:tcPr>
            <w:tcW w:type="dxa" w:w="2160"/>
          </w:tcPr>
          <w:p>
            <w:r>
              <w:t>FL</w:t>
            </w:r>
          </w:p>
        </w:tc>
        <w:tc>
          <w:tcPr>
            <w:tcW w:type="dxa" w:w="2160"/>
          </w:tcPr>
          <w:p>
            <w:r>
              <w:t>HE</w:t>
            </w:r>
          </w:p>
        </w:tc>
        <w:tc>
          <w:tcPr>
            <w:tcW w:type="dxa" w:w="2160"/>
          </w:tcPr>
          <w:p>
            <w:r>
              <w:t>多方联合训练复杂模型</w:t>
            </w:r>
          </w:p>
        </w:tc>
      </w:tr>
      <w:tr>
        <w:tc>
          <w:tcPr>
            <w:tcW w:type="dxa" w:w="2160"/>
          </w:tcPr>
          <w:p>
            <w:r>
              <w:t>隐私分析</w:t>
            </w:r>
          </w:p>
        </w:tc>
        <w:tc>
          <w:tcPr>
            <w:tcW w:type="dxa" w:w="2160"/>
          </w:tcPr>
          <w:p>
            <w:r>
              <w:t>DP</w:t>
            </w:r>
          </w:p>
        </w:tc>
        <w:tc>
          <w:tcPr>
            <w:tcW w:type="dxa" w:w="2160"/>
          </w:tcPr>
          <w:p>
            <w:r>
              <w:t>HE</w:t>
            </w:r>
          </w:p>
        </w:tc>
        <w:tc>
          <w:tcPr>
            <w:tcW w:type="dxa" w:w="2160"/>
          </w:tcPr>
          <w:p>
            <w:r>
              <w:t>在保护个体隐私前提下完成数据分析</w:t>
            </w:r>
          </w:p>
        </w:tc>
      </w:tr>
      <w:tr>
        <w:tc>
          <w:tcPr>
            <w:tcW w:type="dxa" w:w="2160"/>
          </w:tcPr>
          <w:p>
            <w:r>
              <w:t>负荷预测（能源）</w:t>
            </w:r>
          </w:p>
        </w:tc>
        <w:tc>
          <w:tcPr>
            <w:tcW w:type="dxa" w:w="2160"/>
          </w:tcPr>
          <w:p>
            <w:r>
              <w:t>FL</w:t>
            </w:r>
          </w:p>
        </w:tc>
        <w:tc>
          <w:tcPr>
            <w:tcW w:type="dxa" w:w="2160"/>
          </w:tcPr>
          <w:p>
            <w:r>
              <w:t>DP</w:t>
            </w:r>
          </w:p>
        </w:tc>
        <w:tc>
          <w:tcPr>
            <w:tcW w:type="dxa" w:w="2160"/>
          </w:tcPr>
          <w:p>
            <w:r>
              <w:t>多电站/用户负荷数据联合训练预测模型</w:t>
            </w:r>
          </w:p>
        </w:tc>
      </w:tr>
      <w:tr>
        <w:tc>
          <w:tcPr>
            <w:tcW w:type="dxa" w:w="2160"/>
          </w:tcPr>
          <w:p>
            <w:r>
              <w:t>价格协商（能源）</w:t>
            </w:r>
          </w:p>
        </w:tc>
        <w:tc>
          <w:tcPr>
            <w:tcW w:type="dxa" w:w="2160"/>
          </w:tcPr>
          <w:p>
            <w:r>
              <w:t>MPC</w:t>
            </w:r>
          </w:p>
        </w:tc>
        <w:tc>
          <w:tcPr>
            <w:tcW w:type="dxa" w:w="2160"/>
          </w:tcPr>
          <w:p>
            <w:r>
              <w:t>HE</w:t>
            </w:r>
          </w:p>
        </w:tc>
        <w:tc>
          <w:tcPr>
            <w:tcW w:type="dxa" w:w="2160"/>
          </w:tcPr>
          <w:p>
            <w:r>
              <w:t>多方报价策略协商，不暴露真实报价</w:t>
            </w:r>
          </w:p>
        </w:tc>
      </w:tr>
      <w:tr>
        <w:tc>
          <w:tcPr>
            <w:tcW w:type="dxa" w:w="2160"/>
          </w:tcPr>
          <w:p>
            <w:r>
              <w:t>碳排放（能源）</w:t>
            </w:r>
          </w:p>
        </w:tc>
        <w:tc>
          <w:tcPr>
            <w:tcW w:type="dxa" w:w="2160"/>
          </w:tcPr>
          <w:p>
            <w:r>
              <w:t>DP</w:t>
            </w:r>
          </w:p>
        </w:tc>
        <w:tc>
          <w:tcPr>
            <w:tcW w:type="dxa" w:w="2160"/>
          </w:tcPr>
          <w:p>
            <w:r>
              <w:t>FL</w:t>
            </w:r>
          </w:p>
        </w:tc>
        <w:tc>
          <w:tcPr>
            <w:tcW w:type="dxa" w:w="2160"/>
          </w:tcPr>
          <w:p>
            <w:r>
              <w:t>企业碳排放数据聚合统计</w:t>
            </w:r>
          </w:p>
        </w:tc>
      </w:tr>
      <w:tr>
        <w:tc>
          <w:tcPr>
            <w:tcW w:type="dxa" w:w="2160"/>
          </w:tcPr>
          <w:p>
            <w:r>
              <w:t>安全审计（能源）</w:t>
            </w:r>
          </w:p>
        </w:tc>
        <w:tc>
          <w:tcPr>
            <w:tcW w:type="dxa" w:w="2160"/>
          </w:tcPr>
          <w:p>
            <w:r>
              <w:t>MPC</w:t>
            </w:r>
          </w:p>
        </w:tc>
        <w:tc>
          <w:tcPr>
            <w:tcW w:type="dxa" w:w="2160"/>
          </w:tcPr>
          <w:p>
            <w:r>
              <w:t>TEE</w:t>
            </w:r>
          </w:p>
        </w:tc>
        <w:tc>
          <w:tcPr>
            <w:tcW w:type="dxa" w:w="2160"/>
          </w:tcPr>
          <w:p>
            <w:r>
              <w:t>审计逻辑多方执行，TEE 保证审计代码完整性</w:t>
            </w:r>
          </w:p>
        </w:tc>
      </w:tr>
    </w:tbl>
    <w:p/>
    <w:p>
      <w:pPr>
        <w:pStyle w:val="Heading2"/>
      </w:pPr>
      <w:r>
        <w:t>3.2 联邦学习（FL）</w:t>
      </w:r>
    </w:p>
    <w:p>
      <w:r>
        <w:rPr>
          <w:rFonts w:ascii="Consolas" w:hAnsi="Consolas"/>
          <w:sz w:val="18"/>
        </w:rPr>
        <w:t>services/fl_service.py</w:t>
      </w:r>
      <w:r>
        <w:t xml:space="preserve"> 基于 </w:t>
      </w:r>
      <w:r>
        <w:rPr>
          <w:b/>
        </w:rPr>
        <w:t>FATE 框架</w:t>
      </w:r>
      <w:r>
        <w:t>集成，支持 6 种机器学习算法，模型评估使用 sklearn 真实训练（非模拟数据）。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算法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标识符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逻辑回归</w:t>
            </w:r>
          </w:p>
        </w:tc>
        <w:tc>
          <w:tcPr>
            <w:tcW w:type="dxa" w:w="2880"/>
          </w:tcPr>
          <w:p>
            <w:r>
              <w:t>lr</w:t>
            </w:r>
          </w:p>
        </w:tc>
        <w:tc>
          <w:tcPr>
            <w:tcW w:type="dxa" w:w="2880"/>
          </w:tcPr>
          <w:p>
            <w:r>
              <w:t>二分类任务（如负荷异常检测）</w:t>
            </w:r>
          </w:p>
        </w:tc>
      </w:tr>
      <w:tr>
        <w:tc>
          <w:tcPr>
            <w:tcW w:type="dxa" w:w="2880"/>
          </w:tcPr>
          <w:p>
            <w:r>
              <w:t>安全提升树</w:t>
            </w:r>
          </w:p>
        </w:tc>
        <w:tc>
          <w:tcPr>
            <w:tcW w:type="dxa" w:w="2880"/>
          </w:tcPr>
          <w:p>
            <w:r>
              <w:t>secureboost</w:t>
            </w:r>
          </w:p>
        </w:tc>
        <w:tc>
          <w:tcPr>
            <w:tcW w:type="dxa" w:w="2880"/>
          </w:tcPr>
          <w:p>
            <w:r>
              <w:t>非线性分类/回归，特征重要性可解释</w:t>
            </w:r>
          </w:p>
        </w:tc>
      </w:tr>
      <w:tr>
        <w:tc>
          <w:tcPr>
            <w:tcW w:type="dxa" w:w="2880"/>
          </w:tcPr>
          <w:p>
            <w:r>
              <w:t>神经网络</w:t>
            </w:r>
          </w:p>
        </w:tc>
        <w:tc>
          <w:tcPr>
            <w:tcW w:type="dxa" w:w="2880"/>
          </w:tcPr>
          <w:p>
            <w:r>
              <w:t>nn</w:t>
            </w:r>
          </w:p>
        </w:tc>
        <w:tc>
          <w:tcPr>
            <w:tcW w:type="dxa" w:w="2880"/>
          </w:tcPr>
          <w:p>
            <w:r>
              <w:t>复杂非线性建模（如电价预测）</w:t>
            </w:r>
          </w:p>
        </w:tc>
      </w:tr>
      <w:tr>
        <w:tc>
          <w:tcPr>
            <w:tcW w:type="dxa" w:w="2880"/>
          </w:tcPr>
          <w:p>
            <w:r>
              <w:t>因子分解机</w:t>
            </w:r>
          </w:p>
        </w:tc>
        <w:tc>
          <w:tcPr>
            <w:tcW w:type="dxa" w:w="2880"/>
          </w:tcPr>
          <w:p>
            <w:r>
              <w:t>fm</w:t>
            </w:r>
          </w:p>
        </w:tc>
        <w:tc>
          <w:tcPr>
            <w:tcW w:type="dxa" w:w="2880"/>
          </w:tcPr>
          <w:p>
            <w:r>
              <w:t>高维稀疏特征建模（如用户用电行为）</w:t>
            </w:r>
          </w:p>
        </w:tc>
      </w:tr>
      <w:tr>
        <w:tc>
          <w:tcPr>
            <w:tcW w:type="dxa" w:w="2880"/>
          </w:tcPr>
          <w:p>
            <w:r>
              <w:t>奇异值分解</w:t>
            </w:r>
          </w:p>
        </w:tc>
        <w:tc>
          <w:tcPr>
            <w:tcW w:type="dxa" w:w="2880"/>
          </w:tcPr>
          <w:p>
            <w:r>
              <w:t>svd</w:t>
            </w:r>
          </w:p>
        </w:tc>
        <w:tc>
          <w:tcPr>
            <w:tcW w:type="dxa" w:w="2880"/>
          </w:tcPr>
          <w:p>
            <w:r>
              <w:t>矩阵补全、降维</w:t>
            </w:r>
          </w:p>
        </w:tc>
      </w:tr>
      <w:tr>
        <w:tc>
          <w:tcPr>
            <w:tcW w:type="dxa" w:w="2880"/>
          </w:tcPr>
          <w:p>
            <w:r>
              <w:t>K 均值聚类</w:t>
            </w:r>
          </w:p>
        </w:tc>
        <w:tc>
          <w:tcPr>
            <w:tcW w:type="dxa" w:w="2880"/>
          </w:tcPr>
          <w:p>
            <w:r>
              <w:t>kmeans</w:t>
            </w:r>
          </w:p>
        </w:tc>
        <w:tc>
          <w:tcPr>
            <w:tcW w:type="dxa" w:w="2880"/>
          </w:tcPr>
          <w:p>
            <w:r>
              <w:t>用户/电站分群</w:t>
            </w:r>
          </w:p>
        </w:tc>
      </w:tr>
    </w:tbl>
    <w:p/>
    <w:p>
      <w:r>
        <w:rPr>
          <w:b/>
        </w:rPr>
        <w:t>模型评估流程</w:t>
      </w:r>
      <w:r>
        <w:t xml:space="preserve">：训练完成后调用 sklearn 的 </w:t>
      </w:r>
      <w:r>
        <w:rPr>
          <w:rFonts w:ascii="Consolas" w:hAnsi="Consolas"/>
          <w:sz w:val="18"/>
        </w:rPr>
        <w:t>accuracy_score</w:t>
      </w:r>
      <w:r>
        <w:t>、</w:t>
      </w:r>
      <w:r>
        <w:rPr>
          <w:rFonts w:ascii="Consolas" w:hAnsi="Consolas"/>
          <w:sz w:val="18"/>
        </w:rPr>
        <w:t>precision_score</w:t>
      </w:r>
      <w:r>
        <w:t>、</w:t>
      </w:r>
      <w:r>
        <w:rPr>
          <w:rFonts w:ascii="Consolas" w:hAnsi="Consolas"/>
          <w:sz w:val="18"/>
        </w:rPr>
        <w:t>recall_score</w:t>
      </w:r>
      <w:r>
        <w:t>、</w:t>
      </w:r>
      <w:r>
        <w:rPr>
          <w:rFonts w:ascii="Consolas" w:hAnsi="Consolas"/>
          <w:sz w:val="18"/>
        </w:rPr>
        <w:t>f1_score</w:t>
      </w:r>
      <w:r>
        <w:t>、</w:t>
      </w:r>
      <w:r>
        <w:rPr>
          <w:rFonts w:ascii="Consolas" w:hAnsi="Consolas"/>
          <w:sz w:val="18"/>
        </w:rPr>
        <w:t>roc_auc_score</w:t>
      </w:r>
      <w:r>
        <w:t xml:space="preserve"> 计算指标，返回完整评估报告。这确保了评估结果的可复现性和可比性。</w:t>
      </w:r>
    </w:p>
    <w:p>
      <w:r>
        <w:rPr>
          <w:b/>
        </w:rPr>
        <w:t>任务提交</w:t>
      </w:r>
      <w:r>
        <w:t>：</w:t>
      </w:r>
      <w:r>
        <w:rPr>
          <w:rFonts w:ascii="Consolas" w:hAnsi="Consolas"/>
          <w:sz w:val="18"/>
        </w:rPr>
        <w:t>submit_fl_training()</w:t>
      </w:r>
      <w:r>
        <w:t xml:space="preserve"> 同时创建 </w:t>
      </w:r>
      <w:r>
        <w:rPr>
          <w:rFonts w:ascii="Consolas" w:hAnsi="Consolas"/>
          <w:sz w:val="18"/>
        </w:rPr>
        <w:t>ComputeTask</w:t>
      </w:r>
      <w:r>
        <w:t xml:space="preserve">（任务调度记录）和 </w:t>
      </w:r>
      <w:r>
        <w:rPr>
          <w:rFonts w:ascii="Consolas" w:hAnsi="Consolas"/>
          <w:sz w:val="18"/>
        </w:rPr>
        <w:t>FlModel</w:t>
      </w:r>
      <w:r>
        <w:t>（模型元数据记录）两条数据库记录，保证任务状态与模型资产的可追溯性。</w:t>
      </w:r>
    </w:p>
    <w:p>
      <w:pPr>
        <w:pStyle w:val="Heading2"/>
      </w:pPr>
      <w:r>
        <w:t>3.3 多方安全计算（MPC）</w:t>
      </w:r>
    </w:p>
    <w:p>
      <w:r>
        <w:rPr>
          <w:rFonts w:ascii="Consolas" w:hAnsi="Consolas"/>
          <w:sz w:val="18"/>
        </w:rPr>
        <w:t>services/mpc_service.py</w:t>
      </w:r>
      <w:r>
        <w:t xml:space="preserve">（1840 行）实现了 </w:t>
      </w:r>
      <w:r>
        <w:rPr>
          <w:b/>
        </w:rPr>
        <w:t>6 种 MPC 协议</w:t>
      </w:r>
      <w:r>
        <w:t>，覆盖半诚实和恶意两种安全模型，并内置 DAG 任务编排引擎。</w:t>
      </w:r>
    </w:p>
    <w:p>
      <w:pPr>
        <w:pStyle w:val="Heading3"/>
      </w:pPr>
      <w:r>
        <w:t>3.3.1 协议矩阵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协议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参与方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安全模型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核心特点</w:t>
            </w:r>
          </w:p>
        </w:tc>
      </w:tr>
      <w:tr>
        <w:tc>
          <w:tcPr>
            <w:tcW w:type="dxa" w:w="2160"/>
          </w:tcPr>
          <w:p>
            <w:r>
              <w:t>SPDZ</w:t>
            </w:r>
          </w:p>
        </w:tc>
        <w:tc>
          <w:tcPr>
            <w:tcW w:type="dxa" w:w="2160"/>
          </w:tcPr>
          <w:p>
            <w:r>
              <w:t>多方可变</w:t>
            </w:r>
          </w:p>
        </w:tc>
        <w:tc>
          <w:tcPr>
            <w:tcW w:type="dxa" w:w="2160"/>
          </w:tcPr>
          <w:p>
            <w:r>
              <w:t>恶意安全</w:t>
            </w:r>
          </w:p>
        </w:tc>
        <w:tc>
          <w:tcPr>
            <w:tcW w:type="dxa" w:w="2160"/>
          </w:tcPr>
          <w:p>
            <w:r>
              <w:t>基于 Beaver 三元组，离线/在线两阶段，AdditiveSecretShare（素数域 2^61-1）</w:t>
            </w:r>
          </w:p>
        </w:tc>
      </w:tr>
      <w:tr>
        <w:tc>
          <w:tcPr>
            <w:tcW w:type="dxa" w:w="2160"/>
          </w:tcPr>
          <w:p>
            <w:r>
              <w:t>PSN</w:t>
            </w:r>
          </w:p>
        </w:tc>
        <w:tc>
          <w:tcPr>
            <w:tcW w:type="dxa" w:w="2160"/>
          </w:tcPr>
          <w:p>
            <w:r>
              <w:t>两方</w:t>
            </w:r>
          </w:p>
        </w:tc>
        <w:tc>
          <w:tcPr>
            <w:tcW w:type="dxa" w:w="2160"/>
          </w:tcPr>
          <w:p>
            <w:r>
              <w:t>半诚实</w:t>
            </w:r>
          </w:p>
        </w:tc>
        <w:tc>
          <w:tcPr>
            <w:tcW w:type="dxa" w:w="2160"/>
          </w:tcPr>
          <w:p>
            <w:r>
              <w:t>轻量级协议，通信开销低</w:t>
            </w:r>
          </w:p>
        </w:tc>
      </w:tr>
      <w:tr>
        <w:tc>
          <w:tcPr>
            <w:tcW w:type="dxa" w:w="2160"/>
          </w:tcPr>
          <w:p>
            <w:r>
              <w:t>ABY3</w:t>
            </w:r>
          </w:p>
        </w:tc>
        <w:tc>
          <w:tcPr>
            <w:tcW w:type="dxa" w:w="2160"/>
          </w:tcPr>
          <w:p>
            <w:r>
              <w:t>三方</w:t>
            </w:r>
          </w:p>
        </w:tc>
        <w:tc>
          <w:tcPr>
            <w:tcW w:type="dxa" w:w="2160"/>
          </w:tcPr>
          <w:p>
            <w:r>
              <w:t>混合</w:t>
            </w:r>
          </w:p>
        </w:tc>
        <w:tc>
          <w:tcPr>
            <w:tcW w:type="dxa" w:w="2160"/>
          </w:tcPr>
          <w:p>
            <w:r>
              <w:t>支持算术分享/布尔分享/姚氏电路三种分享类型动态转换</w:t>
            </w:r>
          </w:p>
        </w:tc>
      </w:tr>
      <w:tr>
        <w:tc>
          <w:tcPr>
            <w:tcW w:type="dxa" w:w="2160"/>
          </w:tcPr>
          <w:p>
            <w:r>
              <w:t>Falcon</w:t>
            </w:r>
          </w:p>
        </w:tc>
        <w:tc>
          <w:tcPr>
            <w:tcW w:type="dxa" w:w="2160"/>
          </w:tcPr>
          <w:p>
            <w:r>
              <w:t>三方</w:t>
            </w:r>
          </w:p>
        </w:tc>
        <w:tc>
          <w:tcPr>
            <w:tcW w:type="dxa" w:w="2160"/>
          </w:tcPr>
          <w:p>
            <w:r>
              <w:t>恶意安全</w:t>
            </w:r>
          </w:p>
        </w:tc>
        <w:tc>
          <w:tcPr>
            <w:tcW w:type="dxa" w:w="2160"/>
          </w:tcPr>
          <w:p>
            <w:r>
              <w:t>高吞吐量，适合大规模数据</w:t>
            </w:r>
          </w:p>
        </w:tc>
      </w:tr>
      <w:tr>
        <w:tc>
          <w:tcPr>
            <w:tcW w:type="dxa" w:w="2160"/>
          </w:tcPr>
          <w:p>
            <w:r>
              <w:t>Chaiguru</w:t>
            </w:r>
          </w:p>
        </w:tc>
        <w:tc>
          <w:tcPr>
            <w:tcW w:type="dxa" w:w="2160"/>
          </w:tcPr>
          <w:p>
            <w:r>
              <w:t>两方</w:t>
            </w:r>
          </w:p>
        </w:tc>
        <w:tc>
          <w:tcPr>
            <w:tcW w:type="dxa" w:w="2160"/>
          </w:tcPr>
          <w:p>
            <w:r>
              <w:t>恶意安全</w:t>
            </w:r>
          </w:p>
        </w:tc>
        <w:tc>
          <w:tcPr>
            <w:tcW w:type="dxa" w:w="2160"/>
          </w:tcPr>
          <w:p>
            <w:r>
              <w:t>基于姚氏混淆电路，适合两方任意函数计算</w:t>
            </w:r>
          </w:p>
        </w:tc>
      </w:tr>
      <w:tr>
        <w:tc>
          <w:tcPr>
            <w:tcW w:type="dxa" w:w="2160"/>
          </w:tcPr>
          <w:p>
            <w:r>
              <w:t>Malicious-SHA2</w:t>
            </w:r>
          </w:p>
        </w:tc>
        <w:tc>
          <w:tcPr>
            <w:tcW w:type="dxa" w:w="2160"/>
          </w:tcPr>
          <w:p>
            <w:r>
              <w:t>多方可变</w:t>
            </w:r>
          </w:p>
        </w:tc>
        <w:tc>
          <w:tcPr>
            <w:tcW w:type="dxa" w:w="2160"/>
          </w:tcPr>
          <w:p>
            <w:r>
              <w:t>恶意安全</w:t>
            </w:r>
          </w:p>
        </w:tc>
        <w:tc>
          <w:tcPr>
            <w:tcW w:type="dxa" w:w="2160"/>
          </w:tcPr>
          <w:p>
            <w:r>
              <w:t>SHA2 哈希函数的专用恶意安全协议</w:t>
            </w:r>
          </w:p>
        </w:tc>
      </w:tr>
    </w:tbl>
    <w:p/>
    <w:p>
      <w:pPr>
        <w:pStyle w:val="Heading3"/>
      </w:pPr>
      <w:r>
        <w:t>3.3.2 SPDZ 协议核心实现</w:t>
      </w:r>
    </w:p>
    <w:p>
      <w:pPr>
        <w:pStyle w:val="NoSpacing"/>
      </w:pPr>
      <w:r>
        <w:rPr>
          <w:rFonts w:ascii="Consolas" w:hAnsi="Consolas"/>
          <w:sz w:val="18"/>
        </w:rPr>
        <w:t>class SPDZProtocol: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execute(self, inputs: dict) -&gt; dict: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离线阶段：可信第三方或 OT 生成 Beaver 三元组 (a, b, c=ab)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在线阶段：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  1. compute_e_f(): e = x - a, f = y - b（掩码后公开）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  2. reconstruct_open(): 各方公开 e, f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  3. compute_result_share(): 计算最终结果分享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     对于加法：z_share = c_share + e + f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#      对于乘法：z_share = c_share + e·b + f·a + e·f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...</w:t>
      </w:r>
    </w:p>
    <w:p>
      <w:pPr>
        <w:pStyle w:val="NoSpacing"/>
      </w:pPr>
    </w:p>
    <w:p>
      <w:pPr>
        <w:pStyle w:val="Heading3"/>
      </w:pPr>
      <w:r>
        <w:t>3.3.3 DAG 任务编排</w:t>
      </w:r>
    </w:p>
    <w:p>
      <w:r>
        <w:t xml:space="preserve">MPC 任务通过有向无环图（DAG）定义计算依赖关系，引擎使用 </w:t>
      </w:r>
      <w:r>
        <w:rPr>
          <w:b/>
        </w:rPr>
        <w:t>Kahn 算法</w:t>
      </w:r>
      <w:r>
        <w:t>进行拓扑排序和无环检测：</w:t>
      </w:r>
    </w:p>
    <w:p>
      <w:pPr>
        <w:pStyle w:val="ListBullet"/>
      </w:pPr>
      <w:r>
        <w:t>支持 9 个安全计算接口：</w:t>
      </w:r>
      <w:r>
        <w:rPr>
          <w:rFonts w:ascii="Consolas" w:hAnsi="Consolas"/>
          <w:sz w:val="18"/>
        </w:rPr>
        <w:t>secure_add</w:t>
      </w:r>
      <w:r>
        <w:t>、</w:t>
      </w:r>
      <w:r>
        <w:rPr>
          <w:rFonts w:ascii="Consolas" w:hAnsi="Consolas"/>
          <w:sz w:val="18"/>
        </w:rPr>
        <w:t>secure_multiply</w:t>
      </w:r>
      <w:r>
        <w:t>、</w:t>
      </w:r>
      <w:r>
        <w:rPr>
          <w:rFonts w:ascii="Consolas" w:hAnsi="Consolas"/>
          <w:sz w:val="18"/>
        </w:rPr>
        <w:t>secure_compare</w:t>
      </w:r>
      <w:r>
        <w:t>、</w:t>
      </w:r>
      <w:r>
        <w:rPr>
          <w:rFonts w:ascii="Consolas" w:hAnsi="Consolas"/>
          <w:sz w:val="18"/>
        </w:rPr>
        <w:t>secure_average</w:t>
      </w:r>
      <w:r>
        <w:t>、</w:t>
      </w:r>
      <w:r>
        <w:rPr>
          <w:rFonts w:ascii="Consolas" w:hAnsi="Consolas"/>
          <w:sz w:val="18"/>
        </w:rPr>
        <w:t>batch_secure_add</w:t>
      </w:r>
      <w:r>
        <w:t>、</w:t>
      </w:r>
      <w:r>
        <w:rPr>
          <w:rFonts w:ascii="Consolas" w:hAnsi="Consolas"/>
          <w:sz w:val="18"/>
        </w:rPr>
        <w:t>secure_max</w:t>
      </w:r>
      <w:r>
        <w:t>、</w:t>
      </w:r>
      <w:r>
        <w:rPr>
          <w:rFonts w:ascii="Consolas" w:hAnsi="Consolas"/>
          <w:sz w:val="18"/>
        </w:rPr>
        <w:t>secure_min</w:t>
      </w:r>
      <w:r>
        <w:t>、</w:t>
      </w:r>
      <w:r>
        <w:rPr>
          <w:rFonts w:ascii="Consolas" w:hAnsi="Consolas"/>
          <w:sz w:val="18"/>
        </w:rPr>
        <w:t>secure_median</w:t>
      </w:r>
      <w:r>
        <w:t>、</w:t>
      </w:r>
      <w:r>
        <w:rPr>
          <w:rFonts w:ascii="Consolas" w:hAnsi="Consolas"/>
          <w:sz w:val="18"/>
        </w:rPr>
        <w:t>secure_threshold</w:t>
      </w:r>
      <w:r>
        <w:t>、</w:t>
      </w:r>
      <w:r>
        <w:rPr>
          <w:rFonts w:ascii="Consolas" w:hAnsi="Consolas"/>
          <w:sz w:val="18"/>
        </w:rPr>
        <w:t>secure_weighted_average</w:t>
      </w:r>
    </w:p>
    <w:p>
      <w:pPr>
        <w:pStyle w:val="ListBullet"/>
      </w:pPr>
      <w:r>
        <w:t>无环检测失败时报错，阻止有环依赖的任务提交</w:t>
      </w:r>
    </w:p>
    <w:p>
      <w:pPr>
        <w:pStyle w:val="ListBullet"/>
      </w:pPr>
      <w:r>
        <w:t>拓扑排序保证所有依赖在父节点计算完成后才执行子节点</w:t>
      </w:r>
    </w:p>
    <w:p>
      <w:pPr>
        <w:pStyle w:val="Heading2"/>
      </w:pPr>
      <w:r>
        <w:t>3.4 同态加密（HE）</w:t>
      </w:r>
    </w:p>
    <w:p>
      <w:r>
        <w:rPr>
          <w:rFonts w:ascii="Consolas" w:hAnsi="Consolas"/>
          <w:sz w:val="18"/>
        </w:rPr>
        <w:t>services/he_service.py</w:t>
      </w:r>
      <w:r>
        <w:t xml:space="preserve">（1142 行）基于 </w:t>
      </w:r>
      <w:r>
        <w:rPr>
          <w:b/>
        </w:rPr>
        <w:t>TenSEAL（CKKS）</w:t>
      </w:r>
      <w:r>
        <w:t xml:space="preserve"> 和 </w:t>
      </w:r>
      <w:r>
        <w:rPr>
          <w:b/>
        </w:rPr>
        <w:t>Microsoft SEAL（BFV）</w:t>
      </w:r>
      <w:r>
        <w:t xml:space="preserve"> 真实实现，无模拟模式。</w:t>
      </w:r>
    </w:p>
    <w:p>
      <w:pPr>
        <w:pStyle w:val="Heading3"/>
      </w:pPr>
      <w:r>
        <w:t>3.4.1 两种方案的适用场景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数值类型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运算特点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典型应用</w:t>
            </w:r>
          </w:p>
        </w:tc>
      </w:tr>
      <w:tr>
        <w:tc>
          <w:tcPr>
            <w:tcW w:type="dxa" w:w="2160"/>
          </w:tcPr>
          <w:p>
            <w:r>
              <w:t>CKKS</w:t>
            </w:r>
          </w:p>
        </w:tc>
        <w:tc>
          <w:tcPr>
            <w:tcW w:type="dxa" w:w="2160"/>
          </w:tcPr>
          <w:p>
            <w:r>
              <w:t>近似浮点数</w:t>
            </w:r>
          </w:p>
        </w:tc>
        <w:tc>
          <w:tcPr>
            <w:tcW w:type="dxa" w:w="2160"/>
          </w:tcPr>
          <w:p>
            <w:r>
              <w:t>支持加法/乘法，噪声增长较快</w:t>
            </w:r>
          </w:p>
        </w:tc>
        <w:tc>
          <w:tcPr>
            <w:tcW w:type="dxa" w:w="2160"/>
          </w:tcPr>
          <w:p>
            <w:r>
              <w:t>机器学习推理、统计均值/方差计算</w:t>
            </w:r>
          </w:p>
        </w:tc>
      </w:tr>
      <w:tr>
        <w:tc>
          <w:tcPr>
            <w:tcW w:type="dxa" w:w="2160"/>
          </w:tcPr>
          <w:p>
            <w:r>
              <w:t>BFV</w:t>
            </w:r>
          </w:p>
        </w:tc>
        <w:tc>
          <w:tcPr>
            <w:tcW w:type="dxa" w:w="2160"/>
          </w:tcPr>
          <w:p>
            <w:r>
              <w:t>精确整数</w:t>
            </w:r>
          </w:p>
        </w:tc>
        <w:tc>
          <w:tcPr>
            <w:tcW w:type="dxa" w:w="2160"/>
          </w:tcPr>
          <w:p>
            <w:r>
              <w:t>支持加法/乘法，适合精确计算</w:t>
            </w:r>
          </w:p>
        </w:tc>
        <w:tc>
          <w:tcPr>
            <w:tcW w:type="dxa" w:w="2160"/>
          </w:tcPr>
          <w:p>
            <w:r>
              <w:t>计数聚合、投票统计、精确求和</w:t>
            </w:r>
          </w:p>
        </w:tc>
      </w:tr>
    </w:tbl>
    <w:p/>
    <w:p>
      <w:pPr>
        <w:pStyle w:val="Heading3"/>
      </w:pPr>
      <w:r>
        <w:t>3.4.2 核心操作链</w:t>
      </w:r>
    </w:p>
    <w:p>
      <w:pPr>
        <w:pStyle w:val="NoSpacing"/>
      </w:pPr>
      <w:r>
        <w:rPr>
          <w:rFonts w:ascii="Consolas" w:hAnsi="Consolas"/>
          <w:sz w:val="18"/>
        </w:rPr>
        <w:t>数据持有方                        计算方（HE 服务）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├─ encrypt_upload() ──────────────► │  (批量加密向量上传)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┌─ he_compute("add", ...) ──►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├─ he_compute("multiply", ...)──►│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├─ he_compute("negate", ...) ─►│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└─ he_compute("square", ...) ──►│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◄── decrypt_result() ────────────────┤  (返回解密后的明文结果)</w:t>
      </w:r>
    </w:p>
    <w:p>
      <w:pPr>
        <w:pStyle w:val="NoSpacing"/>
      </w:pPr>
    </w:p>
    <w:p>
      <w:pPr>
        <w:pStyle w:val="Heading3"/>
      </w:pPr>
      <w:r>
        <w:t>3.4.3 高级操作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噪声预算消耗</w:t>
            </w:r>
          </w:p>
        </w:tc>
      </w:tr>
      <w:tr>
        <w:tc>
          <w:tcPr>
            <w:tcW w:type="dxa" w:w="2880"/>
          </w:tcPr>
          <w:p>
            <w:r>
              <w:t>向量内积 dot_product</w:t>
            </w:r>
          </w:p>
        </w:tc>
        <w:tc>
          <w:tcPr>
            <w:tcW w:type="dxa" w:w="2880"/>
          </w:tcPr>
          <w:p>
            <w:r>
              <w:t>逐元素乘法后求和</w:t>
            </w:r>
          </w:p>
        </w:tc>
        <w:tc>
          <w:tcPr>
            <w:tcW w:type="dxa" w:w="2880"/>
          </w:tcPr>
          <w:p>
            <w:r>
              <w:t>高（一次乘法 + 多次加法）</w:t>
            </w:r>
          </w:p>
        </w:tc>
      </w:tr>
      <w:tr>
        <w:tc>
          <w:tcPr>
            <w:tcW w:type="dxa" w:w="2880"/>
          </w:tcPr>
          <w:p>
            <w:r>
              <w:t>矩阵-向量乘法 matmul</w:t>
            </w:r>
          </w:p>
        </w:tc>
        <w:tc>
          <w:tcPr>
            <w:tcW w:type="dxa" w:w="2880"/>
          </w:tcPr>
          <w:p>
            <w:r>
              <w:t>行优先展平，逐行内积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多项式求值 poly_eval</w:t>
            </w:r>
          </w:p>
        </w:tc>
        <w:tc>
          <w:tcPr>
            <w:tcW w:type="dxa" w:w="2880"/>
          </w:tcPr>
          <w:p>
            <w:r>
              <w:t>Horner 法则，减少乘法深度</w:t>
            </w:r>
          </w:p>
        </w:tc>
        <w:tc>
          <w:tcPr>
            <w:tcW w:type="dxa" w:w="2880"/>
          </w:tcPr>
          <w:p>
            <w:r>
              <w:t>中（深度 = 多项式次数）</w:t>
            </w:r>
          </w:p>
        </w:tc>
      </w:tr>
    </w:tbl>
    <w:p/>
    <w:p>
      <w:pPr>
        <w:pStyle w:val="Heading3"/>
      </w:pPr>
      <w:r>
        <w:t>3.4.4 噪声预算追踪</w:t>
      </w:r>
    </w:p>
    <w:p>
      <w:pPr>
        <w:pStyle w:val="NoSpacing"/>
      </w:pPr>
      <w:r>
        <w:rPr>
          <w:rFonts w:ascii="Consolas" w:hAnsi="Consolas"/>
          <w:sz w:val="18"/>
        </w:rPr>
        <w:t>def noise_budget_check(context, secret_key) -&gt; int: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基于 SEAL 的噪声预算 API，返回剩余可执行的乘法次数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CKKS 方案中，每次乘法消耗约 log2(coeff_modulus) 位噪声预算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...</w:t>
      </w:r>
    </w:p>
    <w:p>
      <w:pPr>
        <w:pStyle w:val="NoSpacing"/>
      </w:pPr>
    </w:p>
    <w:p>
      <w:r>
        <w:t xml:space="preserve">噪声预算是 HE 方案的核心约束——预算耗尽后密文无法正确解密。项目通过 </w:t>
      </w:r>
      <w:r>
        <w:rPr>
          <w:rFonts w:ascii="Consolas" w:hAnsi="Consolas"/>
          <w:sz w:val="18"/>
        </w:rPr>
        <w:t>noise_budget_check</w:t>
      </w:r>
      <w:r>
        <w:t xml:space="preserve"> 在操作前预估预算消耗，避免计算中途失败。</w:t>
      </w:r>
    </w:p>
    <w:p>
      <w:pPr>
        <w:pStyle w:val="Heading2"/>
      </w:pPr>
      <w:r>
        <w:t>3.5 差分隐私（DP）</w:t>
      </w:r>
    </w:p>
    <w:p>
      <w:r>
        <w:rPr>
          <w:rFonts w:ascii="Consolas" w:hAnsi="Consolas"/>
          <w:sz w:val="18"/>
        </w:rPr>
        <w:t>services/dp_service.py</w:t>
      </w:r>
      <w:r>
        <w:t>（645 行）实现了 4 种差分隐私机制，并内置</w:t>
      </w:r>
      <w:r>
        <w:rPr>
          <w:b/>
        </w:rPr>
        <w:t>隐私预算跟踪器</w:t>
      </w:r>
      <w:r>
        <w:t>和</w:t>
      </w:r>
      <w:r>
        <w:rPr>
          <w:b/>
        </w:rPr>
        <w:t>组合定理</w:t>
      </w:r>
      <w:r>
        <w:t>支持。</w:t>
      </w:r>
    </w:p>
    <w:p>
      <w:pPr>
        <w:pStyle w:val="Heading3"/>
      </w:pPr>
      <w:r>
        <w:t>3.5.1 四种机制对比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机制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噪声分布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核心参数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t>laplace</w:t>
            </w:r>
          </w:p>
        </w:tc>
        <w:tc>
          <w:tcPr>
            <w:tcW w:type="dxa" w:w="2160"/>
          </w:tcPr>
          <w:p>
            <w:r>
              <w:t>Laplace(μ=0, b=Δf/ε)</w:t>
            </w:r>
          </w:p>
        </w:tc>
        <w:tc>
          <w:tcPr>
            <w:tcW w:type="dxa" w:w="2160"/>
          </w:tcPr>
          <w:p>
            <w:r>
              <w:t>ε（隐私预算）</w:t>
            </w:r>
          </w:p>
        </w:tc>
        <w:tc>
          <w:tcPr>
            <w:tcW w:type="dxa" w:w="2160"/>
          </w:tcPr>
          <w:p>
            <w:r>
              <w:t>数值型查询，如求和、均值</w:t>
            </w:r>
          </w:p>
        </w:tc>
      </w:tr>
      <w:tr>
        <w:tc>
          <w:tcPr>
            <w:tcW w:type="dxa" w:w="2160"/>
          </w:tcPr>
          <w:p>
            <w:r>
              <w:t>gaussian</w:t>
            </w:r>
          </w:p>
        </w:tc>
        <w:tc>
          <w:tcPr>
            <w:tcW w:type="dxa" w:w="2160"/>
          </w:tcPr>
          <w:p>
            <w:r>
              <w:t>N(0, σ²), σ=Δf·√(2ln(1.25/δ))/ε</w:t>
            </w:r>
          </w:p>
        </w:tc>
        <w:tc>
          <w:tcPr>
            <w:tcW w:type="dxa" w:w="2160"/>
          </w:tcPr>
          <w:p>
            <w:r>
              <w:t>ε, δ</w:t>
            </w:r>
          </w:p>
        </w:tc>
        <w:tc>
          <w:tcPr>
            <w:tcW w:type="dxa" w:w="2160"/>
          </w:tcPr>
          <w:p>
            <w:r>
              <w:t>(ε,δ)-DP，比 Laplace 更严格</w:t>
            </w:r>
          </w:p>
        </w:tc>
      </w:tr>
      <w:tr>
        <w:tc>
          <w:tcPr>
            <w:tcW w:type="dxa" w:w="2160"/>
          </w:tcPr>
          <w:p>
            <w:r>
              <w:t>exponential</w:t>
            </w:r>
          </w:p>
        </w:tc>
        <w:tc>
          <w:tcPr>
            <w:tcW w:type="dxa" w:w="2160"/>
          </w:tcPr>
          <w:p>
            <w:r>
              <w:t>按 exp(ε·u(x)/2Δu) 采样</w:t>
            </w:r>
          </w:p>
        </w:tc>
        <w:tc>
          <w:tcPr>
            <w:tcW w:type="dxa" w:w="2160"/>
          </w:tcPr>
          <w:p>
            <w:r>
              <w:t>ε, 效用函数 u(x)</w:t>
            </w:r>
          </w:p>
        </w:tc>
        <w:tc>
          <w:tcPr>
            <w:tcW w:type="dxa" w:w="2160"/>
          </w:tcPr>
          <w:p>
            <w:r>
              <w:t>非数值型查询、排名问题</w:t>
            </w:r>
          </w:p>
        </w:tc>
      </w:tr>
      <w:tr>
        <w:tc>
          <w:tcPr>
            <w:tcW w:type="dxa" w:w="2160"/>
          </w:tcPr>
          <w:p>
            <w:r>
              <w:t>report_noisy_max</w:t>
            </w:r>
          </w:p>
        </w:tc>
        <w:tc>
          <w:tcPr>
            <w:tcW w:type="dxa" w:w="2160"/>
          </w:tcPr>
          <w:p>
            <w:r>
              <w:t>Gumbel 噪声 + Argmax</w:t>
            </w:r>
          </w:p>
        </w:tc>
        <w:tc>
          <w:tcPr>
            <w:tcW w:type="dxa" w:w="2160"/>
          </w:tcPr>
          <w:p>
            <w:r>
              <w:t>ε</w:t>
            </w:r>
          </w:p>
        </w:tc>
        <w:tc>
          <w:tcPr>
            <w:tcW w:type="dxa" w:w="2160"/>
          </w:tcPr>
          <w:p>
            <w:r>
              <w:t>Top-K 查询、最大值查询</w:t>
            </w:r>
          </w:p>
        </w:tc>
      </w:tr>
    </w:tbl>
    <w:p/>
    <w:p>
      <w:pPr>
        <w:pStyle w:val="Heading3"/>
      </w:pPr>
      <w:r>
        <w:t>3.5.2 隐私预算跟踪</w:t>
      </w:r>
    </w:p>
    <w:p>
      <w:pPr>
        <w:pStyle w:val="NoSpacing"/>
      </w:pPr>
      <w:r>
        <w:rPr>
          <w:rFonts w:ascii="Consolas" w:hAnsi="Consolas"/>
          <w:sz w:val="18"/>
        </w:rPr>
        <w:t>_privacy_budget: dict[str, dict] = {}</w:t>
      </w:r>
    </w:p>
    <w:p>
      <w:pPr>
        <w:pStyle w:val="NoSpacing"/>
      </w:pPr>
      <w:r>
        <w:rPr>
          <w:rFonts w:ascii="Consolas" w:hAnsi="Consolas"/>
          <w:sz w:val="18"/>
        </w:rPr>
        <w:t># 按 asset_id 独立追踪每个数据集的隐私预算消耗：</w:t>
      </w:r>
    </w:p>
    <w:p>
      <w:pPr>
        <w:pStyle w:val="NoSpacing"/>
      </w:pPr>
      <w:r>
        <w:rPr>
          <w:rFonts w:ascii="Consolas" w:hAnsi="Consolas"/>
          <w:sz w:val="18"/>
        </w:rPr>
        <w:t># {</w:t>
      </w:r>
    </w:p>
    <w:p>
      <w:pPr>
        <w:pStyle w:val="NoSpacing"/>
      </w:pPr>
      <w:r>
        <w:rPr>
          <w:rFonts w:ascii="Consolas" w:hAnsi="Consolas"/>
          <w:sz w:val="18"/>
        </w:rPr>
        <w:t>#   "asset_id": {</w:t>
      </w:r>
    </w:p>
    <w:p>
      <w:pPr>
        <w:pStyle w:val="NoSpacing"/>
      </w:pPr>
      <w:r>
        <w:rPr>
          <w:rFonts w:ascii="Consolas" w:hAnsi="Consolas"/>
          <w:sz w:val="18"/>
        </w:rPr>
        <w:t>#     "total_epsilon": 1.0,    # 总预算</w:t>
      </w:r>
    </w:p>
    <w:p>
      <w:pPr>
        <w:pStyle w:val="NoSpacing"/>
      </w:pPr>
      <w:r>
        <w:rPr>
          <w:rFonts w:ascii="Consolas" w:hAnsi="Consolas"/>
          <w:sz w:val="18"/>
        </w:rPr>
        <w:t>#     "total_delta": 1e-5,</w:t>
      </w:r>
    </w:p>
    <w:p>
      <w:pPr>
        <w:pStyle w:val="NoSpacing"/>
      </w:pPr>
      <w:r>
        <w:rPr>
          <w:rFonts w:ascii="Consolas" w:hAnsi="Consolas"/>
          <w:sz w:val="18"/>
        </w:rPr>
        <w:t>#     "consumed_epsilon": 0.3,  # 已消耗</w:t>
      </w:r>
    </w:p>
    <w:p>
      <w:pPr>
        <w:pStyle w:val="NoSpacing"/>
      </w:pPr>
      <w:r>
        <w:rPr>
          <w:rFonts w:ascii="Consolas" w:hAnsi="Consolas"/>
          <w:sz w:val="18"/>
        </w:rPr>
        <w:t>#     "consumed_delta": 0.0,</w:t>
      </w:r>
    </w:p>
    <w:p>
      <w:pPr>
        <w:pStyle w:val="NoSpacing"/>
      </w:pPr>
      <w:r>
        <w:rPr>
          <w:rFonts w:ascii="Consolas" w:hAnsi="Consolas"/>
          <w:sz w:val="18"/>
        </w:rPr>
        <w:t>#     "remaining_epsilon": 0.7, # 剩余</w:t>
      </w:r>
    </w:p>
    <w:p>
      <w:pPr>
        <w:pStyle w:val="NoSpacing"/>
      </w:pPr>
      <w:r>
        <w:rPr>
          <w:rFonts w:ascii="Consolas" w:hAnsi="Consolas"/>
          <w:sz w:val="18"/>
        </w:rPr>
        <w:t>#   }</w:t>
      </w:r>
    </w:p>
    <w:p>
      <w:pPr>
        <w:pStyle w:val="NoSpacing"/>
      </w:pPr>
      <w:r>
        <w:rPr>
          <w:rFonts w:ascii="Consolas" w:hAnsi="Consolas"/>
          <w:sz w:val="18"/>
        </w:rPr>
        <w:t># }</w:t>
      </w:r>
    </w:p>
    <w:p>
      <w:pPr>
        <w:pStyle w:val="NoSpacing"/>
      </w:pPr>
    </w:p>
    <w:p>
      <w:r>
        <w:t xml:space="preserve">预算跟踪器在每次 DP 机制调用时自动扣减对应消耗量，当 </w:t>
      </w:r>
      <w:r>
        <w:rPr>
          <w:rFonts w:ascii="Consolas" w:hAnsi="Consolas"/>
          <w:sz w:val="18"/>
        </w:rPr>
        <w:t>consumed_epsilon ≥ total_epsilon</w:t>
      </w:r>
      <w:r>
        <w:t xml:space="preserve"> 时拒绝后续查询，强制触发数据重新采集或预算扩容审批。</w:t>
      </w:r>
    </w:p>
    <w:p>
      <w:pPr>
        <w:pStyle w:val="Heading3"/>
      </w:pPr>
      <w:r>
        <w:t>3.5.3 差分隐私组合定理</w:t>
      </w:r>
    </w:p>
    <w:p>
      <w:pPr>
        <w:pStyle w:val="NoSpacing"/>
      </w:pPr>
      <w:r>
        <w:rPr>
          <w:rFonts w:ascii="Consolas" w:hAnsi="Consolas"/>
          <w:sz w:val="18"/>
        </w:rPr>
        <w:t>def composition_theorem(mechanisms: list[dict]) -&gt; dict: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计算 k 次 DP 机制组合后的总隐私消耗。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基本组合：(Σε_i, Σδ_i)-DP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高级组合（Concentrated DP/zCDP）：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ρ_total = Σ(ε_i² / 2)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ε_total = ρ + 2√(ρ·ln(1/δ'))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返回：{"epsilon": float, "delta": float, "method": "basic"|"advanced"}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...</w:t>
      </w:r>
    </w:p>
    <w:p>
      <w:pPr>
        <w:pStyle w:val="NoSpacing"/>
      </w:pPr>
    </w:p>
    <w:p>
      <w:r>
        <w:t>组合定理是 DP 工程化的核心——多次查询的隐私消耗不是简单相加，高级组合（zCDP）在大量查询时比基本组合更紧。</w:t>
      </w:r>
    </w:p>
    <w:p>
      <w:pPr>
        <w:pStyle w:val="Heading3"/>
      </w:pPr>
      <w:r>
        <w:t>3.5.4 四个配置模板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模板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δ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strict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1e-6</w:t>
            </w:r>
          </w:p>
        </w:tc>
        <w:tc>
          <w:tcPr>
            <w:tcW w:type="dxa" w:w="2160"/>
          </w:tcPr>
          <w:p>
            <w:r>
              <w:t>隐私保护最强，数据可用性最低</w:t>
            </w:r>
          </w:p>
        </w:tc>
      </w:tr>
      <w:tr>
        <w:tc>
          <w:tcPr>
            <w:tcW w:type="dxa" w:w="2160"/>
          </w:tcPr>
          <w:p>
            <w:r>
              <w:t>balanced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1e-5</w:t>
            </w:r>
          </w:p>
        </w:tc>
        <w:tc>
          <w:tcPr>
            <w:tcW w:type="dxa" w:w="2160"/>
          </w:tcPr>
          <w:p>
            <w:r>
              <w:t>平衡模式，适合大多数场景</w:t>
            </w:r>
          </w:p>
        </w:tc>
      </w:tr>
      <w:tr>
        <w:tc>
          <w:tcPr>
            <w:tcW w:type="dxa" w:w="2160"/>
          </w:tcPr>
          <w:p>
            <w:r>
              <w:t>relaxed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数据可用性高，适合统计分析</w:t>
            </w:r>
          </w:p>
        </w:tc>
      </w:tr>
      <w:tr>
        <w:tc>
          <w:tcPr>
            <w:tcW w:type="dxa" w:w="2160"/>
          </w:tcPr>
          <w:p>
            <w:r>
              <w:t>statistical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1e-5</w:t>
            </w:r>
          </w:p>
        </w:tc>
        <w:tc>
          <w:tcPr>
            <w:tcW w:type="dxa" w:w="2160"/>
          </w:tcPr>
          <w:p>
            <w:r>
              <w:t>专为聚合统计设计</w:t>
            </w:r>
          </w:p>
        </w:tc>
      </w:tr>
    </w:tbl>
    <w:p/>
    <w:p>
      <w:pPr>
        <w:pStyle w:val="Heading2"/>
      </w:pPr>
      <w:r>
        <w:t>3.6 TEE 可信执行环境</w:t>
      </w:r>
    </w:p>
    <w:p>
      <w:r>
        <w:rPr>
          <w:rFonts w:ascii="Consolas" w:hAnsi="Consolas"/>
          <w:sz w:val="18"/>
        </w:rPr>
        <w:t>services/tee_service.py</w:t>
      </w:r>
      <w:r>
        <w:t>（702 行）在当前无 SGX 硬件环境下，使用</w:t>
      </w:r>
      <w:r>
        <w:rPr>
          <w:b/>
        </w:rPr>
        <w:t>真实密码学操作模拟 TEE 安全特性</w:t>
      </w:r>
      <w:r>
        <w:t>。模拟层完整实现了 TEE 的三大安全机制。</w:t>
      </w:r>
    </w:p>
    <w:p>
      <w:pPr>
        <w:pStyle w:val="Heading3"/>
      </w:pPr>
      <w:r>
        <w:t>3.6.1 三大安全机制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t>结果加密</w:t>
            </w:r>
          </w:p>
        </w:tc>
        <w:tc>
          <w:tcPr>
            <w:tcW w:type="dxa" w:w="2880"/>
          </w:tcPr>
          <w:p>
            <w:r>
              <w:t>SM4-GCM（SM4-CTR + GMAC 认证标签）</w:t>
            </w:r>
          </w:p>
        </w:tc>
        <w:tc>
          <w:tcPr>
            <w:tcW w:type="dxa" w:w="2880"/>
          </w:tcPr>
          <w:p>
            <w:r>
              <w:t>飞地输出密文，传输过程防篡改</w:t>
            </w:r>
          </w:p>
        </w:tc>
      </w:tr>
      <w:tr>
        <w:tc>
          <w:tcPr>
            <w:tcW w:type="dxa" w:w="2880"/>
          </w:tcPr>
          <w:p>
            <w:r>
              <w:t>密封存储</w:t>
            </w:r>
          </w:p>
        </w:tc>
        <w:tc>
          <w:tcPr>
            <w:tcW w:type="dxa" w:w="2880"/>
          </w:tcPr>
          <w:p>
            <w:r>
              <w:t>AES-256-GCM + 身份绑定</w:t>
            </w:r>
          </w:p>
        </w:tc>
        <w:tc>
          <w:tcPr>
            <w:tcW w:type="dxa" w:w="2880"/>
          </w:tcPr>
          <w:p>
            <w:r>
              <w:t>飞地内数据持久化，仅同一飞地可解密</w:t>
            </w:r>
          </w:p>
        </w:tc>
      </w:tr>
      <w:tr>
        <w:tc>
          <w:tcPr>
            <w:tcW w:type="dxa" w:w="2880"/>
          </w:tcPr>
          <w:p>
            <w:r>
              <w:t>完整性验证</w:t>
            </w:r>
          </w:p>
        </w:tc>
        <w:tc>
          <w:tcPr>
            <w:tcW w:type="dxa" w:w="2880"/>
          </w:tcPr>
          <w:p>
            <w:r>
              <w:t>SM3 哈希链（替代远程证明）</w:t>
            </w:r>
          </w:p>
        </w:tc>
        <w:tc>
          <w:tcPr>
            <w:tcW w:type="dxa" w:w="2880"/>
          </w:tcPr>
          <w:p>
            <w:r>
              <w:t>检测飞地内操作是否被篡改</w:t>
            </w:r>
          </w:p>
        </w:tc>
      </w:tr>
    </w:tbl>
    <w:p/>
    <w:p>
      <w:pPr>
        <w:pStyle w:val="Heading3"/>
      </w:pPr>
      <w:r>
        <w:t>3.6.2 哈希链完整性验证</w:t>
      </w:r>
    </w:p>
    <w:p>
      <w:pPr>
        <w:pStyle w:val="NoSpacing"/>
      </w:pPr>
      <w:r>
        <w:rPr>
          <w:rFonts w:ascii="Consolas" w:hAnsi="Consolas"/>
          <w:sz w:val="18"/>
        </w:rPr>
        <w:t>class IntegrityChain: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构建不可篡改的操作日志链：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state[0] = SM3(enclave_id || timestamp_0 || "INIT")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state[n] = SM3(state[n-1] || operation || timestamp || result_hash)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验证时重新计算整个链，任一环节被篡改都会导致最终 state 不匹配。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def append(self, operation: str, data_hash: str) -&gt; str: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"""追加一条操作记录，返回新的链头哈希"""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...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  def verify(self) -&gt; bool: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"""从头重新计算整条链，与存储的 final_state 比对"""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...</w:t>
      </w:r>
    </w:p>
    <w:p>
      <w:pPr>
        <w:pStyle w:val="NoSpacing"/>
      </w:pPr>
    </w:p>
    <w:p>
      <w:r>
        <w:t>哈希链的核心价值在于</w:t>
      </w:r>
      <w:r>
        <w:rPr>
          <w:b/>
        </w:rPr>
        <w:t>将"远程证明"降级为"本地验证"</w:t>
      </w:r>
      <w:r>
        <w:t>——在无 SGX 硬件时，通过密码学哈希链保证操作日志的完整性，任何篡改都会导致验证失败。</w:t>
      </w:r>
    </w:p>
    <w:p>
      <w:pPr>
        <w:pStyle w:val="Heading3"/>
      </w:pPr>
      <w:r>
        <w:t>3.6.3 SGX 飞地模拟器</w:t>
      </w:r>
    </w:p>
    <w:p>
      <w:r>
        <w:rPr>
          <w:rFonts w:ascii="Consolas" w:hAnsi="Consolas"/>
          <w:sz w:val="18"/>
        </w:rPr>
        <w:t>SGXEnclaveSimulator</w:t>
      </w:r>
      <w:r>
        <w:t xml:space="preserve"> 类模拟了 Intel SGX 的核心特性：</w:t>
      </w:r>
    </w:p>
    <w:p>
      <w:pPr>
        <w:pStyle w:val="ListBullet"/>
      </w:pPr>
      <w:r>
        <w:rPr>
          <w:b/>
        </w:rPr>
        <w:t>隔离内存空间</w:t>
      </w:r>
      <w:r>
        <w:t>：通过 AES-GCM 加密模拟飞地内存隔离</w:t>
      </w:r>
    </w:p>
    <w:p>
      <w:pPr>
        <w:pStyle w:val="ListBullet"/>
      </w:pPr>
      <w:r>
        <w:rPr>
          <w:b/>
        </w:rPr>
        <w:t>MRENCLAVE 度量</w:t>
      </w:r>
      <w:r>
        <w:t>：</w:t>
      </w:r>
      <w:r>
        <w:rPr>
          <w:rFonts w:ascii="Consolas" w:hAnsi="Consolas"/>
          <w:sz w:val="18"/>
        </w:rPr>
        <w:t>SM3(enclave_id || memory_size || timestamp)</w:t>
      </w:r>
      <w:r>
        <w:t xml:space="preserve"> 作为飞地度量值，模拟 SGX 的 </w:t>
      </w:r>
      <w:r>
        <w:rPr>
          <w:rFonts w:ascii="Consolas" w:hAnsi="Consolas"/>
          <w:sz w:val="18"/>
        </w:rPr>
        <w:t>MRENCLAVE</w:t>
      </w:r>
      <w:r>
        <w:t xml:space="preserve"> 寄存器</w:t>
      </w:r>
    </w:p>
    <w:p>
      <w:pPr>
        <w:pStyle w:val="ListBullet"/>
      </w:pPr>
      <w:r>
        <w:rPr>
          <w:b/>
        </w:rPr>
        <w:t>受限执行环境</w:t>
      </w:r>
      <w:r>
        <w:t>：仅允许白名单内的 Python 内置函数执行，防止恶意代码注入飞地</w:t>
      </w:r>
    </w:p>
    <w:p>
      <w:pPr>
        <w:pStyle w:val="ListBullet"/>
      </w:pPr>
      <w:r>
        <w:rPr>
          <w:b/>
        </w:rPr>
        <w:t>密封/解封</w:t>
      </w:r>
      <w:r>
        <w:t>：</w:t>
      </w:r>
      <w:r>
        <w:rPr>
          <w:rFonts w:ascii="Consolas" w:hAnsi="Consolas"/>
          <w:sz w:val="18"/>
        </w:rPr>
        <w:t>seal()</w:t>
      </w:r>
      <w:r>
        <w:t xml:space="preserve"> / </w:t>
      </w:r>
      <w:r>
        <w:rPr>
          <w:rFonts w:ascii="Consolas" w:hAnsi="Consolas"/>
          <w:sz w:val="18"/>
        </w:rPr>
        <w:t>unseal()</w:t>
      </w:r>
      <w:r>
        <w:t xml:space="preserve"> 模拟 SGX 的 </w:t>
      </w:r>
      <w:r>
        <w:rPr>
          <w:rFonts w:ascii="Consolas" w:hAnsi="Consolas"/>
          <w:sz w:val="18"/>
        </w:rPr>
        <w:t>seal_data</w:t>
      </w:r>
      <w:r>
        <w:t xml:space="preserve"> / </w:t>
      </w:r>
      <w:r>
        <w:rPr>
          <w:rFonts w:ascii="Consolas" w:hAnsi="Consolas"/>
          <w:sz w:val="18"/>
        </w:rPr>
        <w:t>unseal_data</w:t>
      </w:r>
      <w:r>
        <w:t xml:space="preserve"> 指令</w:t>
      </w:r>
    </w:p>
    <w:p>
      <w:pPr>
        <w:ind w:left="720"/>
      </w:pPr>
      <w:r>
        <w:rPr>
          <w:b/>
        </w:rPr>
        <w:t>生产环境注意</w:t>
      </w:r>
      <w:r>
        <w:t>：当前 TEE 为模拟层，依赖软件密码学保证安全。生产部署需接入真实 SGX/TrustZone/SEV 硬件，并使用硬件提供的远程证明（EPID/DCAP）替代哈希链验证。</w:t>
      </w:r>
    </w:p>
    <w:p>
      <w:pPr>
        <w:pStyle w:val="Heading2"/>
      </w:pPr>
      <w:r>
        <w:t>3.7 本章小结</w:t>
      </w:r>
    </w:p>
    <w:p>
      <w:r>
        <w:t>五类隐私计算技术均有实质性代码实现：</w:t>
      </w:r>
      <w:r>
        <w:rPr>
          <w:b/>
        </w:rPr>
        <w:t>HE 基于 TenSEAL/SEAL 真实引擎（非模拟），MPC 支持 6 种协议并内置 DAG 编排，DP 含完整的预算跟踪和组合定理框架，FL 基于 FATE 集成 6 种算法并输出 sklearn 评估指标，TEE 为密码学模拟层（生产需接入 SGX 硬件）</w:t>
      </w:r>
      <w:r>
        <w:t>。隐私路由矩阵根据 12 个能源场景自动选择主选/备选技术组合，实现场景驱动的最优技术匹配。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 4 章 数据治理与合规</w:t>
      </w:r>
    </w:p>
    <w:p>
      <w:r>
        <w:t>项目在数据治理层面实现了数据分类分级、GDPR 数据主体权利、合规审计三大模块，覆盖从数据识别到合规检查的全生命周期。</w:t>
      </w:r>
    </w:p>
    <w:p>
      <w:pPr>
        <w:pStyle w:val="Heading2"/>
      </w:pPr>
      <w:r>
        <w:t>4.1 数据分类分级引擎</w:t>
      </w:r>
    </w:p>
    <w:p>
      <w:r>
        <w:rPr>
          <w:rFonts w:ascii="Consolas" w:hAnsi="Consolas"/>
          <w:sz w:val="18"/>
        </w:rPr>
        <w:t>services/data_classifier.py</w:t>
      </w:r>
      <w:r>
        <w:t>（739 行）实现了完整的能源数据分类分级体系，包含 20 条分类规则、4 级敏感度标签、字段级自动识别、SM3 哈希指纹生成和人工审核覆盖机制。</w:t>
      </w:r>
    </w:p>
    <w:p>
      <w:pPr>
        <w:pStyle w:val="Heading3"/>
      </w:pPr>
      <w:r>
        <w:t>4.1.1 20 条分类规则（6 大类别）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分类规则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默认敏感度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发电</w:t>
            </w:r>
          </w:p>
        </w:tc>
        <w:tc>
          <w:tcPr>
            <w:tcW w:type="dxa" w:w="2160"/>
          </w:tcPr>
          <w:p>
            <w:r>
              <w:t>发电量</w:t>
            </w:r>
          </w:p>
        </w:tc>
        <w:tc>
          <w:tcPr>
            <w:tcW w:type="dxa" w:w="2160"/>
          </w:tcPr>
          <w:p>
            <w:r>
              <w:t>2 级（重要）</w:t>
            </w:r>
          </w:p>
        </w:tc>
        <w:tc>
          <w:tcPr>
            <w:tcW w:type="dxa" w:w="2160"/>
          </w:tcPr>
          <w:p>
            <w:r>
              <w:t>power_generation 规则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风速</w:t>
            </w:r>
          </w:p>
        </w:tc>
        <w:tc>
          <w:tcPr>
            <w:tcW w:type="dxa" w:w="2160"/>
          </w:tcPr>
          <w:p>
            <w:r>
              <w:t>3 级（敏感）</w:t>
            </w:r>
          </w:p>
        </w:tc>
        <w:tc>
          <w:tcPr>
            <w:tcW w:type="dxa" w:w="2160"/>
          </w:tcPr>
          <w:p>
            <w:r>
              <w:t>新能源场站气象数据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辐照度</w:t>
            </w:r>
          </w:p>
        </w:tc>
        <w:tc>
          <w:tcPr>
            <w:tcW w:type="dxa" w:w="2160"/>
          </w:tcPr>
          <w:p>
            <w:r>
              <w:t>3 级（敏感）</w:t>
            </w:r>
          </w:p>
        </w:tc>
        <w:tc>
          <w:tcPr>
            <w:tcW w:type="dxa" w:w="2160"/>
          </w:tcPr>
          <w:p>
            <w:r>
              <w:t>光伏电站气象数据</w:t>
            </w:r>
          </w:p>
        </w:tc>
      </w:tr>
      <w:tr>
        <w:tc>
          <w:tcPr>
            <w:tcW w:type="dxa" w:w="2160"/>
          </w:tcPr>
          <w:p>
            <w:r>
              <w:t>用电</w:t>
            </w:r>
          </w:p>
        </w:tc>
        <w:tc>
          <w:tcPr>
            <w:tcW w:type="dxa" w:w="2160"/>
          </w:tcPr>
          <w:p>
            <w:r>
              <w:t>电价</w:t>
            </w:r>
          </w:p>
        </w:tc>
        <w:tc>
          <w:tcPr>
            <w:tcW w:type="dxa" w:w="2160"/>
          </w:tcPr>
          <w:p>
            <w:r>
              <w:t>1 级（核心）</w:t>
            </w:r>
          </w:p>
        </w:tc>
        <w:tc>
          <w:tcPr>
            <w:tcW w:type="dxa" w:w="2160"/>
          </w:tcPr>
          <w:p>
            <w:r>
              <w:t>电力市场定价数据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用电量</w:t>
            </w:r>
          </w:p>
        </w:tc>
        <w:tc>
          <w:tcPr>
            <w:tcW w:type="dxa" w:w="2160"/>
          </w:tcPr>
          <w:p>
            <w:r>
              <w:t>2 级（重要）</w:t>
            </w:r>
          </w:p>
        </w:tc>
        <w:tc>
          <w:tcPr>
            <w:tcW w:type="dxa" w:w="2160"/>
          </w:tcPr>
          <w:p>
            <w:r>
              <w:t>用户能耗数据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需量</w:t>
            </w:r>
          </w:p>
        </w:tc>
        <w:tc>
          <w:tcPr>
            <w:tcW w:type="dxa" w:w="2160"/>
          </w:tcPr>
          <w:p>
            <w:r>
              <w:t>2 级（重要）</w:t>
            </w:r>
          </w:p>
        </w:tc>
        <w:tc>
          <w:tcPr>
            <w:tcW w:type="dxa" w:w="2160"/>
          </w:tcPr>
          <w:p>
            <w:r>
              <w:t>最大需量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智能电表读数</w:t>
            </w:r>
          </w:p>
        </w:tc>
        <w:tc>
          <w:tcPr>
            <w:tcW w:type="dxa" w:w="2160"/>
          </w:tcPr>
          <w:p>
            <w:r>
              <w:t>3 级（敏感）</w:t>
            </w:r>
          </w:p>
        </w:tc>
        <w:tc>
          <w:tcPr>
            <w:tcW w:type="dxa" w:w="2160"/>
          </w:tcPr>
          <w:p>
            <w:r>
              <w:t>细粒度用户行为</w:t>
            </w:r>
          </w:p>
        </w:tc>
      </w:tr>
      <w:tr>
        <w:tc>
          <w:tcPr>
            <w:tcW w:type="dxa" w:w="2160"/>
          </w:tcPr>
          <w:p>
            <w:r>
              <w:t>调度</w:t>
            </w:r>
          </w:p>
        </w:tc>
        <w:tc>
          <w:tcPr>
            <w:tcW w:type="dxa" w:w="2160"/>
          </w:tcPr>
          <w:p>
            <w:r>
              <w:t>调度指令</w:t>
            </w:r>
          </w:p>
        </w:tc>
        <w:tc>
          <w:tcPr>
            <w:tcW w:type="dxa" w:w="2160"/>
          </w:tcPr>
          <w:p>
            <w:r>
              <w:t>1 级（核心）</w:t>
            </w:r>
          </w:p>
        </w:tc>
        <w:tc>
          <w:tcPr>
            <w:tcW w:type="dxa" w:w="2160"/>
          </w:tcPr>
          <w:p>
            <w:r>
              <w:t>电网调度命令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负荷平衡数据</w:t>
            </w:r>
          </w:p>
        </w:tc>
        <w:tc>
          <w:tcPr>
            <w:tcW w:type="dxa" w:w="2160"/>
          </w:tcPr>
          <w:p>
            <w:r>
              <w:t>1 级（核心）</w:t>
            </w:r>
          </w:p>
        </w:tc>
        <w:tc>
          <w:tcPr>
            <w:tcW w:type="dxa" w:w="2160"/>
          </w:tcPr>
          <w:p>
            <w:r>
              <w:t>电网负载均衡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电网拓扑</w:t>
            </w:r>
          </w:p>
        </w:tc>
        <w:tc>
          <w:tcPr>
            <w:tcW w:type="dxa" w:w="2160"/>
          </w:tcPr>
          <w:p>
            <w:r>
              <w:t>2 级（重要）</w:t>
            </w:r>
          </w:p>
        </w:tc>
        <w:tc>
          <w:tcPr>
            <w:tcW w:type="dxa" w:w="2160"/>
          </w:tcPr>
          <w:p>
            <w:r>
              <w:t>电力网络结构</w:t>
            </w:r>
          </w:p>
        </w:tc>
      </w:tr>
      <w:tr>
        <w:tc>
          <w:tcPr>
            <w:tcW w:type="dxa" w:w="2160"/>
          </w:tcPr>
          <w:p>
            <w:r>
              <w:t>设备状态</w:t>
            </w:r>
          </w:p>
        </w:tc>
        <w:tc>
          <w:tcPr>
            <w:tcW w:type="dxa" w:w="2160"/>
          </w:tcPr>
          <w:p>
            <w:r>
              <w:t>温度</w:t>
            </w:r>
          </w:p>
        </w:tc>
        <w:tc>
          <w:tcPr>
            <w:tcW w:type="dxa" w:w="2160"/>
          </w:tcPr>
          <w:p>
            <w:r>
              <w:t>4 级（公开）</w:t>
            </w:r>
          </w:p>
        </w:tc>
        <w:tc>
          <w:tcPr>
            <w:tcW w:type="dxa" w:w="2160"/>
          </w:tcPr>
          <w:p>
            <w:r>
              <w:t>传感器公共数据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振动</w:t>
            </w:r>
          </w:p>
        </w:tc>
        <w:tc>
          <w:tcPr>
            <w:tcW w:type="dxa" w:w="2160"/>
          </w:tcPr>
          <w:p>
            <w:r>
              <w:t>3 级（敏感）</w:t>
            </w:r>
          </w:p>
        </w:tc>
        <w:tc>
          <w:tcPr>
            <w:tcW w:type="dxa" w:w="2160"/>
          </w:tcPr>
          <w:p>
            <w:r>
              <w:t>设备磨损信息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电压</w:t>
            </w:r>
          </w:p>
        </w:tc>
        <w:tc>
          <w:tcPr>
            <w:tcW w:type="dxa" w:w="2160"/>
          </w:tcPr>
          <w:p>
            <w:r>
              <w:t>3 级（敏感）</w:t>
            </w:r>
          </w:p>
        </w:tc>
        <w:tc>
          <w:tcPr>
            <w:tcW w:type="dxa" w:w="2160"/>
          </w:tcPr>
          <w:p>
            <w:r>
              <w:t>运行参数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电流</w:t>
            </w:r>
          </w:p>
        </w:tc>
        <w:tc>
          <w:tcPr>
            <w:tcW w:type="dxa" w:w="2160"/>
          </w:tcPr>
          <w:p>
            <w:r>
              <w:t>3 级（敏感）</w:t>
            </w:r>
          </w:p>
        </w:tc>
        <w:tc>
          <w:tcPr>
            <w:tcW w:type="dxa" w:w="2160"/>
          </w:tcPr>
          <w:p>
            <w:r>
              <w:t>运行参数</w:t>
            </w:r>
          </w:p>
        </w:tc>
      </w:tr>
      <w:tr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市场价格</w:t>
            </w:r>
          </w:p>
        </w:tc>
        <w:tc>
          <w:tcPr>
            <w:tcW w:type="dxa" w:w="2160"/>
          </w:tcPr>
          <w:p>
            <w:r>
              <w:t>1 级（核心）</w:t>
            </w:r>
          </w:p>
        </w:tc>
        <w:tc>
          <w:tcPr>
            <w:tcW w:type="dxa" w:w="2160"/>
          </w:tcPr>
          <w:p>
            <w:r>
              <w:t>电力现货价格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交易数据</w:t>
            </w:r>
          </w:p>
        </w:tc>
        <w:tc>
          <w:tcPr>
            <w:tcW w:type="dxa" w:w="2160"/>
          </w:tcPr>
          <w:p>
            <w:r>
              <w:t>1 级（核心）</w:t>
            </w:r>
          </w:p>
        </w:tc>
        <w:tc>
          <w:tcPr>
            <w:tcW w:type="dxa" w:w="2160"/>
          </w:tcPr>
          <w:p>
            <w:r>
              <w:t>电力交易记录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结算数据</w:t>
            </w:r>
          </w:p>
        </w:tc>
        <w:tc>
          <w:tcPr>
            <w:tcW w:type="dxa" w:w="2160"/>
          </w:tcPr>
          <w:p>
            <w:r>
              <w:t>1 级（核心）</w:t>
            </w:r>
          </w:p>
        </w:tc>
        <w:tc>
          <w:tcPr>
            <w:tcW w:type="dxa" w:w="2160"/>
          </w:tcPr>
          <w:p>
            <w:r>
              <w:t>电费结算</w:t>
            </w:r>
          </w:p>
        </w:tc>
      </w:tr>
      <w:tr>
        <w:tc>
          <w:tcPr>
            <w:tcW w:type="dxa" w:w="2160"/>
          </w:tcPr>
          <w:p>
            <w:r>
              <w:t>地理信息</w:t>
            </w:r>
          </w:p>
        </w:tc>
        <w:tc>
          <w:tcPr>
            <w:tcW w:type="dxa" w:w="2160"/>
          </w:tcPr>
          <w:p>
            <w:r>
              <w:t>经纬度</w:t>
            </w:r>
          </w:p>
        </w:tc>
        <w:tc>
          <w:tcPr>
            <w:tcW w:type="dxa" w:w="2160"/>
          </w:tcPr>
          <w:p>
            <w:r>
              <w:t>2 级（重要）</w:t>
            </w:r>
          </w:p>
        </w:tc>
        <w:tc>
          <w:tcPr>
            <w:tcW w:type="dxa" w:w="2160"/>
          </w:tcPr>
          <w:p>
            <w:r>
              <w:t>场站位置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GIS 数据</w:t>
            </w:r>
          </w:p>
        </w:tc>
        <w:tc>
          <w:tcPr>
            <w:tcW w:type="dxa" w:w="2160"/>
          </w:tcPr>
          <w:p>
            <w:r>
              <w:t>2 级（重要）</w:t>
            </w:r>
          </w:p>
        </w:tc>
        <w:tc>
          <w:tcPr>
            <w:tcW w:type="dxa" w:w="2160"/>
          </w:tcPr>
          <w:p>
            <w:r>
              <w:t>电网地理信息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区域范围</w:t>
            </w:r>
          </w:p>
        </w:tc>
        <w:tc>
          <w:tcPr>
            <w:tcW w:type="dxa" w:w="2160"/>
          </w:tcPr>
          <w:p>
            <w:r>
              <w:t>2 级（重要）</w:t>
            </w:r>
          </w:p>
        </w:tc>
        <w:tc>
          <w:tcPr>
            <w:tcW w:type="dxa" w:w="2160"/>
          </w:tcPr>
          <w:p>
            <w:r>
              <w:t>场站边界</w:t>
            </w:r>
          </w:p>
        </w:tc>
      </w:tr>
    </w:tbl>
    <w:p/>
    <w:p>
      <w:pPr>
        <w:pStyle w:val="Heading3"/>
      </w:pPr>
      <w:r>
        <w:t>4.1.2 四级敏感度标签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级别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标签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访问控制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典型数据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占比倾向</w:t>
            </w:r>
          </w:p>
        </w:tc>
      </w:tr>
      <w:tr>
        <w:tc>
          <w:tcPr>
            <w:tcW w:type="dxa" w:w="1728"/>
          </w:tcPr>
          <w:p>
            <w:r>
              <w:t>1 级</w:t>
            </w:r>
          </w:p>
        </w:tc>
        <w:tc>
          <w:tcPr>
            <w:tcW w:type="dxa" w:w="1728"/>
          </w:tcPr>
          <w:p>
            <w:r>
              <w:t>核心</w:t>
            </w:r>
          </w:p>
        </w:tc>
        <w:tc>
          <w:tcPr>
            <w:tcW w:type="dxa" w:w="1728"/>
          </w:tcPr>
          <w:p>
            <w:r>
              <w:t>仅管理员 + 审批</w:t>
            </w:r>
          </w:p>
        </w:tc>
        <w:tc>
          <w:tcPr>
            <w:tcW w:type="dxa" w:w="1728"/>
          </w:tcPr>
          <w:p>
            <w:r>
              <w:t>电价、调度指令、市场交易、结算</w:t>
            </w:r>
          </w:p>
        </w:tc>
        <w:tc>
          <w:tcPr>
            <w:tcW w:type="dxa" w:w="1728"/>
          </w:tcPr>
          <w:p>
            <w:r>
              <w:t>约 20%</w:t>
            </w:r>
          </w:p>
        </w:tc>
      </w:tr>
      <w:tr>
        <w:tc>
          <w:tcPr>
            <w:tcW w:type="dxa" w:w="1728"/>
          </w:tcPr>
          <w:p>
            <w:r>
              <w:t>2 级</w:t>
            </w:r>
          </w:p>
        </w:tc>
        <w:tc>
          <w:tcPr>
            <w:tcW w:type="dxa" w:w="1728"/>
          </w:tcPr>
          <w:p>
            <w:r>
              <w:t>重要</w:t>
            </w:r>
          </w:p>
        </w:tc>
        <w:tc>
          <w:tcPr>
            <w:tcW w:type="dxa" w:w="1728"/>
          </w:tcPr>
          <w:p>
            <w:r>
              <w:t>授权用户</w:t>
            </w:r>
          </w:p>
        </w:tc>
        <w:tc>
          <w:tcPr>
            <w:tcW w:type="dxa" w:w="1728"/>
          </w:tcPr>
          <w:p>
            <w:r>
              <w:t>发电量、用电量、电网拓扑、地理位置</w:t>
            </w:r>
          </w:p>
        </w:tc>
        <w:tc>
          <w:tcPr>
            <w:tcW w:type="dxa" w:w="1728"/>
          </w:tcPr>
          <w:p>
            <w:r>
              <w:t>约 30%</w:t>
            </w:r>
          </w:p>
        </w:tc>
      </w:tr>
      <w:tr>
        <w:tc>
          <w:tcPr>
            <w:tcW w:type="dxa" w:w="1728"/>
          </w:tcPr>
          <w:p>
            <w:r>
              <w:t>3 级</w:t>
            </w:r>
          </w:p>
        </w:tc>
        <w:tc>
          <w:tcPr>
            <w:tcW w:type="dxa" w:w="1728"/>
          </w:tcPr>
          <w:p>
            <w:r>
              <w:t>敏感</w:t>
            </w:r>
          </w:p>
        </w:tc>
        <w:tc>
          <w:tcPr>
            <w:tcW w:type="dxa" w:w="1728"/>
          </w:tcPr>
          <w:p>
            <w:r>
              <w:t>项目组成员</w:t>
            </w:r>
          </w:p>
        </w:tc>
        <w:tc>
          <w:tcPr>
            <w:tcW w:type="dxa" w:w="1728"/>
          </w:tcPr>
          <w:p>
            <w:r>
              <w:t>智能电表、风速、辐照度、振动、电压</w:t>
            </w:r>
          </w:p>
        </w:tc>
        <w:tc>
          <w:tcPr>
            <w:tcW w:type="dxa" w:w="1728"/>
          </w:tcPr>
          <w:p>
            <w:r>
              <w:t>约 35%</w:t>
            </w:r>
          </w:p>
        </w:tc>
      </w:tr>
      <w:tr>
        <w:tc>
          <w:tcPr>
            <w:tcW w:type="dxa" w:w="1728"/>
          </w:tcPr>
          <w:p>
            <w:r>
              <w:t>4 级</w:t>
            </w:r>
          </w:p>
        </w:tc>
        <w:tc>
          <w:tcPr>
            <w:tcW w:type="dxa" w:w="1728"/>
          </w:tcPr>
          <w:p>
            <w:r>
              <w:t>公开</w:t>
            </w:r>
          </w:p>
        </w:tc>
        <w:tc>
          <w:tcPr>
            <w:tcW w:type="dxa" w:w="1728"/>
          </w:tcPr>
          <w:p>
            <w:r>
              <w:t>所有用户</w:t>
            </w:r>
          </w:p>
        </w:tc>
        <w:tc>
          <w:tcPr>
            <w:tcW w:type="dxa" w:w="1728"/>
          </w:tcPr>
          <w:p>
            <w:r>
              <w:t>温度、转速、环境数据</w:t>
            </w:r>
          </w:p>
        </w:tc>
        <w:tc>
          <w:tcPr>
            <w:tcW w:type="dxa" w:w="1728"/>
          </w:tcPr>
          <w:p>
            <w:r>
              <w:t>约 15%</w:t>
            </w:r>
          </w:p>
        </w:tc>
      </w:tr>
    </w:tbl>
    <w:p/>
    <w:p>
      <w:pPr>
        <w:pStyle w:val="Heading3"/>
      </w:pPr>
      <w:r>
        <w:t>4.1.3 字段级自动识别</w:t>
      </w:r>
    </w:p>
    <w:p>
      <w:r>
        <w:rPr>
          <w:rFonts w:ascii="Consolas" w:hAnsi="Consolas"/>
          <w:sz w:val="18"/>
        </w:rPr>
        <w:t>classify_by_field_types()</w:t>
      </w:r>
      <w:r>
        <w:t xml:space="preserve"> 根据字段名中的关键词自动建议敏感度：</w:t>
      </w:r>
    </w:p>
    <w:p>
      <w:pPr>
        <w:pStyle w:val="NoSpacing"/>
      </w:pPr>
      <w:r>
        <w:rPr>
          <w:rFonts w:ascii="Consolas" w:hAnsi="Consolas"/>
          <w:sz w:val="18"/>
        </w:rPr>
        <w:t>FIELD_TYPE_LEVEL_MAP =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"password": 1, "secret": 1, "token": 1, "private_key": 1,  # → 核心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"id_card": 2, "phone": 2, "email": 2, "bank_account": 2,    # → 重要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"address": 3, "name": 3, "birth_date": 3, "salary": 3,      # → 敏感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"temperature": 4, "humidity": 4,                              # → 公开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r>
        <w:t>该映射覆盖 30+ 常见敏感字段关键词，每次分类时自动遍历字段名检查匹配，生成一级建议供后续人工审核。</w:t>
      </w:r>
    </w:p>
    <w:p>
      <w:pPr>
        <w:pStyle w:val="Heading3"/>
      </w:pPr>
      <w:r>
        <w:t>4.1.4 人工审核三阶段流程</w:t>
      </w:r>
    </w:p>
    <w:p>
      <w:pPr>
        <w:pStyle w:val="NoSpacing"/>
      </w:pPr>
      <w:r>
        <w:rPr>
          <w:rFonts w:ascii="Consolas" w:hAnsi="Consolas"/>
          <w:sz w:val="18"/>
        </w:rPr>
        <w:t>自动分类 ──► submit_for_review() ──► confirm_classification()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│                         ├── 确认自动分类（批量确认）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│                         └── override_classification()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└── 人工覆盖（需填写覆盖原因 + 审核人信息）</w:t>
      </w:r>
    </w:p>
    <w:p>
      <w:pPr>
        <w:pStyle w:val="NoSpacing"/>
      </w:pPr>
    </w:p>
    <w:p>
      <w:r>
        <w:t xml:space="preserve">人工覆盖必须填写 </w:t>
      </w:r>
      <w:r>
        <w:rPr>
          <w:rFonts w:ascii="Consolas" w:hAnsi="Consolas"/>
          <w:sz w:val="18"/>
        </w:rPr>
        <w:t>override_reason</w:t>
      </w:r>
      <w:r>
        <w:t xml:space="preserve"> 字段（如"数据来源变更，原发电数据实际包含用户电价信息"），形成可追溯的覆盖记录。</w:t>
      </w:r>
    </w:p>
    <w:p>
      <w:pPr>
        <w:pStyle w:val="Heading3"/>
      </w:pPr>
      <w:r>
        <w:t>4.1.5 SM3 哈希指纹</w:t>
      </w:r>
    </w:p>
    <w:p>
      <w:r>
        <w:t>每个数据集生成独立的 SM3 哈希指纹：</w:t>
      </w:r>
      <w:r>
        <w:rPr>
          <w:rFonts w:ascii="Consolas" w:hAnsi="Consolas"/>
          <w:sz w:val="18"/>
        </w:rPr>
        <w:t>SM3(dataset_id || file_path || content_snapshot)</w:t>
      </w:r>
      <w:r>
        <w:t>，用于存储后验证数据完整性。指纹存储在数据集元数据中，读取时自动比对。</w:t>
      </w:r>
    </w:p>
    <w:p>
      <w:pPr>
        <w:pStyle w:val="Heading2"/>
      </w:pPr>
      <w:r>
        <w:t>4.2 GDPR 数据主体权利</w:t>
      </w:r>
    </w:p>
    <w:p>
      <w:r>
        <w:rPr>
          <w:rFonts w:ascii="Consolas" w:hAnsi="Consolas"/>
          <w:sz w:val="18"/>
        </w:rPr>
        <w:t>services/gdpr_service.py</w:t>
      </w:r>
      <w:r>
        <w:t>（560 行）实现了与国际隐私法规的对接能力，支持 5 项数据主体权利。</w:t>
      </w:r>
    </w:p>
    <w:p>
      <w:pPr>
        <w:pStyle w:val="Heading3"/>
      </w:pPr>
      <w:r>
        <w:t>4.2.1 五项权利实现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权利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GDPR 条款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API 方法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实现说明</w:t>
            </w:r>
          </w:p>
        </w:tc>
      </w:tr>
      <w:tr>
        <w:tc>
          <w:tcPr>
            <w:tcW w:type="dxa" w:w="2160"/>
          </w:tcPr>
          <w:p>
            <w:r>
              <w:t>访问权</w:t>
            </w:r>
          </w:p>
        </w:tc>
        <w:tc>
          <w:tcPr>
            <w:tcW w:type="dxa" w:w="2160"/>
          </w:tcPr>
          <w:p>
            <w:r>
              <w:t>Art.15</w:t>
            </w:r>
          </w:p>
        </w:tc>
        <w:tc>
          <w:tcPr>
            <w:tcW w:type="dxa" w:w="2160"/>
          </w:tcPr>
          <w:p>
            <w:r>
              <w:t>data_access_request()</w:t>
            </w:r>
          </w:p>
        </w:tc>
        <w:tc>
          <w:tcPr>
            <w:tcW w:type="dxa" w:w="2160"/>
          </w:tcPr>
          <w:p>
            <w:r>
              <w:t>列出该用户的所有关联数据</w:t>
            </w:r>
          </w:p>
        </w:tc>
      </w:tr>
      <w:tr>
        <w:tc>
          <w:tcPr>
            <w:tcW w:type="dxa" w:w="2160"/>
          </w:tcPr>
          <w:p>
            <w:r>
              <w:t>删除权</w:t>
            </w:r>
          </w:p>
        </w:tc>
        <w:tc>
          <w:tcPr>
            <w:tcW w:type="dxa" w:w="2160"/>
          </w:tcPr>
          <w:p>
            <w:r>
              <w:t>Art.17</w:t>
            </w:r>
          </w:p>
        </w:tc>
        <w:tc>
          <w:tcPr>
            <w:tcW w:type="dxa" w:w="2160"/>
          </w:tcPr>
          <w:p>
            <w:r>
              <w:t>data_erasure_request()</w:t>
            </w:r>
          </w:p>
        </w:tc>
        <w:tc>
          <w:tcPr>
            <w:tcW w:type="dxa" w:w="2160"/>
          </w:tcPr>
          <w:p>
            <w:r>
              <w:t>删除用户数据 + 记录删除证明</w:t>
            </w:r>
          </w:p>
        </w:tc>
      </w:tr>
      <w:tr>
        <w:tc>
          <w:tcPr>
            <w:tcW w:type="dxa" w:w="2160"/>
          </w:tcPr>
          <w:p>
            <w:r>
              <w:t>可携带权</w:t>
            </w:r>
          </w:p>
        </w:tc>
        <w:tc>
          <w:tcPr>
            <w:tcW w:type="dxa" w:w="2160"/>
          </w:tcPr>
          <w:p>
            <w:r>
              <w:t>Art.20</w:t>
            </w:r>
          </w:p>
        </w:tc>
        <w:tc>
          <w:tcPr>
            <w:tcW w:type="dxa" w:w="2160"/>
          </w:tcPr>
          <w:p>
            <w:r>
              <w:t>data_portability_request()</w:t>
            </w:r>
          </w:p>
        </w:tc>
        <w:tc>
          <w:tcPr>
            <w:tcW w:type="dxa" w:w="2160"/>
          </w:tcPr>
          <w:p>
            <w:r>
              <w:t>导出用户数据为 JSON/CSV 机器可读格式</w:t>
            </w:r>
          </w:p>
        </w:tc>
      </w:tr>
      <w:tr>
        <w:tc>
          <w:tcPr>
            <w:tcW w:type="dxa" w:w="2160"/>
          </w:tcPr>
          <w:p>
            <w:r>
              <w:t>更正权</w:t>
            </w:r>
          </w:p>
        </w:tc>
        <w:tc>
          <w:tcPr>
            <w:tcW w:type="dxa" w:w="2160"/>
          </w:tcPr>
          <w:p>
            <w:r>
              <w:t>Art.16</w:t>
            </w:r>
          </w:p>
        </w:tc>
        <w:tc>
          <w:tcPr>
            <w:tcW w:type="dxa" w:w="2160"/>
          </w:tcPr>
          <w:p>
            <w:r>
              <w:t>data_rectification_request()</w:t>
            </w:r>
          </w:p>
        </w:tc>
        <w:tc>
          <w:tcPr>
            <w:tcW w:type="dxa" w:w="2160"/>
          </w:tcPr>
          <w:p>
            <w:r>
              <w:t>更新错误或不完整的数据主体信息</w:t>
            </w:r>
          </w:p>
        </w:tc>
      </w:tr>
      <w:tr>
        <w:tc>
          <w:tcPr>
            <w:tcW w:type="dxa" w:w="2160"/>
          </w:tcPr>
          <w:p>
            <w:r>
              <w:t>限制处理权</w:t>
            </w:r>
          </w:p>
        </w:tc>
        <w:tc>
          <w:tcPr>
            <w:tcW w:type="dxa" w:w="2160"/>
          </w:tcPr>
          <w:p>
            <w:r>
              <w:t>Art.18</w:t>
            </w:r>
          </w:p>
        </w:tc>
        <w:tc>
          <w:tcPr>
            <w:tcW w:type="dxa" w:w="2160"/>
          </w:tcPr>
          <w:p>
            <w:r>
              <w:t>restrict_processing_request()</w:t>
            </w:r>
          </w:p>
        </w:tc>
        <w:tc>
          <w:tcPr>
            <w:tcW w:type="dxa" w:w="2160"/>
          </w:tcPr>
          <w:p>
            <w:r>
              <w:t>标记该用户数据暂停自动处理</w:t>
            </w:r>
          </w:p>
        </w:tc>
      </w:tr>
    </w:tbl>
    <w:p/>
    <w:p>
      <w:pPr>
        <w:pStyle w:val="Heading3"/>
      </w:pPr>
      <w:r>
        <w:t>4.2.2 法定响应期限</w:t>
      </w:r>
    </w:p>
    <w:p>
      <w:r>
        <w:t xml:space="preserve">所有 GDPR 请求均设 </w:t>
      </w:r>
      <w:r>
        <w:rPr>
          <w:b/>
        </w:rPr>
        <w:t>30 天响应期限</w:t>
      </w:r>
      <w:r>
        <w:t>（</w:t>
      </w:r>
      <w:r>
        <w:rPr>
          <w:rFonts w:ascii="Consolas" w:hAnsi="Consolas"/>
          <w:sz w:val="18"/>
        </w:rPr>
        <w:t>GDPR_DEADLINE_DAYS = 30</w:t>
      </w:r>
      <w:r>
        <w:t xml:space="preserve">），与 GDPR Art.12(3) 规定一致。超期未处理的请求会自动标记为 </w:t>
      </w:r>
      <w:r>
        <w:rPr>
          <w:rFonts w:ascii="Consolas" w:hAnsi="Consolas"/>
          <w:sz w:val="18"/>
        </w:rPr>
        <w:t>overdue</w:t>
      </w:r>
      <w:r>
        <w:t xml:space="preserve"> 并触发告警。</w:t>
      </w:r>
    </w:p>
    <w:p>
      <w:pPr>
        <w:pStyle w:val="Heading3"/>
      </w:pPr>
      <w:r>
        <w:t>4.2.3 数据导出格式</w:t>
      </w:r>
    </w:p>
    <w:p>
      <w:r>
        <w:t>可携带权支持 JSON 和 CSV 两种机器可读格式：</w:t>
      </w:r>
    </w:p>
    <w:p>
      <w:pPr>
        <w:pStyle w:val="NoSpacing"/>
      </w:pPr>
      <w:r>
        <w:rPr>
          <w:rFonts w:ascii="Consolas" w:hAnsi="Consolas"/>
          <w:sz w:val="18"/>
        </w:rPr>
        <w:t># 示例：CSV 格式导出</w:t>
      </w:r>
    </w:p>
    <w:p>
      <w:pPr>
        <w:pStyle w:val="NoSpacing"/>
      </w:pPr>
      <w:r>
        <w:rPr>
          <w:rFonts w:ascii="Consolas" w:hAnsi="Consolas"/>
          <w:sz w:val="18"/>
        </w:rPr>
        <w:t>def data_portability_request(user_id, format="json"):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收集用户所有数据 → 按 format 序列化 → 生成下载链接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JSON：嵌套结构，含数据源和版本信息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# CSV：扁平结构，适合表格类数据</w:t>
      </w:r>
    </w:p>
    <w:p>
      <w:pPr>
        <w:pStyle w:val="NoSpacing"/>
      </w:pPr>
    </w:p>
    <w:p>
      <w:r>
        <w:t>JSON 格式保留原始字段关系和版本元信息，CSV 格式适配与第三方系统的数据对接。</w:t>
      </w:r>
    </w:p>
    <w:p>
      <w:pPr>
        <w:pStyle w:val="Heading2"/>
      </w:pPr>
      <w:r>
        <w:t>4.3 合规审计</w:t>
      </w:r>
    </w:p>
    <w:p>
      <w:r>
        <w:rPr>
          <w:rFonts w:ascii="Consolas" w:hAnsi="Consolas"/>
          <w:sz w:val="18"/>
        </w:rPr>
        <w:t>services/compliance_service.py</w:t>
      </w:r>
      <w:r>
        <w:t>（813 行）提供了一套完整的合规自检框架。</w:t>
      </w:r>
    </w:p>
    <w:p>
      <w:pPr>
        <w:pStyle w:val="Heading3"/>
      </w:pPr>
      <w:r>
        <w:t>4.3.1 三套检查清单模板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检查项数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核心检查内容</w:t>
            </w:r>
          </w:p>
        </w:tc>
      </w:tr>
      <w:tr>
        <w:tc>
          <w:tcPr>
            <w:tcW w:type="dxa" w:w="2880"/>
          </w:tcPr>
          <w:p>
            <w:r>
              <w:t>data_security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数据分类分级、访问控制覆盖、加密传输、加密存储、数据脱敏、密钥管理、操作审计、备份恢复、漏洞管理、安全培训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合法性基础、数据最小化、目的限制、存储限制、数据主体权利、数据处理记录、DPIA、跨境传输保护、数据泄露通知、DPO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隐私政策透明度、用户同意管理、数据收集最小化、隐私增强技术使用、隐私风险评估、员工隐私培训</w:t>
            </w:r>
          </w:p>
        </w:tc>
      </w:tr>
    </w:tbl>
    <w:p/>
    <w:p>
      <w:pPr>
        <w:pStyle w:val="Heading3"/>
      </w:pPr>
      <w:r>
        <w:t>4.3.2 加权评分机制</w:t>
      </w:r>
    </w:p>
    <w:p>
      <w:pPr>
        <w:pStyle w:val="NoSpacing"/>
      </w:pPr>
      <w:r>
        <w:rPr>
          <w:rFonts w:ascii="Consolas" w:hAnsi="Consolas"/>
          <w:sz w:val="18"/>
        </w:rPr>
        <w:t># 每项检查结果按 weight 加权计算总分</w:t>
      </w:r>
    </w:p>
    <w:p>
      <w:pPr>
        <w:pStyle w:val="NoSpacing"/>
      </w:pPr>
      <w:r>
        <w:rPr>
          <w:rFonts w:ascii="Consolas" w:hAnsi="Consolas"/>
          <w:sz w:val="18"/>
        </w:rPr>
        <w:t>check_result = {"weight": 5, "status": "pass"}     # → 贡献 5×1.0 = 5.0</w:t>
      </w:r>
    </w:p>
    <w:p>
      <w:pPr>
        <w:pStyle w:val="NoSpacing"/>
      </w:pPr>
      <w:r>
        <w:rPr>
          <w:rFonts w:ascii="Consolas" w:hAnsi="Consolas"/>
          <w:sz w:val="18"/>
        </w:rPr>
        <w:t>check_result = {"weight": 5, "status": "warning"}  # → 贡献 5×0.6 = 3.0</w:t>
      </w:r>
    </w:p>
    <w:p>
      <w:pPr>
        <w:pStyle w:val="NoSpacing"/>
      </w:pPr>
      <w:r>
        <w:rPr>
          <w:rFonts w:ascii="Consolas" w:hAnsi="Consolas"/>
          <w:sz w:val="18"/>
        </w:rPr>
        <w:t>check_result = {"weight": 5, "status": "fail"}     # → 贡献 5×0.0 = 0.0</w:t>
      </w:r>
    </w:p>
    <w:p>
      <w:pPr>
        <w:pStyle w:val="NoSpacing"/>
      </w:pPr>
      <w:r>
        <w:rPr>
          <w:rFonts w:ascii="Consolas" w:hAnsi="Consolas"/>
          <w:sz w:val="18"/>
        </w:rPr>
        <w:t>check_result = {"weight": 5, "status": "skip"}     # → 贡献 5×0.5 = 2.5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# 最终得分 = Σ 每项得分 / Σ 权重 × 100</w:t>
      </w:r>
    </w:p>
    <w:p>
      <w:pPr>
        <w:pStyle w:val="NoSpacing"/>
      </w:pPr>
    </w:p>
    <w:p>
      <w:pPr>
        <w:pStyle w:val="Heading3"/>
      </w:pPr>
      <w:r>
        <w:t>4.3.3 三级报告等级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得分区间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≥ 90 分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  <w:tc>
          <w:tcPr>
            <w:tcW w:type="dxa" w:w="2880"/>
          </w:tcPr>
          <w:p>
            <w:r>
              <w:t>合规，可正式上线</w:t>
            </w:r>
          </w:p>
        </w:tc>
      </w:tr>
      <w:tr>
        <w:tc>
          <w:tcPr>
            <w:tcW w:type="dxa" w:w="2880"/>
          </w:tcPr>
          <w:p>
            <w:r>
              <w:t>70~89 分</w:t>
            </w:r>
          </w:p>
        </w:tc>
        <w:tc>
          <w:tcPr>
            <w:tcW w:type="dxa" w:w="2880"/>
          </w:tcPr>
          <w:p>
            <w:r>
              <w:t>partially_compliant</w:t>
            </w:r>
          </w:p>
        </w:tc>
        <w:tc>
          <w:tcPr>
            <w:tcW w:type="dxa" w:w="2880"/>
          </w:tcPr>
          <w:p>
            <w:r>
              <w:t>部分合规，明确列出待改进项及优先级</w:t>
            </w:r>
          </w:p>
        </w:tc>
      </w:tr>
      <w:tr>
        <w:tc>
          <w:tcPr>
            <w:tcW w:type="dxa" w:w="2880"/>
          </w:tcPr>
          <w:p>
            <w:r>
              <w:t>&lt; 70 分</w:t>
            </w:r>
          </w:p>
        </w:tc>
        <w:tc>
          <w:tcPr>
            <w:tcW w:type="dxa" w:w="2880"/>
          </w:tcPr>
          <w:p>
            <w:r>
              <w:t>non_compliant</w:t>
            </w:r>
          </w:p>
        </w:tc>
        <w:tc>
          <w:tcPr>
            <w:tcW w:type="dxa" w:w="2880"/>
          </w:tcPr>
          <w:p>
            <w:r>
              <w:t>不合规，需整改后重新评估方可上线</w:t>
            </w:r>
          </w:p>
        </w:tc>
      </w:tr>
    </w:tbl>
    <w:p/>
    <w:p>
      <w:pPr>
        <w:pStyle w:val="Heading2"/>
      </w:pPr>
      <w:r>
        <w:t>4.4 本章小结</w:t>
      </w:r>
    </w:p>
    <w:p>
      <w:r>
        <w:t>数据治理三模块形成完整闭环：</w:t>
      </w:r>
      <w:r>
        <w:rPr>
          <w:b/>
        </w:rPr>
        <w:t>数据分类分级引擎提供 20 条规则覆盖 6 大能源类别</w:t>
      </w:r>
      <w:r>
        <w:t>，字段级自动识别 + 人工审核保证分类准确性；GDPR 服务实现 5 项数据主体权利，符合 30 天法定响应要求；合规审计框架通过 3 套清单、加权评分和三级报告等级，可生成供监管审查的自检报告。SM3 哈希指纹机制为数据集完整性验证提供了密码学保证。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第 5 章 区块链隐私保护</w:t>
      </w:r>
    </w:p>
    <w:p>
      <w:r>
        <w:t>项目在 FISCO BCOS 平台上部署了 15 个 Solidity 智能合约，其中 8 个合约与隐私保护直接相关。区块链层通过"哈希上链、身份匿名、不可篡改、可追溯"四大原则，与 DID/VC/密码学层形成隐私保护闭环。</w:t>
      </w:r>
    </w:p>
    <w:p>
      <w:pPr>
        <w:pStyle w:val="Heading2"/>
      </w:pPr>
      <w:r>
        <w:t>5.1 合约全景与隐私功能映射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合约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文件大小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隐私功能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与上层模块的交互</w:t>
            </w:r>
          </w:p>
        </w:tc>
      </w:tr>
      <w:tr>
        <w:tc>
          <w:tcPr>
            <w:tcW w:type="dxa" w:w="2160"/>
          </w:tcPr>
          <w:p>
            <w:r>
              <w:t>IdentityRegistry</w:t>
            </w:r>
          </w:p>
        </w:tc>
        <w:tc>
          <w:tcPr>
            <w:tcW w:type="dxa" w:w="2160"/>
          </w:tcPr>
          <w:p>
            <w:r>
              <w:t>4,326 B</w:t>
            </w:r>
          </w:p>
        </w:tc>
        <w:tc>
          <w:tcPr>
            <w:tcW w:type="dxa" w:w="2160"/>
          </w:tcPr>
          <w:p>
            <w:r>
              <w:t>DID 链上注册、身份管理</w:t>
            </w:r>
          </w:p>
        </w:tc>
        <w:tc>
          <w:tcPr>
            <w:tcW w:type="dxa" w:w="2160"/>
          </w:tcPr>
          <w:p>
            <w:r>
              <w:t>DID Service 创建 DID 时同步注册</w:t>
            </w:r>
          </w:p>
        </w:tc>
      </w:tr>
      <w:tr>
        <w:tc>
          <w:tcPr>
            <w:tcW w:type="dxa" w:w="2160"/>
          </w:tcPr>
          <w:p>
            <w:r>
              <w:t>DataAuthorization</w:t>
            </w:r>
          </w:p>
        </w:tc>
        <w:tc>
          <w:tcPr>
            <w:tcW w:type="dxa" w:w="2160"/>
          </w:tcPr>
          <w:p>
            <w:r>
              <w:t>6,439 B</w:t>
            </w:r>
          </w:p>
        </w:tc>
        <w:tc>
          <w:tcPr>
            <w:tcW w:type="dxa" w:w="2160"/>
          </w:tcPr>
          <w:p>
            <w:r>
              <w:t>数据授权访问控制、有效期管理、撤销机制</w:t>
            </w:r>
          </w:p>
        </w:tc>
        <w:tc>
          <w:tcPr>
            <w:tcW w:type="dxa" w:w="2160"/>
          </w:tcPr>
          <w:p>
            <w:r>
              <w:t>ABAC 评估时查询链上授权状态</w:t>
            </w:r>
          </w:p>
        </w:tc>
      </w:tr>
      <w:tr>
        <w:tc>
          <w:tcPr>
            <w:tcW w:type="dxa" w:w="2160"/>
          </w:tcPr>
          <w:p>
            <w:r>
              <w:t>ComplianceAudit</w:t>
            </w:r>
          </w:p>
        </w:tc>
        <w:tc>
          <w:tcPr>
            <w:tcW w:type="dxa" w:w="2160"/>
          </w:tcPr>
          <w:p>
            <w:r>
              <w:t>4,527 B</w:t>
            </w:r>
          </w:p>
        </w:tc>
        <w:tc>
          <w:tcPr>
            <w:tcW w:type="dxa" w:w="2160"/>
          </w:tcPr>
          <w:p>
            <w:r>
              <w:t>不可篡改审计日志、审批/驳回流程</w:t>
            </w:r>
          </w:p>
        </w:tc>
        <w:tc>
          <w:tcPr>
            <w:tcW w:type="dxa" w:w="2160"/>
          </w:tcPr>
          <w:p>
            <w:r>
              <w:t>合规服务审计结果上链存证</w:t>
            </w:r>
          </w:p>
        </w:tc>
      </w:tr>
      <w:tr>
        <w:tc>
          <w:tcPr>
            <w:tcW w:type="dxa" w:w="2160"/>
          </w:tcPr>
          <w:p>
            <w:r>
              <w:t>EvidenceStore</w:t>
            </w:r>
          </w:p>
        </w:tc>
        <w:tc>
          <w:tcPr>
            <w:tcW w:type="dxa" w:w="2160"/>
          </w:tcPr>
          <w:p>
            <w:r>
              <w:t>9,095 B</w:t>
            </w:r>
          </w:p>
        </w:tc>
        <w:tc>
          <w:tcPr>
            <w:tcW w:type="dxa" w:w="2160"/>
          </w:tcPr>
          <w:p>
            <w:r>
              <w:t>存证存储、SM3 哈希、8 节点证据链</w:t>
            </w:r>
          </w:p>
        </w:tc>
        <w:tc>
          <w:tcPr>
            <w:tcW w:type="dxa" w:w="2160"/>
          </w:tcPr>
          <w:p>
            <w:r>
              <w:t>数据操作日志哈希上链，与 UsageLogger 集成</w:t>
            </w:r>
          </w:p>
        </w:tc>
      </w:tr>
      <w:tr>
        <w:tc>
          <w:tcPr>
            <w:tcW w:type="dxa" w:w="2160"/>
          </w:tcPr>
          <w:p>
            <w:r>
              <w:t>DataTraceability</w:t>
            </w:r>
          </w:p>
        </w:tc>
        <w:tc>
          <w:tcPr>
            <w:tcW w:type="dxa" w:w="2160"/>
          </w:tcPr>
          <w:p>
            <w:r>
              <w:t>7,819 B</w:t>
            </w:r>
          </w:p>
        </w:tc>
        <w:tc>
          <w:tcPr>
            <w:tcW w:type="dxa" w:w="2160"/>
          </w:tcPr>
          <w:p>
            <w:r>
              <w:t>数据血缘追溯、流转记录</w:t>
            </w:r>
          </w:p>
        </w:tc>
        <w:tc>
          <w:tcPr>
            <w:tcW w:type="dxa" w:w="2160"/>
          </w:tcPr>
          <w:p>
            <w:r>
              <w:t>数据分类引擎生命周期跟踪</w:t>
            </w:r>
          </w:p>
        </w:tc>
      </w:tr>
      <w:tr>
        <w:tc>
          <w:tcPr>
            <w:tcW w:type="dxa" w:w="2160"/>
          </w:tcPr>
          <w:p>
            <w:r>
              <w:t>AccessControl</w:t>
            </w:r>
          </w:p>
        </w:tc>
        <w:tc>
          <w:tcPr>
            <w:tcW w:type="dxa" w:w="2160"/>
          </w:tcPr>
          <w:p>
            <w:r>
              <w:t>6,422 B</w:t>
            </w:r>
          </w:p>
        </w:tc>
        <w:tc>
          <w:tcPr>
            <w:tcW w:type="dxa" w:w="2160"/>
          </w:tcPr>
          <w:p>
            <w:r>
              <w:t>链上访问控制管理</w:t>
            </w:r>
          </w:p>
        </w:tc>
        <w:tc>
          <w:tcPr>
            <w:tcW w:type="dxa" w:w="2160"/>
          </w:tcPr>
          <w:p>
            <w:r>
              <w:t>合约层权限管理</w:t>
            </w:r>
          </w:p>
        </w:tc>
      </w:tr>
      <w:tr>
        <w:tc>
          <w:tcPr>
            <w:tcW w:type="dxa" w:w="2160"/>
          </w:tcPr>
          <w:p>
            <w:r>
              <w:t>DataRegistry</w:t>
            </w:r>
          </w:p>
        </w:tc>
        <w:tc>
          <w:tcPr>
            <w:tcW w:type="dxa" w:w="2160"/>
          </w:tcPr>
          <w:p>
            <w:r>
              <w:t>7,905 B</w:t>
            </w:r>
          </w:p>
        </w:tc>
        <w:tc>
          <w:tcPr>
            <w:tcW w:type="dxa" w:w="2160"/>
          </w:tcPr>
          <w:p>
            <w:r>
              <w:t>数据资产注册、元数据管理</w:t>
            </w:r>
          </w:p>
        </w:tc>
        <w:tc>
          <w:tcPr>
            <w:tcW w:type="dxa" w:w="2160"/>
          </w:tcPr>
          <w:p>
            <w:r>
              <w:t>数据资产全生命周期管理</w:t>
            </w:r>
          </w:p>
        </w:tc>
      </w:tr>
      <w:tr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12,026 B</w:t>
            </w:r>
          </w:p>
        </w:tc>
        <w:tc>
          <w:tcPr>
            <w:tcW w:type="dxa" w:w="2160"/>
          </w:tcPr>
          <w:p>
            <w:r>
              <w:t>安全结算（MPC 结果验证）</w:t>
            </w:r>
          </w:p>
        </w:tc>
        <w:tc>
          <w:tcPr>
            <w:tcW w:type="dxa" w:w="2160"/>
          </w:tcPr>
          <w:p>
            <w:r>
              <w:t>MPC 服务结算结果的链上验证</w:t>
            </w:r>
          </w:p>
        </w:tc>
      </w:tr>
    </w:tbl>
    <w:p/>
    <w:p>
      <w:pPr>
        <w:pStyle w:val="Heading2"/>
      </w:pPr>
      <w:r>
        <w:t>5.2 EvidenceStore：SM3 哈希存证</w:t>
      </w:r>
    </w:p>
    <w:p>
      <w:r>
        <w:rPr>
          <w:rFonts w:ascii="Consolas" w:hAnsi="Consolas"/>
          <w:sz w:val="18"/>
        </w:rPr>
        <w:t>EvidenceStore.sol</w:t>
      </w:r>
      <w:r>
        <w:t xml:space="preserve"> 是隐私保护的核心合约，实现了"数据可验证但不泄露原文"的设计目标。</w:t>
      </w:r>
    </w:p>
    <w:p>
      <w:pPr>
        <w:pStyle w:val="Heading3"/>
      </w:pPr>
      <w:r>
        <w:t>5.2.1 存证数据结构</w:t>
      </w:r>
    </w:p>
    <w:p>
      <w:pPr>
        <w:pStyle w:val="NoSpacing"/>
      </w:pPr>
      <w:r>
        <w:rPr>
          <w:rFonts w:ascii="Consolas" w:hAnsi="Consolas"/>
          <w:sz w:val="18"/>
        </w:rPr>
        <w:t>struct Evidence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string evidenceId;       // 存证唯一标识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string resourceType;     // 资源类型（dataset/report/model/computation）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string resourceId;       // 资源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string nodeType;         // 节点类型（支持 8 节点证据链）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bytes32 dataHash;        // 数据 SM3 哈希（原始数据不上链）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bytes evidenceData;      // 存证数据（哈希+元信息，不含明文）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string submitterDid;     // 提交者 DID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uint256 blockNumber;     // 存入区块高度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uint256 timestamp;       // 存证时间戳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bool isValid;            // 是否有效（支持逻辑删除）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pPr>
        <w:pStyle w:val="Heading3"/>
      </w:pPr>
      <w:r>
        <w:t>5.2.2 隐私保护设计原则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┌─────────────┐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│  原始数据   │  ← 存储于链下数据库（加密存储）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└──────┬──────┘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 │ SM3 哈希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┌──────▼──────┐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│  dataHash   │  ← 写入 EvidenceStore 合约（上链）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└─────────────┘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┌ ─ ─ ─ ─ ─ ─ ─ ─ ─ ─ ─ ─ 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任何人可验证：SM3(data) == dataHash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└ ─ ─ ─ ─ ─ ─ ─ ─ ─ ─ ─ ─ ┘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但无法从 dataHash 反推原始数据</w:t>
      </w:r>
    </w:p>
    <w:p>
      <w:pPr>
        <w:pStyle w:val="NoSpacing"/>
      </w:pPr>
    </w:p>
    <w:p>
      <w:pPr>
        <w:pStyle w:val="Heading3"/>
      </w:pPr>
      <w:r>
        <w:t>5.2.3 批量存证与证据链</w:t>
      </w:r>
    </w:p>
    <w:p>
      <w:r>
        <w:t>合约支持</w:t>
      </w:r>
      <w:r>
        <w:rPr>
          <w:b/>
        </w:rPr>
        <w:t>批量存证提交</w:t>
      </w:r>
      <w:r>
        <w:t>（一次交易写入多条 Evidence 记录），降低 Gas 费用。</w:t>
      </w:r>
      <w:r>
        <w:rPr>
          <w:rFonts w:ascii="Consolas" w:hAnsi="Consolas"/>
          <w:sz w:val="18"/>
        </w:rPr>
        <w:t>nodeType</w:t>
      </w:r>
      <w:r>
        <w:t xml:space="preserve"> 字段支持 8 节点证据链——每条存证记录可关联上一个区块的 </w:t>
      </w:r>
      <w:r>
        <w:rPr>
          <w:rFonts w:ascii="Consolas" w:hAnsi="Consolas"/>
          <w:sz w:val="18"/>
        </w:rPr>
        <w:t>dataHash</w:t>
      </w:r>
      <w:r>
        <w:t xml:space="preserve"> 形成链式结构，8 个节点的证据链使得篡改任意一条记录都需要同时篡改后续 7 个区块，成本极高。</w:t>
      </w:r>
    </w:p>
    <w:p>
      <w:pPr>
        <w:pStyle w:val="Heading2"/>
      </w:pPr>
      <w:r>
        <w:t>5.3 ComplianceAudit：不可篡改审计</w:t>
      </w:r>
    </w:p>
    <w:p>
      <w:r>
        <w:rPr>
          <w:rFonts w:ascii="Consolas" w:hAnsi="Consolas"/>
          <w:sz w:val="18"/>
        </w:rPr>
        <w:t>ComplianceAudit.sol</w:t>
      </w:r>
      <w:r>
        <w:t xml:space="preserve"> 实现了写入后无法修改的审计日志机制。</w:t>
      </w:r>
    </w:p>
    <w:p>
      <w:pPr>
        <w:pStyle w:val="Heading3"/>
      </w:pPr>
      <w:r>
        <w:t>5.3.1 审计类型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审计类型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data_security</w:t>
            </w:r>
          </w:p>
        </w:tc>
        <w:tc>
          <w:tcPr>
            <w:tcW w:type="dxa" w:w="4320"/>
          </w:tcPr>
          <w:p>
            <w:r>
              <w:t>数据安全审计（加密状态、访问控制覆盖）</w:t>
            </w:r>
          </w:p>
        </w:tc>
      </w:tr>
      <w:tr>
        <w:tc>
          <w:tcPr>
            <w:tcW w:type="dxa" w:w="4320"/>
          </w:tcPr>
          <w:p>
            <w:r>
              <w:t>privacy_compliance</w:t>
            </w:r>
          </w:p>
        </w:tc>
        <w:tc>
          <w:tcPr>
            <w:tcW w:type="dxa" w:w="4320"/>
          </w:tcPr>
          <w:p>
            <w:r>
              <w:t>隐私合规审计（DPIA 执行、数据主体权利响应）</w:t>
            </w:r>
          </w:p>
        </w:tc>
      </w:tr>
      <w:tr>
        <w:tc>
          <w:tcPr>
            <w:tcW w:type="dxa" w:w="4320"/>
          </w:tcPr>
          <w:p>
            <w:r>
              <w:t>operation_standard</w:t>
            </w:r>
          </w:p>
        </w:tc>
        <w:tc>
          <w:tcPr>
            <w:tcW w:type="dxa" w:w="4320"/>
          </w:tcPr>
          <w:p>
            <w:r>
              <w:t>操作规范审计（权限变更、敏感操作记录）</w:t>
            </w:r>
          </w:p>
        </w:tc>
      </w:tr>
      <w:tr>
        <w:tc>
          <w:tcPr>
            <w:tcW w:type="dxa" w:w="4320"/>
          </w:tcPr>
          <w:p>
            <w:r>
              <w:t>onchain_verification</w:t>
            </w:r>
          </w:p>
        </w:tc>
        <w:tc>
          <w:tcPr>
            <w:tcW w:type="dxa" w:w="4320"/>
          </w:tcPr>
          <w:p>
            <w:r>
              <w:t>链上验证审计（哈希匹配、签名验证结果）</w:t>
            </w:r>
          </w:p>
        </w:tc>
      </w:tr>
    </w:tbl>
    <w:p/>
    <w:p>
      <w:pPr>
        <w:pStyle w:val="Heading3"/>
      </w:pPr>
      <w:r>
        <w:t>5.3.2 审批流程</w:t>
      </w:r>
    </w:p>
    <w:p>
      <w:pPr>
        <w:pStyle w:val="NoSpacing"/>
      </w:pPr>
      <w:r>
        <w:rPr>
          <w:rFonts w:ascii="Consolas" w:hAnsi="Consolas"/>
          <w:sz w:val="18"/>
        </w:rPr>
        <w:t>// 提交审计记录（操作员）</w:t>
      </w:r>
    </w:p>
    <w:p>
      <w:pPr>
        <w:pStyle w:val="NoSpacing"/>
      </w:pPr>
      <w:r>
        <w:rPr>
          <w:rFonts w:ascii="Consolas" w:hAnsi="Consolas"/>
          <w:sz w:val="18"/>
        </w:rPr>
        <w:t>function submitAudit(string memory auditType, string memory reportHash) public ...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// 审批审计记录（管理员）</w:t>
      </w:r>
    </w:p>
    <w:p>
      <w:pPr>
        <w:pStyle w:val="NoSpacing"/>
      </w:pPr>
      <w:r>
        <w:rPr>
          <w:rFonts w:ascii="Consolas" w:hAnsi="Consolas"/>
          <w:sz w:val="18"/>
        </w:rPr>
        <w:t>function approveAudit(uint256 auditId) public onlyAdmin ...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// 驳回审计记录（管理员，需附驳回理由）</w:t>
      </w:r>
    </w:p>
    <w:p>
      <w:pPr>
        <w:pStyle w:val="NoSpacing"/>
      </w:pPr>
      <w:r>
        <w:rPr>
          <w:rFonts w:ascii="Consolas" w:hAnsi="Consolas"/>
          <w:sz w:val="18"/>
        </w:rPr>
        <w:t>function rejectAudit(uint256 auditId, string memory reason) public onlyAdmin ...</w:t>
      </w:r>
    </w:p>
    <w:p>
      <w:pPr>
        <w:pStyle w:val="NoSpacing"/>
      </w:pPr>
    </w:p>
    <w:p>
      <w:r>
        <w:t>所有状态变更（提交/审批/驳回）均记录事件日志，链上操作地址和时间戳不可篡改。</w:t>
      </w:r>
    </w:p>
    <w:p>
      <w:pPr>
        <w:pStyle w:val="Heading2"/>
      </w:pPr>
      <w:r>
        <w:t>5.4 DataAuthorization：链上授权管理</w:t>
      </w:r>
    </w:p>
    <w:p>
      <w:pPr>
        <w:pStyle w:val="Heading3"/>
      </w:pPr>
      <w:r>
        <w:t>5.4.1 授权三元组模型</w:t>
      </w:r>
    </w:p>
    <w:p>
      <w:pPr>
        <w:pStyle w:val="NoSpacing"/>
      </w:pPr>
      <w:r>
        <w:rPr>
          <w:rFonts w:ascii="Consolas" w:hAnsi="Consolas"/>
          <w:sz w:val="18"/>
        </w:rPr>
        <w:t>struct Authorization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address grantor;        // 授权方地址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address grantee;        // 被授权方地址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string  assetId;        // 数据资产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uint256 expiresAt;      // 过期时间戳（0 = 永不过期）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bool    revoked;        // 撤销标志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pPr>
        <w:pStyle w:val="Heading3"/>
      </w:pPr>
      <w:r>
        <w:t>5.4.2 授权查询接口</w:t>
      </w:r>
    </w:p>
    <w:p>
      <w:pPr>
        <w:pStyle w:val="NoSpacing"/>
      </w:pPr>
      <w:r>
        <w:rPr>
          <w:rFonts w:ascii="Consolas" w:hAnsi="Consolas"/>
          <w:sz w:val="18"/>
        </w:rPr>
        <w:t>function isAuthorized(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address grantor,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address grantee,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string memory assetId</w:t>
      </w:r>
    </w:p>
    <w:p>
      <w:pPr>
        <w:pStyle w:val="NoSpacing"/>
      </w:pPr>
      <w:r>
        <w:rPr>
          <w:rFonts w:ascii="Consolas" w:hAnsi="Consolas"/>
          <w:sz w:val="18"/>
        </w:rPr>
        <w:t>) public view returns (bool)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// 检查三元组是否存在、未过期、未撤销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r>
        <w:t>该接口被 ABAC 服务在评估策略时调用，形成</w:t>
      </w:r>
      <w:r>
        <w:rPr>
          <w:b/>
        </w:rPr>
        <w:t>链上授权记录 → 链下策略评估</w:t>
      </w:r>
      <w:r>
        <w:t>的协同机制。</w:t>
      </w:r>
    </w:p>
    <w:p>
      <w:pPr>
        <w:pStyle w:val="Heading2"/>
      </w:pPr>
      <w:r>
        <w:t>5.5 区块链层隐私保护总览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隐私原则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对应合约</w:t>
            </w:r>
          </w:p>
        </w:tc>
      </w:tr>
      <w:tr>
        <w:tc>
          <w:tcPr>
            <w:tcW w:type="dxa" w:w="2880"/>
          </w:tcPr>
          <w:p>
            <w:r>
              <w:t>数据不公开</w:t>
            </w:r>
          </w:p>
        </w:tc>
        <w:tc>
          <w:tcPr>
            <w:tcW w:type="dxa" w:w="2880"/>
          </w:tcPr>
          <w:p>
            <w:r>
              <w:t>原始数据仅 SM3 哈希上链，明文加密存储于链下</w:t>
            </w:r>
          </w:p>
        </w:tc>
        <w:tc>
          <w:tcPr>
            <w:tcW w:type="dxa" w:w="2880"/>
          </w:tcPr>
          <w:p>
            <w:r>
              <w:t>EvidenceStore、DataRegistry</w:t>
            </w:r>
          </w:p>
        </w:tc>
      </w:tr>
      <w:tr>
        <w:tc>
          <w:tcPr>
            <w:tcW w:type="dxa" w:w="2880"/>
          </w:tcPr>
          <w:p>
            <w:r>
              <w:t>身份匿名</w:t>
            </w:r>
          </w:p>
        </w:tc>
        <w:tc>
          <w:tcPr>
            <w:tcW w:type="dxa" w:w="2880"/>
          </w:tcPr>
          <w:p>
            <w:r>
              <w:t>使用 DID 作为链上标识符，不暴露真实身份</w:t>
            </w:r>
          </w:p>
        </w:tc>
        <w:tc>
          <w:tcPr>
            <w:tcW w:type="dxa" w:w="2880"/>
          </w:tcPr>
          <w:p>
            <w:r>
              <w:t>IdentityRegistry、EvidenceStore</w:t>
            </w:r>
          </w:p>
        </w:tc>
      </w:tr>
      <w:tr>
        <w:tc>
          <w:tcPr>
            <w:tcW w:type="dxa" w:w="2880"/>
          </w:tcPr>
          <w:p>
            <w:r>
              <w:t>不可篡改</w:t>
            </w:r>
          </w:p>
        </w:tc>
        <w:tc>
          <w:tcPr>
            <w:tcW w:type="dxa" w:w="2880"/>
          </w:tcPr>
          <w:p>
            <w:r>
              <w:t>所有审计和操作记录写入后无法修改</w:t>
            </w:r>
          </w:p>
        </w:tc>
        <w:tc>
          <w:tcPr>
            <w:tcW w:type="dxa" w:w="2880"/>
          </w:tcPr>
          <w:p>
            <w:r>
              <w:t>ComplianceAudit</w:t>
            </w:r>
          </w:p>
        </w:tc>
      </w:tr>
      <w:tr>
        <w:tc>
          <w:tcPr>
            <w:tcW w:type="dxa" w:w="2880"/>
          </w:tcPr>
          <w:p>
            <w:r>
              <w:t>可追溯</w:t>
            </w:r>
          </w:p>
        </w:tc>
        <w:tc>
          <w:tcPr>
            <w:tcW w:type="dxa" w:w="2880"/>
          </w:tcPr>
          <w:p>
            <w:r>
              <w:t>EvidenceStore + DataTraceability 形成完整数据血缘链</w:t>
            </w:r>
          </w:p>
        </w:tc>
        <w:tc>
          <w:tcPr>
            <w:tcW w:type="dxa" w:w="2880"/>
          </w:tcPr>
          <w:p>
            <w:r>
              <w:t>EvidenceStore、DataTraceability</w:t>
            </w:r>
          </w:p>
        </w:tc>
      </w:tr>
    </w:tbl>
    <w:p/>
    <w:p>
      <w:pPr>
        <w:pStyle w:val="Heading3"/>
      </w:pPr>
      <w:r>
        <w:t>5.5.1 跨层隐私保护闭环</w:t>
      </w:r>
    </w:p>
    <w:p>
      <w:pPr>
        <w:pStyle w:val="NoSpacing"/>
      </w:pPr>
      <w:r>
        <w:rPr>
          <w:rFonts w:ascii="Consolas" w:hAnsi="Consolas"/>
          <w:sz w:val="18"/>
        </w:rPr>
        <w:t>用户请求 ──► ABAC 评估（链下属性+链上授权查询）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┌──────────┼──────────┐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▼          ▼    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DID 验证    VC 验证    链上 DataAuthorization.isAuthorized()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│          │  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└──────────┼──────────┘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授权通过 → 执行操作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┌─────────┼─────────┐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▼             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SM3(操作日志)     ComplianceAudit</w:t>
      </w:r>
    </w:p>
    <w:p>
      <w:pPr>
        <w:pStyle w:val="NoSpacing"/>
      </w:pPr>
      <w:r>
        <w:rPr>
          <w:rFonts w:ascii="Consolas" w:hAnsi="Consolas"/>
          <w:sz w:val="18"/>
        </w:rPr>
        <w:t xml:space="preserve">  上链存证          上链审计</w:t>
      </w:r>
    </w:p>
    <w:p>
      <w:pPr>
        <w:pStyle w:val="NoSpacing"/>
      </w:pPr>
    </w:p>
    <w:p>
      <w:r>
        <w:t>一次完整的隐私保护操作流程：ABAC 属性评估通过后，DID 验证用户身份，VC 验证授权凭证，链上合约二次确认授权关系；操作执行后，SM3 哈希存入 EvidenceStore，审计记录写入 ComplianceAudit——</w:t>
      </w:r>
      <w:r>
        <w:rPr>
          <w:b/>
        </w:rPr>
        <w:t>每一步都有密码学或链上保障，形成不可抵赖的隐私保护完整证据链</w:t>
      </w:r>
      <w:r>
        <w:t>。</w:t>
      </w:r>
    </w:p>
    <w:p>
      <w:pPr>
        <w:pStyle w:val="Heading2"/>
      </w:pPr>
      <w:r>
        <w:t>5.6 本章小结</w:t>
      </w:r>
    </w:p>
    <w:p>
      <w:r>
        <w:t>区块链层通过 8 个隐私相关合约实现了"哈希上链、身份匿名、不可篡改、可追溯"四大原则。EvidenceStore 的 SM3 哈希存证模式确保了</w:t>
      </w:r>
      <w:r>
        <w:rPr>
          <w:b/>
        </w:rPr>
        <w:t>数据可验证但原文不泄露</w:t>
      </w:r>
      <w:r>
        <w:t>（明文仅存于链下加密存储）；ComplianceAudit 的不可篡改审计支持 4 种审计类型和完整的审批/驳回流程；DataAuthorization 的链上授权与 ABAC 服务协同实现了</w:t>
      </w:r>
      <w:r>
        <w:rPr>
          <w:b/>
        </w:rPr>
        <w:t>授权记录不可篡改 + 策略评估灵活细粒度</w:t>
      </w:r>
      <w:r>
        <w:t>的双重保障。当链上隐私需求进一步提升时，建议引入环签名或群签名保护 DataAuthorization 中授权方和被授权方的地址关联关系。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