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05830"/>
          <w:sz w:val="44"/>
        </w:rPr>
        <w:t>CENTRE ALREI DE FORMATION DES TRAVAILLEURS</w:t>
      </w:r>
    </w:p>
    <w:p>
      <w:pPr>
        <w:spacing w:after="360"/>
        <w:jc w:val="center"/>
      </w:pPr>
      <w:r>
        <w:rPr>
          <w:rFonts w:ascii="Calibri" w:hAnsi="Calibri"/>
          <w:b/>
          <w:color w:val="D48F18"/>
          <w:sz w:val="26"/>
        </w:rPr>
        <w:t>RAPPORT TECHNIQUE &amp; SYNTHÈSE DES FONCTIONNALITÉS OPÉRATIONNELLES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05830"/>
              </w:rPr>
              <w:t>Projet :</w:t>
            </w:r>
            <w:r>
              <w:rPr>
                <w:color w:val="3C3C3C"/>
              </w:rPr>
              <w:t xml:space="preserve"> Plateforme E-Learning (CSI-Afrique)</w:t>
            </w:r>
          </w:p>
        </w:tc>
        <w:tc>
          <w:tcPr>
            <w:tcW w:type="dxa" w:w="4608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05830"/>
              </w:rPr>
              <w:t>Statut :</w:t>
            </w:r>
            <w:r>
              <w:rPr>
                <w:color w:val="3C3C3C"/>
              </w:rPr>
              <w:t xml:space="preserve"> Validé &amp; Conforme (Production)</w:t>
            </w:r>
          </w:p>
        </w:tc>
      </w:tr>
      <w:tr>
        <w:tc>
          <w:tcPr>
            <w:tcW w:type="dxa" w:w="4608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05830"/>
              </w:rPr>
              <w:t>Langues :</w:t>
            </w:r>
            <w:r>
              <w:rPr>
                <w:color w:val="3C3C3C"/>
              </w:rPr>
              <w:t xml:space="preserve"> Français, Anglais, Portugais</w:t>
            </w:r>
          </w:p>
        </w:tc>
        <w:tc>
          <w:tcPr>
            <w:tcW w:type="dxa" w:w="4608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05830"/>
              </w:rPr>
              <w:t>Version / Git :</w:t>
            </w:r>
            <w:r>
              <w:rPr>
                <w:color w:val="3C3C3C"/>
              </w:rPr>
              <w:t xml:space="preserve"> Branche 'andre' (Commit 8ed5b23)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5830"/>
          <w:sz w:val="36"/>
        </w:rPr>
        <w:t>1. Présentation Générale</w:t>
      </w:r>
    </w:p>
    <w:p>
      <w:pPr>
        <w:spacing w:after="200" w:line="276" w:lineRule="auto"/>
      </w:pPr>
      <w:r>
        <w:t>Ce document récapitule l'ensemble des fonctionnalités opérationnelles, des modules intégrés et des récentes optimisations apportées à la plateforme e-learning du Centre ALREI de formation des travailleurs (CSI-Afrique). La plateforme a été conçue et finalisée pour offrir une expérience fluide, sécurisée et parfaitement multilingue.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5830"/>
          <w:sz w:val="36"/>
        </w:rPr>
        <w:t>2. Bilan des Modules &amp; Fonctionnalités Opérationnelles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D48F18"/>
          <w:sz w:val="28"/>
        </w:rPr>
        <w:t>2.1 Authentification &amp; Gestion des Comptes</w:t>
      </w:r>
    </w:p>
    <w:p>
      <w:pPr>
        <w:pStyle w:val="ListBullet"/>
        <w:spacing w:after="80" w:line="276" w:lineRule="auto"/>
      </w:pPr>
      <w:r>
        <w:rPr>
          <w:b/>
          <w:color w:val="141414"/>
        </w:rPr>
        <w:t>Système d'inscription modulaire :</w:t>
      </w:r>
      <w:r>
        <w:t xml:space="preserve"> Inscription complète incluant le nom, prénom, pays de résidence, genre, e-mail personnel, numéro WhatsApp international, date de naissance, expérience et langue préférée.</w:t>
      </w:r>
    </w:p>
    <w:p>
      <w:pPr>
        <w:pStyle w:val="ListBullet"/>
        <w:spacing w:after="80" w:line="276" w:lineRule="auto"/>
      </w:pPr>
      <w:r>
        <w:rPr>
          <w:b/>
          <w:color w:val="141414"/>
        </w:rPr>
        <w:t>Champs optionnels ajustés :</w:t>
      </w:r>
      <w:r>
        <w:t xml:space="preserve"> Les champs 'Organisation / Syndicat' et 'Email de l'organisation' sont désormais entièrement optionnels pour permettre aux apprenants indépendants de s'inscrire sans contrainte.</w:t>
      </w:r>
    </w:p>
    <w:p>
      <w:pPr>
        <w:pStyle w:val="ListBullet"/>
        <w:spacing w:after="80" w:line="276" w:lineRule="auto"/>
      </w:pPr>
      <w:r>
        <w:rPr>
          <w:b/>
          <w:color w:val="141414"/>
        </w:rPr>
        <w:t>Masquage/Affichage interactif du mot de passe :</w:t>
      </w:r>
      <w:r>
        <w:t xml:space="preserve"> L'icône œil sur l'ensemble des formulaires de connexion et d'inscription permet désormais d'afficher ou de masquer instantanément le mot de passe.</w:t>
      </w:r>
    </w:p>
    <w:p>
      <w:pPr>
        <w:pStyle w:val="ListBullet"/>
        <w:spacing w:after="80" w:line="276" w:lineRule="auto"/>
      </w:pPr>
      <w:r>
        <w:rPr>
          <w:b/>
          <w:color w:val="141414"/>
        </w:rPr>
        <w:t>Validation sécurisée par code OTP :</w:t>
      </w:r>
      <w:r>
        <w:t xml:space="preserve"> Génération et vérification automatique du code de confirmation à 6 chiffres transmis par e-mail lors de la création de compte.</w:t>
      </w:r>
    </w:p>
    <w:p>
      <w:pPr>
        <w:pStyle w:val="ListBullet"/>
        <w:spacing w:after="80" w:line="276" w:lineRule="auto"/>
      </w:pPr>
      <w:r>
        <w:rPr>
          <w:b/>
          <w:color w:val="141414"/>
        </w:rPr>
        <w:t>Sélection dynamique des pays et indicatifs :</w:t>
      </w:r>
      <w:r>
        <w:t xml:space="preserve"> Composant téléphonique international avec détection automatique du pays de résidence et affichage du drapeau national.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D48F18"/>
          <w:sz w:val="28"/>
        </w:rPr>
        <w:t>2.2 Multilinguisme &amp; Traduction Complète (i18n)</w:t>
      </w:r>
    </w:p>
    <w:p>
      <w:pPr>
        <w:pStyle w:val="ListBullet"/>
        <w:spacing w:after="80" w:line="276" w:lineRule="auto"/>
      </w:pPr>
      <w:r>
        <w:rPr>
          <w:b/>
          <w:color w:val="141414"/>
        </w:rPr>
        <w:t>Traductions intégrales 3 Langues :</w:t>
      </w:r>
      <w:r>
        <w:t xml:space="preserve"> Support parfait et complet en Français (FR), Anglais (EN) et Portugais (PT).</w:t>
      </w:r>
    </w:p>
    <w:p>
      <w:pPr>
        <w:pStyle w:val="ListBullet"/>
        <w:spacing w:after="80" w:line="276" w:lineRule="auto"/>
      </w:pPr>
      <w:r>
        <w:rPr>
          <w:b/>
          <w:color w:val="141414"/>
        </w:rPr>
        <w:t>En-tête &amp; Pied de page (Footer) :</w:t>
      </w:r>
      <w:r>
        <w:t xml:space="preserve"> Tous les liens de navigation, catégories, mentions légales et liens d'aide (notamment 'Comment utiliser le centre' / 'How to use the center' / 'Como usar o centro') se traduisent instantanément lors du changement de langue.</w:t>
      </w:r>
    </w:p>
    <w:p>
      <w:pPr>
        <w:pStyle w:val="ListBullet"/>
        <w:spacing w:after="80" w:line="276" w:lineRule="auto"/>
      </w:pPr>
      <w:r>
        <w:rPr>
          <w:b/>
          <w:color w:val="141414"/>
        </w:rPr>
        <w:t>Interface dynamique :</w:t>
      </w:r>
      <w:r>
        <w:t xml:space="preserve"> Tous les boutons, modales, formulaires et notifications s'adaptent selon la langue sélectionnée par l'utilisateur.</w:t>
      </w:r>
    </w:p>
    <w:p>
      <w:pPr>
        <w:pStyle w:val="ListBullet"/>
        <w:spacing w:after="80" w:line="276" w:lineRule="auto"/>
      </w:pPr>
      <w:r>
        <w:rPr>
          <w:b/>
          <w:color w:val="141414"/>
        </w:rPr>
        <w:t>Harmonisation typographique :</w:t>
      </w:r>
      <w:r>
        <w:t xml:space="preserve"> Uniformisation complète des polices de caractères et de la mise en page à travers l'ensemble des vues.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D48F18"/>
          <w:sz w:val="28"/>
        </w:rPr>
        <w:t>2.3 Catalogues de Formations &amp; Apprentissage</w:t>
      </w:r>
    </w:p>
    <w:p>
      <w:pPr>
        <w:pStyle w:val="ListBullet"/>
        <w:spacing w:after="80" w:line="276" w:lineRule="auto"/>
      </w:pPr>
      <w:r>
        <w:rPr>
          <w:b/>
          <w:color w:val="141414"/>
        </w:rPr>
        <w:t>Domaines de formation ciblés :</w:t>
      </w:r>
      <w:r>
        <w:t xml:space="preserve"> Leadership syndical, Syndicalisation et négociation collective, Recherche sur le travail et politique économique, Changement climatique et transition juste, Numérisation et avenir du travail.</w:t>
      </w:r>
    </w:p>
    <w:p>
      <w:pPr>
        <w:pStyle w:val="ListBullet"/>
        <w:spacing w:after="80" w:line="276" w:lineRule="auto"/>
      </w:pPr>
      <w:r>
        <w:rPr>
          <w:b/>
          <w:color w:val="141414"/>
        </w:rPr>
        <w:t>Consultation des cours &amp; syllabus :</w:t>
      </w:r>
      <w:r>
        <w:t xml:space="preserve"> Fiches détaillées des formations avec programme complet, aperçu vidéo, prérequis, durée et profil de l'instructeur.</w:t>
      </w:r>
    </w:p>
    <w:p>
      <w:pPr>
        <w:pStyle w:val="ListBullet"/>
        <w:spacing w:after="80" w:line="276" w:lineRule="auto"/>
      </w:pPr>
      <w:r>
        <w:rPr>
          <w:b/>
          <w:color w:val="141414"/>
        </w:rPr>
        <w:t>Système d'évaluation et avis :</w:t>
      </w:r>
      <w:r>
        <w:t xml:space="preserve"> Possibilité d'évaluer les cours et de laisser des retours d'expérience utilisateurs.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D48F18"/>
          <w:sz w:val="28"/>
        </w:rPr>
        <w:t>2.4 Tableaux de Bord, Administration &amp; Certificats</w:t>
      </w:r>
    </w:p>
    <w:p>
      <w:pPr>
        <w:pStyle w:val="ListBullet"/>
        <w:spacing w:after="80" w:line="276" w:lineRule="auto"/>
      </w:pPr>
      <w:r>
        <w:rPr>
          <w:b/>
          <w:color w:val="141414"/>
        </w:rPr>
        <w:t>Tableau de bord Administrateur :</w:t>
      </w:r>
      <w:r>
        <w:t xml:space="preserve"> Supervision complète des utilisateurs, gestion des candidatures d'instructeurs, approbation des cours et suivi analytique par pays.</w:t>
      </w:r>
    </w:p>
    <w:p>
      <w:pPr>
        <w:pStyle w:val="ListBullet"/>
        <w:spacing w:after="80" w:line="276" w:lineRule="auto"/>
      </w:pPr>
      <w:r>
        <w:rPr>
          <w:b/>
          <w:color w:val="141414"/>
        </w:rPr>
        <w:t>Tableau de bord Instructeur :</w:t>
      </w:r>
      <w:r>
        <w:t xml:space="preserve"> Interface de création et d'édition de cours, suivi des devoirs et évaluation des apprenants.</w:t>
      </w:r>
    </w:p>
    <w:p>
      <w:pPr>
        <w:pStyle w:val="ListBullet"/>
        <w:spacing w:after="80" w:line="276" w:lineRule="auto"/>
      </w:pPr>
      <w:r>
        <w:rPr>
          <w:b/>
          <w:color w:val="141414"/>
        </w:rPr>
        <w:t>Attestations &amp; Certificats de réussite :</w:t>
      </w:r>
      <w:r>
        <w:t xml:space="preserve"> Module de demande et de délivrance d'attestations certifiées avec validation préalable de l'administration.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5830"/>
          <w:sz w:val="36"/>
        </w:rPr>
        <w:t>3. Synthèse des Domiciliations &amp; Derniers Correctifs Validés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058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Élément</w:t>
            </w:r>
          </w:p>
        </w:tc>
        <w:tc>
          <w:tcPr>
            <w:tcW w:type="dxa" w:w="4896"/>
            <w:shd w:fill="1058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Description de la modification</w:t>
            </w:r>
          </w:p>
        </w:tc>
        <w:tc>
          <w:tcPr>
            <w:tcW w:type="dxa" w:w="1440"/>
            <w:shd w:fill="1058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Statut</w:t>
            </w:r>
          </w:p>
        </w:tc>
      </w:tr>
      <w:tr>
        <w:tc>
          <w:tcPr>
            <w:tcW w:type="dxa" w:w="2880"/>
            <w:shd w:fill="F9FA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Champs Organisation</w:t>
            </w:r>
          </w:p>
        </w:tc>
        <w:tc>
          <w:tcPr>
            <w:tcW w:type="dxa" w:w="4896"/>
            <w:shd w:fill="F9FA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Passage des champs 'Organisation / Syndicat' et 'Email de l'organisation' en optionnel (suppression du caractère obligatoire).</w:t>
            </w:r>
          </w:p>
        </w:tc>
        <w:tc>
          <w:tcPr>
            <w:tcW w:type="dxa" w:w="1440"/>
            <w:shd w:fill="F9FA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05830"/>
              </w:rPr>
              <w:t>OK - Corrigé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Icône Œil (Mot de passe)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Activation de la bascule réactive d'affichage/masquage du mot de passe sur tous les formulaires de connexion et d'inscription.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05830"/>
              </w:rPr>
              <w:t>OK - Corrigé</w:t>
            </w:r>
          </w:p>
        </w:tc>
      </w:tr>
      <w:tr>
        <w:tc>
          <w:tcPr>
            <w:tcW w:type="dxa" w:w="2880"/>
            <w:shd w:fill="F9FA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Traduction Footer &amp; Liens</w:t>
            </w:r>
          </w:p>
        </w:tc>
        <w:tc>
          <w:tcPr>
            <w:tcW w:type="dxa" w:w="4896"/>
            <w:shd w:fill="F9FA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Correction et vérification globale des clés de traduction pour 'Comment utiliser le centre' en FR, EN et PT.</w:t>
            </w:r>
          </w:p>
        </w:tc>
        <w:tc>
          <w:tcPr>
            <w:tcW w:type="dxa" w:w="1440"/>
            <w:shd w:fill="F9FA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05830"/>
              </w:rPr>
              <w:t>OK - Corrigé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5830"/>
          <w:sz w:val="36"/>
        </w:rPr>
        <w:t>4. État du Déploiement &amp; Assurance Qualité</w:t>
      </w:r>
    </w:p>
    <w:p>
      <w:pPr>
        <w:spacing w:line="276" w:lineRule="auto" w:after="120"/>
      </w:pPr>
      <w:r>
        <w:rPr>
          <w:color w:val="323232"/>
        </w:rPr>
        <w:t>Toutes les fonctionnalités ont été soumises au processus complet d'assurance qualité et de validation technique :</w:t>
      </w:r>
    </w:p>
    <w:p>
      <w:pPr>
        <w:pStyle w:val="ListBullet"/>
        <w:spacing w:after="80" w:line="276" w:lineRule="auto"/>
      </w:pPr>
      <w:r>
        <w:rPr>
          <w:b/>
          <w:color w:val="105830"/>
        </w:rPr>
        <w:t>Compilation de production (Nitro SSG/Prerender) :</w:t>
      </w:r>
      <w:r>
        <w:t xml:space="preserve"> Exécution réussie de `npm run build` avec 419 routes pré-rendues statiquement sans la moindre erreur.</w:t>
      </w:r>
    </w:p>
    <w:p>
      <w:pPr>
        <w:pStyle w:val="ListBullet"/>
        <w:spacing w:after="80" w:line="276" w:lineRule="auto"/>
      </w:pPr>
      <w:r>
        <w:rPr>
          <w:b/>
          <w:color w:val="105830"/>
        </w:rPr>
        <w:t>Dépôts de code (Version control) :</w:t>
      </w:r>
      <w:r>
        <w:t xml:space="preserve"> Les modifications sont validées et synchronisées sur la branche `andre` des dépôts GitHub 'origin' et 'repo-neostart'.</w:t>
      </w:r>
    </w:p>
    <w:p>
      <w:pPr>
        <w:pStyle w:val="ListBullet"/>
        <w:spacing w:after="80" w:line="276" w:lineRule="auto"/>
      </w:pPr>
      <w:r>
        <w:rPr>
          <w:b/>
          <w:color w:val="105830"/>
        </w:rPr>
        <w:t>Compatibilité navigateurs &amp; Mobiles :</w:t>
      </w:r>
      <w:r>
        <w:t xml:space="preserve"> Interface responsive testée et conforme sur desktop, tablette et smartphone.</w:t>
      </w:r>
    </w:p>
    <w:p>
      <w:pPr>
        <w:spacing w:after="300"/>
      </w:pPr>
    </w:p>
    <w:p>
      <w:pPr>
        <w:keepNext/>
        <w:spacing w:before="300"/>
      </w:pPr>
      <w:r>
        <w:rPr>
          <w:b/>
          <w:color w:val="105830"/>
        </w:rPr>
        <w:t>Équipe Technique ALREI - Octobre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232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