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ANDRÉ LIMA ALAMBERT</w:t>
      </w:r>
    </w:p>
    <w:p>
      <w:r>
        <w:rPr>
          <w:b/>
        </w:rPr>
        <w:t>Estudo da performance do algoritmo genético na resolução do Fluxo de Potência Ótimo multiobjetivo com inserção de renováveis.</w:t>
      </w:r>
    </w:p>
    <w:p>
      <w:r>
        <w:t>Relatório Parcial 1 da disciplina de Projeto de Formatura II, apresentado à Escola Politécnica da Universidade de São Paulo</w:t>
      </w:r>
    </w:p>
    <w:p>
      <w:r>
        <w:t>Área de Concentração: Sistemas de Potência</w:t>
      </w:r>
    </w:p>
    <w:p>
      <w:r>
        <w:t>Orientador: Prof. Dr. Silvio Giuseppe</w:t>
      </w:r>
    </w:p>
    <w:p>
      <w:r>
        <w:t>São Paulo — 2026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RESUMO</w:t>
      </w:r>
    </w:p>
    <w:p>
      <w:r>
        <w:t xml:space="preserve">Este relatório parcial documenta a primeira etapa do Projeto de Formatura II, cujo objetivo central é analisar a performance do Algoritmo Genético (AG) na resolução do Fluxo de Potência Ótimo (FPO) multiobjetivo com inserção de geração renovável. Nesta etapa, foi implementado e validado o pipeline computacional que integra o AG ao simulador OpenDSS, utilizado como motor de cálculo do fluxo de potência, aplicado ao circuito de referência </w:t>
      </w:r>
      <w:r>
        <w:rPr>
          <w:b/>
        </w:rPr>
        <w:t>IEEE 30-Bus</w:t>
      </w:r>
      <w:r>
        <w:t xml:space="preserve"> com despacho ativo de cinco geradores como variáveis de controle. A implementação adota uma formulação mono-objetivo simplificada — combinando perdas ativas e penalização de desvios de tensão em uma única métrica escalar — com o propósito explícito de validar o pipeline de ponta a ponta antes de avançar para a formulação multiobjetivo. Em seguida, foi realizada uma calibração sistemática dos hiperparâmetros do AG por meio de busca em grade com análise de fronteira de Pareto entre qualidade de solução e tempo computacional. Os resultados confirmam a viabilidade técnica do pipeline e identificam a configuração de hiperparâmetros mais adequada para as próximas etapas.</w:t>
      </w:r>
    </w:p>
    <w:p>
      <w:r>
        <w:rPr>
          <w:b/>
        </w:rPr>
        <w:t>Palavras-Chave:</w:t>
      </w:r>
      <w:r>
        <w:t xml:space="preserve"> Fluxo de Potência Ótimo. Algoritmo Genético. Otimização. OpenDSS. Hiperparâmetros.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1 INTRODUÇÃO</w:t>
      </w:r>
    </w:p>
    <w:p>
      <w:r>
        <w:t>O Projeto de Formatura I estabeleceu a base teórica e metodológica necessária para a resolução do problema do Fluxo de Potência Ótimo (FPO) multiobjetivo com inserção de fontes renováveis por meio do Algoritmo Genético (AG). Ao final do PF1, o ambiente de simulação com OpenDSS havia sido validado por meio de casos de teste IEEE, a modelagem da geração eólica fora desenvolvida e testada, e a arquitetura teórica de integração AG + OpenDSS havia sido definida — mas nenhum código de otimização havia sido implementado.</w:t>
      </w:r>
    </w:p>
    <w:p>
      <w:r>
        <w:t xml:space="preserve">O presente relatório parcial documenta a </w:t>
      </w:r>
      <w:r>
        <w:rPr>
          <w:b/>
        </w:rPr>
        <w:t>primeira etapa prática do PF2</w:t>
      </w:r>
      <w:r>
        <w:t>: a implementação do pipeline computacional AG + OpenDSS e a calibração inicial de seus hiperparâmetros. A formulação utilizada neste estágio é deliberadamente simplificada — mono-objetivo e com poucas variáveis de controle — com o objetivo de validar o fluxo completo de otimização (codificação → avaliação → evolução → resultado) antes de introduzir a complexidade da otimização multiobjetivo, da geração renovável estocástica e de circuitos de maior porte.</w:t>
      </w:r>
    </w:p>
    <w:p>
      <w:r>
        <w:t>O relatório está organizado da seguinte forma: a Seção 2 retoma brevemente os elementos do PF1 relevantes para este estágio; a Seção 3 descreve a implementação do pipeline; a Seção 4 apresenta a metodologia e os resultados da calibração de hiperparâmetros; a Seção 5 analisa os resultados obtidos; a Seção 6 detalha os próximos passos; e a Seção 7 apresenta a conclusão parcial.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2 RETOMADA DO PF1</w:t>
      </w:r>
    </w:p>
    <w:p>
      <w:r>
        <w:t>Os elementos fundamentais estabelecidos no PF1 e diretamente utilizados nesta etapa são:</w:t>
      </w:r>
    </w:p>
    <w:p>
      <w:r>
        <w:rPr>
          <w:b/>
        </w:rPr>
        <w:t>Formulação do FPO adotada.</w:t>
      </w:r>
      <w:r>
        <w:t xml:space="preserve"> O problema é formulado como a minimização de funções objetivo (custo de geração, perdas e desvio de tensão) sujeita a restrições de igualdade (balanço de potência nas barras) e de desigualdade (limites de geração, tensão e fluxo nas linhas). O OpenDSS é responsável pela resolução das equações do fluxo de potência a cada avaliação, dispensando a implementação manual das equações BIM.</w:t>
      </w:r>
    </w:p>
    <w:p>
      <w:r>
        <w:rPr>
          <w:b/>
        </w:rPr>
        <w:t>Mapeamento das variáveis para o AG.</w:t>
      </w:r>
      <w:r>
        <w:t xml:space="preserve"> Conforme definido teoricamente no PF1, cada indivíduo da população do AG representa um vetor de variáveis de controle do sistema elétrico. Nesta etapa, foram adotadas cinco variáveis de despacho ativo: as potências injetadas pelos geradores nas barras B2, B5, B8, B11 e B13 (</w:t>
      </w:r>
      <w:r>
        <w:rPr>
          <w:i/>
        </w:rPr>
        <w:t>P_{B2}</w:t>
      </w:r>
      <w:r>
        <w:t xml:space="preserve">, </w:t>
      </w:r>
      <w:r>
        <w:rPr>
          <w:i/>
        </w:rPr>
        <w:t>P_{B5}</w:t>
      </w:r>
      <w:r>
        <w:t xml:space="preserve">, </w:t>
      </w:r>
      <w:r>
        <w:rPr>
          <w:i/>
        </w:rPr>
        <w:t>P_{B8}</w:t>
      </w:r>
      <w:r>
        <w:t xml:space="preserve">, </w:t>
      </w:r>
      <w:r>
        <w:rPr>
          <w:i/>
        </w:rPr>
        <w:t>P_{B11}</w:t>
      </w:r>
      <w:r>
        <w:t xml:space="preserve">, </w:t>
      </w:r>
      <w:r>
        <w:rPr>
          <w:i/>
        </w:rPr>
        <w:t>P_{B13}</w:t>
      </w:r>
      <w:r>
        <w:t>), em kW. Os setpoints de tensão são mantidos fixos nos valores nominais.</w:t>
      </w:r>
    </w:p>
    <w:p>
      <w:r>
        <w:rPr>
          <w:b/>
        </w:rPr>
        <w:t>Motor de simulação.</w:t>
      </w:r>
      <w:r>
        <w:t xml:space="preserve"> O OpenDSS, controlado via a biblioteca Python </w:t>
      </w:r>
      <w:r>
        <w:rPr>
          <w:rFonts w:ascii="Courier New" w:hAnsi="Courier New"/>
          <w:color w:val="373737"/>
          <w:sz w:val="18"/>
        </w:rPr>
        <w:t>py-dss-interface</w:t>
      </w:r>
      <w:r>
        <w:t>, atua como motor de cálculo do fluxo de potência: recebe os parâmetros do circuito, resolve as equações e retorna tensões, fluxos e perdas para a função de fitness.</w:t>
      </w:r>
    </w:p>
    <w:p>
      <w:r>
        <w:rPr>
          <w:b/>
        </w:rPr>
        <w:t>Circuito de referência.</w:t>
      </w:r>
      <w:r>
        <w:t xml:space="preserve"> O circuito </w:t>
      </w:r>
      <w:r>
        <w:rPr>
          <w:b/>
        </w:rPr>
        <w:t>IEEE 30-Bus</w:t>
      </w:r>
      <w:r>
        <w:t>, benchmark consolidado na literatura de FPO, foi adotado como caso de teste. O circuito possui 30 barras, 34 linhas, 7 transformadores e 21 cargas (~324 MW de carga total). Cinco geradores distribuídos nas barras B2, B5, B8, B11 e B13 são controlados pelo AG; o slack na barra B1 (132 kV) permanece fixo em 1,06 pu.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3 IMPLEMENTAÇÃO DO PIPELINE AG + OPENDSS</w:t>
      </w:r>
    </w:p>
    <w:p>
      <w:pPr>
        <w:pStyle w:val="Heading3"/>
      </w:pPr>
      <w:r>
        <w:t>3.1 Arquitetura Geral</w:t>
      </w:r>
    </w:p>
    <w:p>
      <w:r>
        <w:t>O pipeline implementado integra o AG, a interface Python do OpenDSS e uma camada de logging conforme a seguinte sequência de execução:</w:t>
      </w:r>
    </w:p>
    <w:p>
      <w:pPr>
        <w:spacing w:before="40" w:after="40"/>
      </w:pPr>
      <w:r>
        <w:rPr>
          <w:rFonts w:ascii="Courier New" w:hAnsi="Courier New"/>
          <w:color w:val="373737"/>
          <w:sz w:val="18"/>
        </w:rPr>
        <w:t>Inicialização</w:t>
        <w:br/>
      </w:r>
      <w:r>
        <w:rPr>
          <w:rFonts w:ascii="Courier New" w:hAnsi="Courier New"/>
          <w:color w:val="373737"/>
          <w:sz w:val="18"/>
        </w:rPr>
        <w:t xml:space="preserve">  ├── Compilar circuito no OpenDSS</w:t>
        <w:br/>
      </w:r>
      <w:r>
        <w:rPr>
          <w:rFonts w:ascii="Courier New" w:hAnsi="Courier New"/>
          <w:color w:val="373737"/>
          <w:sz w:val="18"/>
        </w:rPr>
        <w:t xml:space="preserve">  └── Inicializar população do AG</w:t>
        <w:br/>
      </w:r>
      <w:r>
        <w:rPr>
          <w:rFonts w:ascii="Courier New" w:hAnsi="Courier New"/>
          <w:color w:val="373737"/>
          <w:sz w:val="18"/>
        </w:rPr>
        <w:br/>
      </w:r>
      <w:r>
        <w:rPr>
          <w:rFonts w:ascii="Courier New" w:hAnsi="Courier New"/>
          <w:color w:val="373737"/>
          <w:sz w:val="18"/>
        </w:rPr>
        <w:t>Para cada geração:</w:t>
        <w:br/>
      </w:r>
      <w:r>
        <w:rPr>
          <w:rFonts w:ascii="Courier New" w:hAnsi="Courier New"/>
          <w:color w:val="373737"/>
          <w:sz w:val="18"/>
        </w:rPr>
        <w:t xml:space="preserve">  └── Para cada candidato (P_B2, P_B5, P_B8, P_B11, P_B13):</w:t>
        <w:br/>
      </w:r>
      <w:r>
        <w:rPr>
          <w:rFonts w:ascii="Courier New" w:hAnsi="Courier New"/>
          <w:color w:val="373737"/>
          <w:sz w:val="18"/>
        </w:rPr>
        <w:t xml:space="preserve">        ├── Aplicar potências ao circuito via comandos Edit</w:t>
        <w:br/>
      </w:r>
      <w:r>
        <w:rPr>
          <w:rFonts w:ascii="Courier New" w:hAnsi="Courier New"/>
          <w:color w:val="373737"/>
          <w:sz w:val="18"/>
        </w:rPr>
        <w:t xml:space="preserve">        ├── Resolver fluxo de potência (OpenDSS)</w:t>
        <w:br/>
      </w:r>
      <w:r>
        <w:rPr>
          <w:rFonts w:ascii="Courier New" w:hAnsi="Courier New"/>
          <w:color w:val="373737"/>
          <w:sz w:val="18"/>
        </w:rPr>
        <w:t xml:space="preserve">        ├── Extrair métricas: perdas [kW], tensões [pu]</w:t>
        <w:br/>
      </w:r>
      <w:r>
        <w:rPr>
          <w:rFonts w:ascii="Courier New" w:hAnsi="Courier New"/>
          <w:color w:val="373737"/>
          <w:sz w:val="18"/>
        </w:rPr>
        <w:t xml:space="preserve">        └── Calcular fitness escalar</w:t>
        <w:br/>
      </w:r>
      <w:r>
        <w:rPr>
          <w:rFonts w:ascii="Courier New" w:hAnsi="Courier New"/>
          <w:color w:val="373737"/>
          <w:sz w:val="18"/>
        </w:rPr>
        <w:t xml:space="preserve">  └── Operadores genéticos: seleção → crossover → mutação</w:t>
        <w:br/>
      </w:r>
      <w:r>
        <w:rPr>
          <w:rFonts w:ascii="Courier New" w:hAnsi="Courier New"/>
          <w:color w:val="373737"/>
          <w:sz w:val="18"/>
        </w:rPr>
        <w:t xml:space="preserve">  └── Registrar geração: melhor fitness, solução, métricas</w:t>
        <w:br/>
      </w:r>
      <w:r>
        <w:rPr>
          <w:rFonts w:ascii="Courier New" w:hAnsi="Courier New"/>
          <w:color w:val="373737"/>
          <w:sz w:val="18"/>
        </w:rPr>
        <w:br/>
      </w:r>
      <w:r>
        <w:rPr>
          <w:rFonts w:ascii="Courier New" w:hAnsi="Courier New"/>
          <w:color w:val="373737"/>
          <w:sz w:val="18"/>
        </w:rPr>
        <w:t>Saída</w:t>
        <w:br/>
      </w:r>
      <w:r>
        <w:rPr>
          <w:rFonts w:ascii="Courier New" w:hAnsi="Courier New"/>
          <w:color w:val="373737"/>
          <w:sz w:val="18"/>
        </w:rPr>
        <w:t xml:space="preserve">  ├── CSV por geração</w:t>
        <w:br/>
      </w:r>
      <w:r>
        <w:rPr>
          <w:rFonts w:ascii="Courier New" w:hAnsi="Courier New"/>
          <w:color w:val="373737"/>
          <w:sz w:val="18"/>
        </w:rPr>
        <w:t xml:space="preserve">  └── Gráficos: convergência e perfil de tensão</w:t>
      </w:r>
    </w:p>
    <w:p>
      <w:r>
        <w:t xml:space="preserve">A instância do OpenDSS é criada uma única vez e compartilhada entre todas as avaliações da mesma execução do AG, evitando o custo de recompilação do circuito a cada chamada. A aplicação dos parâmetros se dá por comandos </w:t>
      </w:r>
      <w:r>
        <w:rPr>
          <w:rFonts w:ascii="Courier New" w:hAnsi="Courier New"/>
          <w:color w:val="373737"/>
          <w:sz w:val="18"/>
        </w:rPr>
        <w:t>Edit</w:t>
      </w:r>
      <w:r>
        <w:t xml:space="preserve"> enviados ao OpenDSS em tempo real:</w:t>
      </w:r>
    </w:p>
    <w:p>
      <w:pPr>
        <w:spacing w:before="40" w:after="40"/>
      </w:pPr>
      <w:r>
        <w:rPr>
          <w:rFonts w:ascii="Courier New" w:hAnsi="Courier New"/>
          <w:color w:val="373737"/>
          <w:sz w:val="18"/>
        </w:rPr>
        <w:t>Edit Generator.B2  kW={P_B2}</w:t>
        <w:br/>
      </w:r>
      <w:r>
        <w:rPr>
          <w:rFonts w:ascii="Courier New" w:hAnsi="Courier New"/>
          <w:color w:val="373737"/>
          <w:sz w:val="18"/>
        </w:rPr>
        <w:t>Edit Generator.B5  kW={P_B5}</w:t>
        <w:br/>
      </w:r>
      <w:r>
        <w:rPr>
          <w:rFonts w:ascii="Courier New" w:hAnsi="Courier New"/>
          <w:color w:val="373737"/>
          <w:sz w:val="18"/>
        </w:rPr>
        <w:t>Edit Generator.B8  kW={P_B8}</w:t>
        <w:br/>
      </w:r>
      <w:r>
        <w:rPr>
          <w:rFonts w:ascii="Courier New" w:hAnsi="Courier New"/>
          <w:color w:val="373737"/>
          <w:sz w:val="18"/>
        </w:rPr>
        <w:t>Edit Generator.B11 kW={P_B11}</w:t>
        <w:br/>
      </w:r>
      <w:r>
        <w:rPr>
          <w:rFonts w:ascii="Courier New" w:hAnsi="Courier New"/>
          <w:color w:val="373737"/>
          <w:sz w:val="18"/>
        </w:rPr>
        <w:t>Edit Generator.B13 kW={P_B13}</w:t>
      </w:r>
    </w:p>
    <w:p>
      <w:r>
        <w:t xml:space="preserve">A biblioteca utilizada para o AG é a </w:t>
      </w:r>
      <w:r>
        <w:rPr>
          <w:b/>
        </w:rPr>
        <w:t>PyGAD</w:t>
      </w:r>
      <w:r>
        <w:t xml:space="preserve">, que fornece os operadores de seleção, crossover e mutação, e expõe um callback </w:t>
      </w:r>
      <w:r>
        <w:rPr>
          <w:rFonts w:ascii="Courier New" w:hAnsi="Courier New"/>
          <w:color w:val="373737"/>
          <w:sz w:val="18"/>
        </w:rPr>
        <w:t>on_generation</w:t>
      </w:r>
      <w:r>
        <w:t xml:space="preserve"> utilizado para o registro dos resultados por geração.</w:t>
      </w:r>
    </w:p>
    <w:p>
      <w:pPr>
        <w:pStyle w:val="Heading3"/>
      </w:pPr>
      <w:r>
        <w:t>3.2 Codificação das Variáveis de Controle</w:t>
      </w:r>
    </w:p>
    <w:p>
      <w:r>
        <w:t>O cromossomo de cada indivíduo é um vetor real de cinco genes, um por gerador: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Gene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Domínio</w:t>
            </w:r>
          </w:p>
        </w:tc>
      </w:tr>
      <w:tr>
        <w:tc>
          <w:tcPr>
            <w:tcW w:type="dxa" w:w="2880"/>
          </w:tcPr>
          <w:p>
            <w:r>
              <w:rPr>
                <w:i/>
              </w:rPr>
              <w:t>g_1</w:t>
            </w:r>
          </w:p>
        </w:tc>
        <w:tc>
          <w:tcPr>
            <w:tcW w:type="dxa" w:w="2880"/>
          </w:tcPr>
          <w:p>
            <w:r>
              <w:rPr>
                <w:i/>
              </w:rPr>
              <w:t>P_{B2}</w:t>
            </w:r>
            <w:r>
              <w:t xml:space="preserve"> — potência ativa do gerador na barra B2</w:t>
            </w:r>
          </w:p>
        </w:tc>
        <w:tc>
          <w:tcPr>
            <w:tcW w:type="dxa" w:w="2880"/>
          </w:tcPr>
          <w:p>
            <w:r>
              <w:rPr>
                <w:i/>
              </w:rPr>
              <w:t>[0,\ 80{.}000]</w:t>
            </w:r>
            <w:r>
              <w:t xml:space="preserve"> kW</w:t>
            </w:r>
          </w:p>
        </w:tc>
      </w:tr>
      <w:tr>
        <w:tc>
          <w:tcPr>
            <w:tcW w:type="dxa" w:w="2880"/>
          </w:tcPr>
          <w:p>
            <w:r>
              <w:rPr>
                <w:i/>
              </w:rPr>
              <w:t>g_2</w:t>
            </w:r>
          </w:p>
        </w:tc>
        <w:tc>
          <w:tcPr>
            <w:tcW w:type="dxa" w:w="2880"/>
          </w:tcPr>
          <w:p>
            <w:r>
              <w:rPr>
                <w:i/>
              </w:rPr>
              <w:t>P_{B5}</w:t>
            </w:r>
            <w:r>
              <w:t xml:space="preserve"> — potência ativa do gerador na barra B5</w:t>
            </w:r>
          </w:p>
        </w:tc>
        <w:tc>
          <w:tcPr>
            <w:tcW w:type="dxa" w:w="2880"/>
          </w:tcPr>
          <w:p>
            <w:r>
              <w:rPr>
                <w:i/>
              </w:rPr>
              <w:t>[0,\ 50{.}000]</w:t>
            </w:r>
            <w:r>
              <w:t xml:space="preserve"> kW</w:t>
            </w:r>
          </w:p>
        </w:tc>
      </w:tr>
      <w:tr>
        <w:tc>
          <w:tcPr>
            <w:tcW w:type="dxa" w:w="2880"/>
          </w:tcPr>
          <w:p>
            <w:r>
              <w:rPr>
                <w:i/>
              </w:rPr>
              <w:t>g_3</w:t>
            </w:r>
          </w:p>
        </w:tc>
        <w:tc>
          <w:tcPr>
            <w:tcW w:type="dxa" w:w="2880"/>
          </w:tcPr>
          <w:p>
            <w:r>
              <w:rPr>
                <w:i/>
              </w:rPr>
              <w:t>P_{B8}</w:t>
            </w:r>
            <w:r>
              <w:t xml:space="preserve"> — potência ativa do gerador na barra B8</w:t>
            </w:r>
          </w:p>
        </w:tc>
        <w:tc>
          <w:tcPr>
            <w:tcW w:type="dxa" w:w="2880"/>
          </w:tcPr>
          <w:p>
            <w:r>
              <w:rPr>
                <w:i/>
              </w:rPr>
              <w:t>[0,\ 35{.}000]</w:t>
            </w:r>
            <w:r>
              <w:t xml:space="preserve"> kW</w:t>
            </w:r>
          </w:p>
        </w:tc>
      </w:tr>
      <w:tr>
        <w:tc>
          <w:tcPr>
            <w:tcW w:type="dxa" w:w="2880"/>
          </w:tcPr>
          <w:p>
            <w:r>
              <w:rPr>
                <w:i/>
              </w:rPr>
              <w:t>g_4</w:t>
            </w:r>
          </w:p>
        </w:tc>
        <w:tc>
          <w:tcPr>
            <w:tcW w:type="dxa" w:w="2880"/>
          </w:tcPr>
          <w:p>
            <w:r>
              <w:rPr>
                <w:i/>
              </w:rPr>
              <w:t>P_{B11}</w:t>
            </w:r>
            <w:r>
              <w:t xml:space="preserve"> — potência ativa do gerador na barra B11</w:t>
            </w:r>
          </w:p>
        </w:tc>
        <w:tc>
          <w:tcPr>
            <w:tcW w:type="dxa" w:w="2880"/>
          </w:tcPr>
          <w:p>
            <w:r>
              <w:rPr>
                <w:i/>
              </w:rPr>
              <w:t>[0,\ 30{.}000]</w:t>
            </w:r>
            <w:r>
              <w:t xml:space="preserve"> kW</w:t>
            </w:r>
          </w:p>
        </w:tc>
      </w:tr>
      <w:tr>
        <w:tc>
          <w:tcPr>
            <w:tcW w:type="dxa" w:w="2880"/>
          </w:tcPr>
          <w:p>
            <w:r>
              <w:rPr>
                <w:i/>
              </w:rPr>
              <w:t>g_5</w:t>
            </w:r>
          </w:p>
        </w:tc>
        <w:tc>
          <w:tcPr>
            <w:tcW w:type="dxa" w:w="2880"/>
          </w:tcPr>
          <w:p>
            <w:r>
              <w:rPr>
                <w:i/>
              </w:rPr>
              <w:t>P_{B13}</w:t>
            </w:r>
            <w:r>
              <w:t xml:space="preserve"> — potência ativa do gerador na barra B13</w:t>
            </w:r>
          </w:p>
        </w:tc>
        <w:tc>
          <w:tcPr>
            <w:tcW w:type="dxa" w:w="2880"/>
          </w:tcPr>
          <w:p>
            <w:r>
              <w:rPr>
                <w:i/>
              </w:rPr>
              <w:t>[0,\ 40{.}000]</w:t>
            </w:r>
            <w:r>
              <w:t xml:space="preserve"> kW</w:t>
            </w:r>
          </w:p>
        </w:tc>
      </w:tr>
    </w:tbl>
    <w:p/>
    <w:p>
      <w:r>
        <w:t>A codificação em números reais foi mantida, evitando erros de arredondamento em relação à codificação binária. Os limites de cada gene correspondem à capacidade nominal de despacho ativo de cada gerador segundo o benchmark padrão IEEE 30-Bus. Os setpoints de tensão permanecem fixos nos valores nominais (despacho ativo puro, sem controle de tensão nesta etapa).</w:t>
      </w:r>
    </w:p>
    <w:p>
      <w:pPr>
        <w:pStyle w:val="Heading3"/>
      </w:pPr>
      <w:r>
        <w:t>3.3 Função de Fitness</w:t>
      </w:r>
    </w:p>
    <w:p>
      <w:r>
        <w:t xml:space="preserve">O objetivo do FPO nesta etapa é </w:t>
      </w:r>
      <w:r>
        <w:rPr>
          <w:b/>
        </w:rPr>
        <w:t>minimizar as perdas ativas</w:t>
      </w:r>
      <w:r>
        <w:t xml:space="preserve"> do sistema, respeitando limites de tensão nas barras. Como o PyGAD </w:t>
      </w:r>
      <w:r>
        <w:rPr>
          <w:b/>
        </w:rPr>
        <w:t>maximiza</w:t>
      </w:r>
      <w:r>
        <w:t xml:space="preserve"> a função de fitness, adotou-se a inversão da função de custo penalizada:</w:t>
      </w:r>
    </w:p>
    <w:p>
      <w:pPr>
        <w:spacing w:before="80" w:after="80"/>
        <w:jc w:val="center"/>
      </w:pPr>
      <w:r>
        <w:rPr>
          <w:i/>
        </w:rPr>
        <w:br/>
        <w:t>onde $C(x)$ é o custo total dado por:</w:t>
        <w:br/>
      </w:r>
    </w:p>
    <w:p>
      <w:r>
        <w:t>com os seguintes 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V_{\min}</w:t>
            </w:r>
          </w:p>
        </w:tc>
        <w:tc>
          <w:tcPr>
            <w:tcW w:type="dxa" w:w="4320"/>
          </w:tcPr>
          <w:p>
            <w:r>
              <w:t>0,95 pu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V_{\max}</w:t>
            </w:r>
          </w:p>
        </w:tc>
        <w:tc>
          <w:tcPr>
            <w:tcW w:type="dxa" w:w="4320"/>
          </w:tcPr>
          <w:p>
            <w:r>
              <w:t>1,10 pu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w_v</w:t>
            </w:r>
            <w:r>
              <w:t xml:space="preserve"> (peso da penalização de tensão)</w:t>
            </w:r>
          </w:p>
        </w:tc>
        <w:tc>
          <w:tcPr>
            <w:tcW w:type="dxa" w:w="4320"/>
          </w:tcPr>
          <w:p>
            <w:r>
              <w:t>10.000</w:t>
            </w:r>
          </w:p>
        </w:tc>
      </w:tr>
      <w:tr>
        <w:tc>
          <w:tcPr>
            <w:tcW w:type="dxa" w:w="4320"/>
          </w:tcPr>
          <w:p>
            <w:r>
              <w:t>Penalização por não convergência</w:t>
            </w:r>
          </w:p>
        </w:tc>
        <w:tc>
          <w:tcPr>
            <w:tcW w:type="dxa" w:w="4320"/>
          </w:tcPr>
          <w:p>
            <w:r>
              <w:rPr>
                <w:i/>
              </w:rPr>
              <w:t>C(x) = 10^6</w:t>
            </w:r>
          </w:p>
        </w:tc>
      </w:tr>
    </w:tbl>
    <w:p/>
    <w:p>
      <w:r>
        <w:t xml:space="preserve">O peso </w:t>
      </w:r>
      <w:r>
        <w:rPr>
          <w:i/>
        </w:rPr>
        <w:t>w_v = 10.000</w:t>
      </w:r>
      <w:r>
        <w:t xml:space="preserve"> foi escolhido para garantir que uma violação de tensão de 0,01 pu em uma única barra adicione 1 kW equivalente ao custo, tornando as restrições de tensão fortemente desencorajadas sem eliminar a busca em regiões próximas aos limites. Quando o fluxo de potência não converge, aplica-se diretamente </w:t>
      </w:r>
      <w:r>
        <w:rPr>
          <w:i/>
        </w:rPr>
        <w:t>C(x) = 10^6</w:t>
      </w:r>
      <w:r>
        <w:t>, assegurando que soluções inviáveis recebam fitness mínimo.</w:t>
      </w:r>
    </w:p>
    <w:p>
      <w:r>
        <w:t xml:space="preserve">Esta formulação escalar é uma </w:t>
      </w:r>
      <w:r>
        <w:rPr>
          <w:b/>
        </w:rPr>
        <w:t>prova de conceito</w:t>
      </w:r>
      <w:r>
        <w:t>: consolida a arquitetura do pipeline, mas não representa a formulação multiobjetivo prevista para as etapas seguintes do PF2.</w:t>
      </w:r>
    </w:p>
    <w:p>
      <w:pPr>
        <w:pStyle w:val="Heading3"/>
      </w:pPr>
      <w:r>
        <w:t>3.4 Interface AG ↔ OpenDSS</w:t>
      </w:r>
    </w:p>
    <w:p>
      <w:r>
        <w:t xml:space="preserve">A avaliação de cada candidato envolve três passos executados sequencialmente pela função </w:t>
      </w:r>
      <w:r>
        <w:rPr>
          <w:rFonts w:ascii="Courier New" w:hAnsi="Courier New"/>
          <w:color w:val="373737"/>
          <w:sz w:val="18"/>
        </w:rPr>
        <w:t>evaluate_solution</w:t>
      </w:r>
      <w:r>
        <w:t>:</w:t>
      </w:r>
    </w:p>
    <w:p>
      <w:pPr>
        <w:pStyle w:val="ListNumber"/>
      </w:pPr>
      <w:r>
        <w:rPr>
          <w:b/>
        </w:rPr>
        <w:t>Decodificação:</w:t>
      </w:r>
      <w:r>
        <w:t xml:space="preserve"> o vetor de cinco genes </w:t>
      </w:r>
      <w:r>
        <w:rPr>
          <w:i/>
        </w:rPr>
        <w:t>[g_1, \ldots, g_5]</w:t>
      </w:r>
      <w:r>
        <w:t xml:space="preserve"> é mapeado diretamente para </w:t>
      </w:r>
      <w:r>
        <w:rPr>
          <w:i/>
        </w:rPr>
        <w:t>\{P_{B2}, P_{B5}, P_{B8}, P_{B11}, P_{B13}\}</w:t>
      </w:r>
      <w:r>
        <w:t xml:space="preserve"> (genes reais, sem decodificação binária).</w:t>
      </w:r>
    </w:p>
    <w:p>
      <w:pPr>
        <w:pStyle w:val="ListNumber"/>
      </w:pPr>
      <w:r>
        <w:rPr>
          <w:b/>
        </w:rPr>
        <w:t>Aplicação:</w:t>
      </w:r>
      <w:r>
        <w:t xml:space="preserve"> os cinco valores são enviados ao OpenDSS por comandos </w:t>
      </w:r>
      <w:r>
        <w:rPr>
          <w:rFonts w:ascii="Courier New" w:hAnsi="Courier New"/>
          <w:color w:val="373737"/>
          <w:sz w:val="18"/>
        </w:rPr>
        <w:t>Edit Generator.{Bx} kW={P_{Bx}}</w:t>
      </w:r>
      <w:r>
        <w:t>, um por gerador.</w:t>
      </w:r>
    </w:p>
    <w:p>
      <w:pPr>
        <w:pStyle w:val="ListNumber"/>
      </w:pPr>
      <w:r>
        <w:rPr>
          <w:b/>
        </w:rPr>
        <w:t>Resolução e extração:</w:t>
      </w:r>
      <w:r>
        <w:t xml:space="preserve"> </w:t>
      </w:r>
      <w:r>
        <w:rPr>
          <w:rFonts w:ascii="Courier New" w:hAnsi="Courier New"/>
          <w:color w:val="373737"/>
          <w:sz w:val="18"/>
        </w:rPr>
        <w:t>dss.solution.solve()</w:t>
      </w:r>
      <w:r>
        <w:t xml:space="preserve"> é chamado; em seguida são extraídos perdas totais (</w:t>
      </w:r>
      <w:r>
        <w:rPr>
          <w:rFonts w:ascii="Courier New" w:hAnsi="Courier New"/>
          <w:color w:val="373737"/>
          <w:sz w:val="18"/>
        </w:rPr>
        <w:t>dss.circuit.losses</w:t>
      </w:r>
      <w:r>
        <w:t>) e tensões em todas as barras (</w:t>
      </w:r>
      <w:r>
        <w:rPr>
          <w:rFonts w:ascii="Courier New" w:hAnsi="Courier New"/>
          <w:color w:val="373737"/>
          <w:sz w:val="18"/>
        </w:rPr>
        <w:t>dss.circuit.buses_vmag_pu</w:t>
      </w:r>
      <w:r>
        <w:t>).</w:t>
      </w:r>
    </w:p>
    <w:p>
      <w:r>
        <w:t xml:space="preserve">Um cache </w:t>
      </w:r>
      <w:r>
        <w:rPr>
          <w:rFonts w:ascii="Courier New" w:hAnsi="Courier New"/>
          <w:color w:val="373737"/>
          <w:sz w:val="18"/>
        </w:rPr>
        <w:t>_eval_cache</w:t>
      </w:r>
      <w:r>
        <w:t xml:space="preserve"> armazena as métricas de cada candidato avaliado na geração corrente, permitindo que o callback </w:t>
      </w:r>
      <w:r>
        <w:rPr>
          <w:rFonts w:ascii="Courier New" w:hAnsi="Courier New"/>
          <w:color w:val="373737"/>
          <w:sz w:val="18"/>
        </w:rPr>
        <w:t>on_generation</w:t>
      </w:r>
      <w:r>
        <w:t xml:space="preserve"> acesse as métricas do melhor indivíduo sem reavaliação.</w:t>
      </w:r>
    </w:p>
    <w:p>
      <w:pPr>
        <w:pStyle w:val="Heading3"/>
      </w:pPr>
      <w:r>
        <w:t>3.5 Logging e Visualização</w:t>
      </w:r>
    </w:p>
    <w:p>
      <w:r>
        <w:t>A cada geração, os seguintes dados são registrados em CSV: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373737"/>
                <w:sz w:val="18"/>
              </w:rPr>
              <w:t>generation</w:t>
            </w:r>
          </w:p>
        </w:tc>
        <w:tc>
          <w:tcPr>
            <w:tcW w:type="dxa" w:w="4320"/>
          </w:tcPr>
          <w:p>
            <w:r>
              <w:t>Número da geração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373737"/>
                <w:sz w:val="18"/>
              </w:rPr>
              <w:t>best_fitness</w:t>
            </w:r>
          </w:p>
        </w:tc>
        <w:tc>
          <w:tcPr>
            <w:tcW w:type="dxa" w:w="4320"/>
          </w:tcPr>
          <w:p>
            <w:r>
              <w:t>Maior fitness da geração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373737"/>
                <w:sz w:val="18"/>
              </w:rPr>
              <w:t>P_B2</w:t>
            </w:r>
            <w:r>
              <w:t xml:space="preserve">, </w:t>
            </w:r>
            <w:r>
              <w:rPr>
                <w:rFonts w:ascii="Courier New" w:hAnsi="Courier New"/>
                <w:color w:val="373737"/>
                <w:sz w:val="18"/>
              </w:rPr>
              <w:t>P_B5</w:t>
            </w:r>
            <w:r>
              <w:t xml:space="preserve">, </w:t>
            </w:r>
            <w:r>
              <w:rPr>
                <w:rFonts w:ascii="Courier New" w:hAnsi="Courier New"/>
                <w:color w:val="373737"/>
                <w:sz w:val="18"/>
              </w:rPr>
              <w:t>P_B8</w:t>
            </w:r>
            <w:r>
              <w:t xml:space="preserve">, </w:t>
            </w:r>
            <w:r>
              <w:rPr>
                <w:rFonts w:ascii="Courier New" w:hAnsi="Courier New"/>
                <w:color w:val="373737"/>
                <w:sz w:val="18"/>
              </w:rPr>
              <w:t>P_B11</w:t>
            </w:r>
            <w:r>
              <w:t xml:space="preserve">, </w:t>
            </w:r>
            <w:r>
              <w:rPr>
                <w:rFonts w:ascii="Courier New" w:hAnsi="Courier New"/>
                <w:color w:val="373737"/>
                <w:sz w:val="18"/>
              </w:rPr>
              <w:t>P_B13</w:t>
            </w:r>
          </w:p>
        </w:tc>
        <w:tc>
          <w:tcPr>
            <w:tcW w:type="dxa" w:w="4320"/>
          </w:tcPr>
          <w:p>
            <w:r>
              <w:t>Potências ativas dos geradores na melhor solução (kW)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373737"/>
                <w:sz w:val="18"/>
              </w:rPr>
              <w:t>losses_kw</w:t>
            </w:r>
          </w:p>
        </w:tc>
        <w:tc>
          <w:tcPr>
            <w:tcW w:type="dxa" w:w="4320"/>
          </w:tcPr>
          <w:p>
            <w:r>
              <w:t>Perdas ativas totais (kW)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373737"/>
                <w:sz w:val="18"/>
              </w:rPr>
              <w:t>v_min</w:t>
            </w:r>
            <w:r>
              <w:t xml:space="preserve"> / </w:t>
            </w:r>
            <w:r>
              <w:rPr>
                <w:rFonts w:ascii="Courier New" w:hAnsi="Courier New"/>
                <w:color w:val="373737"/>
                <w:sz w:val="18"/>
              </w:rPr>
              <w:t>v_max</w:t>
            </w:r>
          </w:p>
        </w:tc>
        <w:tc>
          <w:tcPr>
            <w:tcW w:type="dxa" w:w="4320"/>
          </w:tcPr>
          <w:p>
            <w:r>
              <w:t>Tensão mínima e máxima entre as barras (pu)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color w:val="373737"/>
                <w:sz w:val="18"/>
              </w:rPr>
              <w:t>converged</w:t>
            </w:r>
          </w:p>
        </w:tc>
        <w:tc>
          <w:tcPr>
            <w:tcW w:type="dxa" w:w="4320"/>
          </w:tcPr>
          <w:p>
            <w:r>
              <w:t>Indicador de convergência do fluxo de potência</w:t>
            </w:r>
          </w:p>
        </w:tc>
      </w:tr>
    </w:tbl>
    <w:p/>
    <w:p>
      <w:r>
        <w:t>Ao término de cada execução, são gerados automaticamente: (i) gráfico de convergência do fitness ao longo das gerações e (ii) gráfico do perfil de tensão nas barras para a melhor solução encontrada.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4 CALIBRAÇÃO DOS HIPERPARÂMETROS DO AG</w:t>
      </w:r>
    </w:p>
    <w:p>
      <w:pPr>
        <w:pStyle w:val="Heading3"/>
      </w:pPr>
      <w:r>
        <w:t>4.1 Metodologia</w:t>
      </w:r>
    </w:p>
    <w:p>
      <w:r>
        <w:t xml:space="preserve">A calibração foi conduzida por meio de uma </w:t>
      </w:r>
      <w:r>
        <w:rPr>
          <w:b/>
        </w:rPr>
        <w:t>busca em grade fatorial completa</w:t>
      </w:r>
      <w:r>
        <w:t xml:space="preserve"> sobre os seguintes hiperparâmetros: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Hiperparâmetro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Valores testados</w:t>
            </w:r>
          </w:p>
        </w:tc>
      </w:tr>
      <w:tr>
        <w:tc>
          <w:tcPr>
            <w:tcW w:type="dxa" w:w="4320"/>
          </w:tcPr>
          <w:p>
            <w:r>
              <w:t>Tamanho da população (</w:t>
            </w:r>
            <w:r>
              <w:rPr>
                <w:rFonts w:ascii="Courier New" w:hAnsi="Courier New"/>
                <w:color w:val="373737"/>
                <w:sz w:val="18"/>
              </w:rPr>
              <w:t>pop_size</w:t>
            </w:r>
            <w:r>
              <w:t>)</w:t>
            </w:r>
          </w:p>
        </w:tc>
        <w:tc>
          <w:tcPr>
            <w:tcW w:type="dxa" w:w="4320"/>
          </w:tcPr>
          <w:p>
            <w:r>
              <w:t>10, 20, 40</w:t>
            </w:r>
          </w:p>
        </w:tc>
      </w:tr>
      <w:tr>
        <w:tc>
          <w:tcPr>
            <w:tcW w:type="dxa" w:w="4320"/>
          </w:tcPr>
          <w:p>
            <w:r>
              <w:t>Número de gerações (</w:t>
            </w:r>
            <w:r>
              <w:rPr>
                <w:rFonts w:ascii="Courier New" w:hAnsi="Courier New"/>
                <w:color w:val="373737"/>
                <w:sz w:val="18"/>
              </w:rPr>
              <w:t>num_gen</w:t>
            </w:r>
            <w:r>
              <w:t>)</w:t>
            </w:r>
          </w:p>
        </w:tc>
        <w:tc>
          <w:tcPr>
            <w:tcW w:type="dxa" w:w="4320"/>
          </w:tcPr>
          <w:p>
            <w:r>
              <w:t>10, 20</w:t>
            </w:r>
          </w:p>
        </w:tc>
      </w:tr>
      <w:tr>
        <w:tc>
          <w:tcPr>
            <w:tcW w:type="dxa" w:w="4320"/>
          </w:tcPr>
          <w:p>
            <w:r>
              <w:t>Taxa de mutação (</w:t>
            </w:r>
            <w:r>
              <w:rPr>
                <w:rFonts w:ascii="Courier New" w:hAnsi="Courier New"/>
                <w:color w:val="373737"/>
                <w:sz w:val="18"/>
              </w:rPr>
              <w:t>mutation_pct</w:t>
            </w:r>
            <w:r>
              <w:t>)</w:t>
            </w:r>
          </w:p>
        </w:tc>
        <w:tc>
          <w:tcPr>
            <w:tcW w:type="dxa" w:w="4320"/>
          </w:tcPr>
          <w:p>
            <w:r>
              <w:t>20%, 50%</w:t>
            </w:r>
          </w:p>
        </w:tc>
      </w:tr>
    </w:tbl>
    <w:p/>
    <w:p>
      <w:r>
        <w:t xml:space="preserve">A combinação de 3 × 2 × 2 = </w:t>
      </w:r>
      <w:r>
        <w:rPr>
          <w:b/>
        </w:rPr>
        <w:t>12 configurações</w:t>
      </w:r>
      <w:r>
        <w:t xml:space="preserve"> foi executada com </w:t>
      </w:r>
      <w:r>
        <w:rPr>
          <w:b/>
        </w:rPr>
        <w:t>3 sementes aleatórias fixas</w:t>
      </w:r>
      <w:r>
        <w:t xml:space="preserve"> (42, 7 e 99), totalizando </w:t>
      </w:r>
      <w:r>
        <w:rPr>
          <w:b/>
        </w:rPr>
        <w:t>36 execuções independentes</w:t>
      </w:r>
      <w:r>
        <w:t>. O uso de sementes fixas garante reprodutibilidade e permite avaliar a variância do AG frente à aleatoriedade intrínseca dos operadores de inicialização e genéticos.</w:t>
      </w:r>
    </w:p>
    <w:p>
      <w:r>
        <w:t>Para cada execução foram registrados: fitness final (</w:t>
      </w:r>
      <w:r>
        <w:rPr>
          <w:rFonts w:ascii="Courier New" w:hAnsi="Courier New"/>
          <w:color w:val="373737"/>
          <w:sz w:val="18"/>
        </w:rPr>
        <w:t>best_fitness</w:t>
      </w:r>
      <w:r>
        <w:t>), tempo de execução (</w:t>
      </w:r>
      <w:r>
        <w:rPr>
          <w:rFonts w:ascii="Courier New" w:hAnsi="Courier New"/>
          <w:color w:val="373737"/>
          <w:sz w:val="18"/>
        </w:rPr>
        <w:t>elapsed_sec</w:t>
      </w:r>
      <w:r>
        <w:t xml:space="preserve">) e </w:t>
      </w:r>
      <w:r>
        <w:rPr>
          <w:b/>
        </w:rPr>
        <w:t>geração de convergência</w:t>
      </w:r>
      <w:r>
        <w:t xml:space="preserve"> — definida como a primeira geração em que o fitness atingiu pelo menos 98% do fitness final da corrida.</w:t>
      </w:r>
    </w:p>
    <w:p>
      <w:r>
        <w:t>Os resultados das 36 execuções foram agregados por configuração (mediana e desvio padrão do fitness entre seeds, mediana da geração de convergência e do tempo de execução), produzindo 12 linhas comparáveis.</w:t>
      </w:r>
    </w:p>
    <w:p>
      <w:pPr>
        <w:pStyle w:val="Heading3"/>
      </w:pPr>
      <w:r>
        <w:t>4.2 Resultados Agregados</w:t>
      </w:r>
    </w:p>
    <w:p>
      <w:r>
        <w:t>A Tabela 1 apresenta as 12 configurações testadas (3 seeds cada, 36 corridas no total) ordenadas por fitness mediano decrescente.</w:t>
      </w:r>
    </w:p>
    <w:p>
      <w:r>
        <w:rPr>
          <w:b/>
        </w:rPr>
        <w:t>Tabela 1 — Resultados agregados da busca em grade — IEEE 30-Bus (ordenado por fitness mediano)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Courier New" w:hAnsi="Courier New"/>
                <w:b/>
                <w:color w:val="373737"/>
                <w:sz w:val="18"/>
              </w:rPr>
              <w:t>pop</w:t>
            </w:r>
          </w:p>
        </w:tc>
        <w:tc>
          <w:tcPr>
            <w:tcW w:type="dxa" w:w="1234"/>
          </w:tcPr>
          <w:p>
            <w:r>
              <w:rPr>
                <w:rFonts w:ascii="Courier New" w:hAnsi="Courier New"/>
                <w:b/>
                <w:color w:val="373737"/>
                <w:sz w:val="18"/>
              </w:rPr>
              <w:t>gen</w:t>
            </w:r>
          </w:p>
        </w:tc>
        <w:tc>
          <w:tcPr>
            <w:tcW w:type="dxa" w:w="1234"/>
          </w:tcPr>
          <w:p>
            <w:r>
              <w:rPr>
                <w:rFonts w:ascii="Courier New" w:hAnsi="Courier New"/>
                <w:b/>
                <w:color w:val="373737"/>
                <w:sz w:val="18"/>
              </w:rPr>
              <w:t>mut</w:t>
            </w:r>
            <w:r>
              <w:rPr>
                <w:b/>
              </w:rPr>
              <w:t xml:space="preserve"> (%)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Fitness mediano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Desvio padrão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Conv. (geração)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Tempo (s)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2,619 × 10⁻⁴</w:t>
            </w:r>
          </w:p>
        </w:tc>
        <w:tc>
          <w:tcPr>
            <w:tcW w:type="dxa" w:w="1234"/>
          </w:tcPr>
          <w:p>
            <w:r>
              <w:t>4,67 × 10⁻⁶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1,227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2,616 × 10⁻⁴</w:t>
            </w:r>
          </w:p>
        </w:tc>
        <w:tc>
          <w:tcPr>
            <w:tcW w:type="dxa" w:w="1234"/>
          </w:tcPr>
          <w:p>
            <w:r>
              <w:t>5,49 × 10⁻⁶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0,575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2,538 × 10⁻⁴</w:t>
            </w:r>
          </w:p>
        </w:tc>
        <w:tc>
          <w:tcPr>
            <w:tcW w:type="dxa" w:w="1234"/>
          </w:tcPr>
          <w:p>
            <w:r>
              <w:t>8,31 × 10⁻⁶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0,375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2,476 × 10⁻⁴</w:t>
            </w:r>
          </w:p>
        </w:tc>
        <w:tc>
          <w:tcPr>
            <w:tcW w:type="dxa" w:w="1234"/>
          </w:tcPr>
          <w:p>
            <w:r>
              <w:t>8,32 × 10⁻⁶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0,614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2,458 × 10⁻⁴</w:t>
            </w:r>
          </w:p>
        </w:tc>
        <w:tc>
          <w:tcPr>
            <w:tcW w:type="dxa" w:w="1234"/>
          </w:tcPr>
          <w:p>
            <w:r>
              <w:t>1,85 × 10⁻⁵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0,577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2,453 × 10⁻⁴</w:t>
            </w:r>
          </w:p>
        </w:tc>
        <w:tc>
          <w:tcPr>
            <w:tcW w:type="dxa" w:w="1234"/>
          </w:tcPr>
          <w:p>
            <w:r>
              <w:t>4,70 × 10⁻⁶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1,219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2,450 × 10⁻⁴</w:t>
            </w:r>
          </w:p>
        </w:tc>
        <w:tc>
          <w:tcPr>
            <w:tcW w:type="dxa" w:w="1234"/>
          </w:tcPr>
          <w:p>
            <w:r>
              <w:t>1,01 × 10⁻⁵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0,276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2,436 × 10⁻⁴</w:t>
            </w:r>
          </w:p>
        </w:tc>
        <w:tc>
          <w:tcPr>
            <w:tcW w:type="dxa" w:w="1234"/>
          </w:tcPr>
          <w:p>
            <w:r>
              <w:t>6,98 × 10⁻⁶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0,336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2,410 × 10⁻⁴</w:t>
            </w:r>
          </w:p>
        </w:tc>
        <w:tc>
          <w:tcPr>
            <w:tcW w:type="dxa" w:w="1234"/>
          </w:tcPr>
          <w:p>
            <w:r>
              <w:t>1,33 × 10⁻⁵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0,632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2,410 × 10⁻⁴</w:t>
            </w:r>
          </w:p>
        </w:tc>
        <w:tc>
          <w:tcPr>
            <w:tcW w:type="dxa" w:w="1234"/>
          </w:tcPr>
          <w:p>
            <w:r>
              <w:t>6,81 × 10⁻⁶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0,328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2,337 × 10⁻⁴</w:t>
            </w:r>
          </w:p>
        </w:tc>
        <w:tc>
          <w:tcPr>
            <w:tcW w:type="dxa" w:w="1234"/>
          </w:tcPr>
          <w:p>
            <w:r>
              <w:t>1,70 × 10⁻⁵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0,152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2,275 × 10⁻⁴</w:t>
            </w:r>
          </w:p>
        </w:tc>
        <w:tc>
          <w:tcPr>
            <w:tcW w:type="dxa" w:w="1234"/>
          </w:tcPr>
          <w:p>
            <w:r>
              <w:t>2,09 × 10⁻⁵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0,173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2,619 × 10⁻⁴</w:t>
            </w:r>
          </w:p>
        </w:tc>
        <w:tc>
          <w:tcPr>
            <w:tcW w:type="dxa" w:w="1234"/>
          </w:tcPr>
          <w:p>
            <w:r>
              <w:t>4,67 × 10⁻⁶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1,227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2,616 × 10⁻⁴</w:t>
            </w:r>
          </w:p>
        </w:tc>
        <w:tc>
          <w:tcPr>
            <w:tcW w:type="dxa" w:w="1234"/>
          </w:tcPr>
          <w:p>
            <w:r>
              <w:t>5,49 × 10⁻⁶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0,575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2,538 × 10⁻⁴</w:t>
            </w:r>
          </w:p>
        </w:tc>
        <w:tc>
          <w:tcPr>
            <w:tcW w:type="dxa" w:w="1234"/>
          </w:tcPr>
          <w:p>
            <w:r>
              <w:t>8,31 × 10⁻⁶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0,375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2,476 × 10⁻⁴</w:t>
            </w:r>
          </w:p>
        </w:tc>
        <w:tc>
          <w:tcPr>
            <w:tcW w:type="dxa" w:w="1234"/>
          </w:tcPr>
          <w:p>
            <w:r>
              <w:t>8,32 × 10⁻⁶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0,614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2,458 × 10⁻⁴</w:t>
            </w:r>
          </w:p>
        </w:tc>
        <w:tc>
          <w:tcPr>
            <w:tcW w:type="dxa" w:w="1234"/>
          </w:tcPr>
          <w:p>
            <w:r>
              <w:t>1,85 × 10⁻⁵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0,577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2,453 × 10⁻⁴</w:t>
            </w:r>
          </w:p>
        </w:tc>
        <w:tc>
          <w:tcPr>
            <w:tcW w:type="dxa" w:w="1234"/>
          </w:tcPr>
          <w:p>
            <w:r>
              <w:t>4,70 × 10⁻⁶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1,219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2,450 × 10⁻⁴</w:t>
            </w:r>
          </w:p>
        </w:tc>
        <w:tc>
          <w:tcPr>
            <w:tcW w:type="dxa" w:w="1234"/>
          </w:tcPr>
          <w:p>
            <w:r>
              <w:t>1,01 × 10⁻⁵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0,276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2,436 × 10⁻⁴</w:t>
            </w:r>
          </w:p>
        </w:tc>
        <w:tc>
          <w:tcPr>
            <w:tcW w:type="dxa" w:w="1234"/>
          </w:tcPr>
          <w:p>
            <w:r>
              <w:t>6,98 × 10⁻⁶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0,336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2,410 × 10⁻⁴</w:t>
            </w:r>
          </w:p>
        </w:tc>
        <w:tc>
          <w:tcPr>
            <w:tcW w:type="dxa" w:w="1234"/>
          </w:tcPr>
          <w:p>
            <w:r>
              <w:t>1,33 × 10⁻⁵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0,632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2,410 × 10⁻⁴</w:t>
            </w:r>
          </w:p>
        </w:tc>
        <w:tc>
          <w:tcPr>
            <w:tcW w:type="dxa" w:w="1234"/>
          </w:tcPr>
          <w:p>
            <w:r>
              <w:t>6,81 × 10⁻⁶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0,328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2,337 × 10⁻⁴</w:t>
            </w:r>
          </w:p>
        </w:tc>
        <w:tc>
          <w:tcPr>
            <w:tcW w:type="dxa" w:w="1234"/>
          </w:tcPr>
          <w:p>
            <w:r>
              <w:t>1,70 × 10⁻⁵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0,152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2,275 × 10⁻⁴</w:t>
            </w:r>
          </w:p>
        </w:tc>
        <w:tc>
          <w:tcPr>
            <w:tcW w:type="dxa" w:w="1234"/>
          </w:tcPr>
          <w:p>
            <w:r>
              <w:t>2,09 × 10⁻⁵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0,173</w:t>
            </w:r>
          </w:p>
        </w:tc>
      </w:tr>
    </w:tbl>
    <w:p/>
    <w:p>
      <w:r>
        <w:rPr>
          <w:b/>
        </w:rPr>
        <w:t>Observações gerais:</w:t>
      </w:r>
    </w:p>
    <w:p>
      <w:pPr>
        <w:pStyle w:val="ListBullet"/>
      </w:pPr>
      <w:r>
        <w:t xml:space="preserve">Ordenando por fitness mediano, as configurações com </w:t>
      </w:r>
      <w:r>
        <w:rPr>
          <w:rFonts w:ascii="Courier New" w:hAnsi="Courier New"/>
          <w:color w:val="373737"/>
          <w:sz w:val="18"/>
        </w:rPr>
        <w:t>mut=20%</w:t>
      </w:r>
      <w:r>
        <w:t xml:space="preserve"> ocupam as três primeiras posições — situação inversa ao caso 4-Bus, onde </w:t>
      </w:r>
      <w:r>
        <w:rPr>
          <w:rFonts w:ascii="Courier New" w:hAnsi="Courier New"/>
          <w:color w:val="373737"/>
          <w:sz w:val="18"/>
        </w:rPr>
        <w:t>mut=50%</w:t>
      </w:r>
      <w:r>
        <w:t xml:space="preserve"> dominava. Com 5 variáveis de decisão, uma taxa de mutação menor favorece a exploração local mais fina.</w:t>
      </w:r>
    </w:p>
    <w:p>
      <w:pPr>
        <w:pStyle w:val="ListBullet"/>
      </w:pPr>
      <w:r>
        <w:t>A variação total de fitness entre a melhor e a pior configuração é de ~13%, mais ampla que os ~6,6% do 4-Bus, indicando que a escolha de hiperparâmetros impõe mais impacto quando o espaço de busca é maior.</w:t>
      </w:r>
    </w:p>
    <w:p>
      <w:pPr>
        <w:pStyle w:val="ListBullet"/>
      </w:pPr>
      <w:r>
        <w:t>O tempo mediano por corrida é 5 a 8× superior ao do 4-Bus (0,152 a 1,227 s vs. 0,031 a 0,233 s), refletindo o custo adicional de simular 30 barras, 34 linhas e 7 transformadores.</w:t>
      </w:r>
    </w:p>
    <w:p>
      <w:pPr>
        <w:pStyle w:val="ListBullet"/>
      </w:pPr>
      <w:r>
        <w:t>Populações maiores (</w:t>
      </w:r>
      <w:r>
        <w:rPr>
          <w:rFonts w:ascii="Courier New" w:hAnsi="Courier New"/>
          <w:color w:val="373737"/>
          <w:sz w:val="18"/>
        </w:rPr>
        <w:t>pop=40</w:t>
      </w:r>
      <w:r>
        <w:t>) continuam apresentando menor desvio padrão entre seeds.</w:t>
      </w:r>
    </w:p>
    <w:p>
      <w:pPr>
        <w:pStyle w:val="Heading3"/>
      </w:pPr>
      <w:r>
        <w:t>4.3 Análise de Fronteira de Pareto: Qualidade × Tempo Computacional</w:t>
      </w:r>
    </w:p>
    <w:p>
      <w:r>
        <w:t xml:space="preserve">Analisar apenas o fitness máximo para escolha de hiperparâmetros ignora o custo computacional da configuração — relevante dado que, nas próximas etapas, o circuito será maior e cada avaliação de fitness exigirá mais tempo de simulação. Para endereçar esse trade-off, foi computada a </w:t>
      </w:r>
      <w:r>
        <w:rPr>
          <w:b/>
        </w:rPr>
        <w:t>fronteira de Pareto</w:t>
      </w:r>
      <w:r>
        <w:t xml:space="preserve"> sobre o espaço bidimensional (tempo, fitness), com os dois objetivos a minimizar sendo:</w:t>
      </w:r>
    </w:p>
    <w:p>
      <w:pPr>
        <w:pStyle w:val="ListBullet"/>
      </w:pPr>
      <w:r>
        <w:rPr>
          <w:i/>
        </w:rPr>
        <w:t>-\text{fitness mediano}</w:t>
      </w:r>
      <w:r>
        <w:t xml:space="preserve"> (maximizar qualidade → minimizar negativo)</w:t>
      </w:r>
    </w:p>
    <w:p>
      <w:pPr>
        <w:pStyle w:val="ListBullet"/>
      </w:pPr>
      <w:r>
        <w:rPr>
          <w:i/>
        </w:rPr>
        <w:t>\text{tempo mediano de execução}</w:t>
      </w:r>
    </w:p>
    <w:p>
      <w:r>
        <w:t xml:space="preserve">Uma configuração é Pareto-ótima se nenhuma outra configuração alcança simultaneamente maior fitness e menor tempo. A análise identificou </w:t>
      </w:r>
      <w:r>
        <w:rPr>
          <w:b/>
        </w:rPr>
        <w:t>cinco</w:t>
      </w:r>
      <w:r>
        <w:t xml:space="preserve"> configurações na fronteira, todas com </w:t>
      </w:r>
      <w:r>
        <w:rPr>
          <w:rFonts w:ascii="Courier New" w:hAnsi="Courier New"/>
          <w:color w:val="373737"/>
          <w:sz w:val="18"/>
        </w:rPr>
        <w:t>mut=20%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Configuração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Fitness mediano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Tempo 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Interpretação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373737"/>
                <w:sz w:val="18"/>
              </w:rPr>
              <w:t>pop=10, gen=10, mut=20%</w:t>
            </w:r>
          </w:p>
        </w:tc>
        <w:tc>
          <w:tcPr>
            <w:tcW w:type="dxa" w:w="2160"/>
          </w:tcPr>
          <w:p>
            <w:r>
              <w:t>2,337 × 10⁻⁴</w:t>
            </w:r>
          </w:p>
        </w:tc>
        <w:tc>
          <w:tcPr>
            <w:tcW w:type="dxa" w:w="2160"/>
          </w:tcPr>
          <w:p>
            <w:r>
              <w:t>0,152</w:t>
            </w:r>
          </w:p>
        </w:tc>
        <w:tc>
          <w:tcPr>
            <w:tcW w:type="dxa" w:w="2160"/>
          </w:tcPr>
          <w:p>
            <w:r>
              <w:t>Melhor custo-benefício em tempo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373737"/>
                <w:sz w:val="18"/>
              </w:rPr>
              <w:t>pop=10, gen=20, mut=20%</w:t>
            </w:r>
          </w:p>
        </w:tc>
        <w:tc>
          <w:tcPr>
            <w:tcW w:type="dxa" w:w="2160"/>
          </w:tcPr>
          <w:p>
            <w:r>
              <w:t>2,450 × 10⁻⁴</w:t>
            </w:r>
          </w:p>
        </w:tc>
        <w:tc>
          <w:tcPr>
            <w:tcW w:type="dxa" w:w="2160"/>
          </w:tcPr>
          <w:p>
            <w:r>
              <w:t>0,276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373737"/>
                <w:sz w:val="18"/>
              </w:rPr>
              <w:t>pop=20, gen=10, mut=20%</w:t>
            </w:r>
          </w:p>
        </w:tc>
        <w:tc>
          <w:tcPr>
            <w:tcW w:type="dxa" w:w="2160"/>
          </w:tcPr>
          <w:p>
            <w:r>
              <w:t>2,538 × 10⁻⁴</w:t>
            </w:r>
          </w:p>
        </w:tc>
        <w:tc>
          <w:tcPr>
            <w:tcW w:type="dxa" w:w="2160"/>
          </w:tcPr>
          <w:p>
            <w:r>
              <w:t>0,375</w:t>
            </w:r>
          </w:p>
        </w:tc>
        <w:tc>
          <w:tcPr>
            <w:tcW w:type="dxa" w:w="2160"/>
          </w:tcPr>
          <w:p>
            <w:r>
              <w:t>Equilíbrio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373737"/>
                <w:sz w:val="18"/>
              </w:rPr>
              <w:t>pop=20, gen=20, mut=20%</w:t>
            </w:r>
          </w:p>
        </w:tc>
        <w:tc>
          <w:tcPr>
            <w:tcW w:type="dxa" w:w="2160"/>
          </w:tcPr>
          <w:p>
            <w:r>
              <w:t>2,616 × 10⁻⁴</w:t>
            </w:r>
          </w:p>
        </w:tc>
        <w:tc>
          <w:tcPr>
            <w:tcW w:type="dxa" w:w="2160"/>
          </w:tcPr>
          <w:p>
            <w:r>
              <w:t>0,575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373737"/>
                <w:sz w:val="18"/>
              </w:rPr>
              <w:t>pop=40, gen=20, mut=20%</w:t>
            </w:r>
          </w:p>
        </w:tc>
        <w:tc>
          <w:tcPr>
            <w:tcW w:type="dxa" w:w="2160"/>
          </w:tcPr>
          <w:p>
            <w:r>
              <w:t>2,619 × 10⁻⁴</w:t>
            </w:r>
          </w:p>
        </w:tc>
        <w:tc>
          <w:tcPr>
            <w:tcW w:type="dxa" w:w="2160"/>
          </w:tcPr>
          <w:p>
            <w:r>
              <w:t>1,227</w:t>
            </w:r>
          </w:p>
        </w:tc>
        <w:tc>
          <w:tcPr>
            <w:tcW w:type="dxa" w:w="2160"/>
          </w:tcPr>
          <w:p>
            <w:r>
              <w:t>Melhor qualidade absoluta</w:t>
            </w:r>
          </w:p>
        </w:tc>
      </w:tr>
    </w:tbl>
    <w:p/>
    <w:p>
      <w:r>
        <w:t xml:space="preserve">As 7 configurações restantes são </w:t>
      </w:r>
      <w:r>
        <w:rPr>
          <w:b/>
        </w:rPr>
        <w:t>dominadas</w:t>
      </w:r>
      <w:r>
        <w:t xml:space="preserve">. Nota-se que todas as configurações Pareto-ótimas utilizam </w:t>
      </w:r>
      <w:r>
        <w:rPr>
          <w:rFonts w:ascii="Courier New" w:hAnsi="Courier New"/>
          <w:color w:val="373737"/>
          <w:sz w:val="18"/>
        </w:rPr>
        <w:t>mut=20%</w:t>
      </w:r>
      <w:r>
        <w:t xml:space="preserve">, confirmando que, para um espaço de 5 variáveis contínuas, uma taxa de mutação moderada equilibra melhor exploração e convergência. Esse resultado contrasta diretamente com o caso 4-Bus, onde todas as Pareto-ótimas usavam </w:t>
      </w:r>
      <w:r>
        <w:rPr>
          <w:rFonts w:ascii="Courier New" w:hAnsi="Courier New"/>
          <w:color w:val="373737"/>
          <w:sz w:val="18"/>
        </w:rPr>
        <w:t>mut=50%</w:t>
      </w:r>
      <w:r>
        <w:t>.</w:t>
      </w:r>
    </w:p>
    <w:p>
      <w:pPr>
        <w:pStyle w:val="Heading3"/>
      </w:pPr>
      <w:r>
        <w:t>4.4 Configuração Selecionada</w:t>
      </w:r>
    </w:p>
    <w:p>
      <w:r>
        <w:t xml:space="preserve">A configuração </w:t>
      </w:r>
      <w:r>
        <w:rPr>
          <w:b/>
        </w:rPr>
        <w:t>`pop=40, gen=20, mut=20%`</w:t>
      </w:r>
      <w:r>
        <w:t xml:space="preserve"> foi selecionada como referência para o pipeline IEEE 30-Bus, pelos seguintes motivos:</w:t>
      </w:r>
    </w:p>
    <w:p>
      <w:pPr>
        <w:pStyle w:val="ListNumber"/>
      </w:pPr>
      <w:r>
        <w:rPr>
          <w:b/>
        </w:rPr>
        <w:t>Maior fitness mediano</w:t>
      </w:r>
      <w:r>
        <w:t xml:space="preserve"> entre todas as 12 configurações (2,619 × 10⁻⁴).</w:t>
      </w:r>
    </w:p>
    <w:p>
      <w:pPr>
        <w:pStyle w:val="ListNumber"/>
      </w:pPr>
      <w:r>
        <w:rPr>
          <w:b/>
        </w:rPr>
        <w:t>Menor desvio padrão</w:t>
      </w:r>
      <w:r>
        <w:t xml:space="preserve"> entre as cinco configurações Pareto-ótimas (4,67 × 10⁻⁶), indicando maior estabilidade entre seeds.</w:t>
      </w:r>
    </w:p>
    <w:p>
      <w:pPr>
        <w:pStyle w:val="ListNumber"/>
      </w:pPr>
      <w:r>
        <w:rPr>
          <w:b/>
        </w:rPr>
        <w:t>Tempo aceitável</w:t>
      </w:r>
      <w:r>
        <w:t xml:space="preserve"> (1,227 s por corrida) para validação e iteração do pipeline.</w:t>
      </w:r>
    </w:p>
    <w:p>
      <w:r>
        <w:t>Observa-se que a taxa de mutação selecionada (20%) é inferior à do caso 4-Bus (50%). Para um espaço de 5 variáveis, uma mutação menor por gene permite exploração local mais fina e convergência mais estável; uma mutação muito alta tende a dispersar a população excessivamente, dificultando a otimização conjunta das cinco dimensões.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5 ANÁLISE DOS RESULTADOS</w:t>
      </w:r>
    </w:p>
    <w:p>
      <w:pPr>
        <w:pStyle w:val="Heading3"/>
      </w:pPr>
      <w:r>
        <w:t>5.1 Melhor Solução Encontrada</w:t>
      </w:r>
    </w:p>
    <w:p>
      <w:r>
        <w:t>Com a configuração selecionada (</w:t>
      </w:r>
      <w:r>
        <w:rPr>
          <w:rFonts w:ascii="Courier New" w:hAnsi="Courier New"/>
          <w:color w:val="373737"/>
          <w:sz w:val="18"/>
        </w:rPr>
        <w:t>pop=40, gen=20, mut=20%</w:t>
      </w:r>
      <w:r>
        <w:t>), a melhor solução encontrada em uma execução representativa apresentou as seguintes características: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P_{B2}</w:t>
            </w:r>
            <w:r>
              <w:t xml:space="preserve"> (potência ativa — barra B2)</w:t>
            </w:r>
          </w:p>
        </w:tc>
        <w:tc>
          <w:tcPr>
            <w:tcW w:type="dxa" w:w="4320"/>
          </w:tcPr>
          <w:p>
            <w:r>
              <w:t>~69.178 kW (~69,2 MW)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P_{B5}</w:t>
            </w:r>
            <w:r>
              <w:t xml:space="preserve"> (potência ativa — barra B5)</w:t>
            </w:r>
          </w:p>
        </w:tc>
        <w:tc>
          <w:tcPr>
            <w:tcW w:type="dxa" w:w="4320"/>
          </w:tcPr>
          <w:p>
            <w:r>
              <w:t>~48.787 kW (~48,8 MW)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P_{B8}</w:t>
            </w:r>
            <w:r>
              <w:t xml:space="preserve"> (potência ativa — barra B8)</w:t>
            </w:r>
          </w:p>
        </w:tc>
        <w:tc>
          <w:tcPr>
            <w:tcW w:type="dxa" w:w="4320"/>
          </w:tcPr>
          <w:p>
            <w:r>
              <w:t>~34.803 kW (~34,8 MW)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P_{B11}</w:t>
            </w:r>
            <w:r>
              <w:t xml:space="preserve"> (potência ativa — barra B11)</w:t>
            </w:r>
          </w:p>
        </w:tc>
        <w:tc>
          <w:tcPr>
            <w:tcW w:type="dxa" w:w="4320"/>
          </w:tcPr>
          <w:p>
            <w:r>
              <w:t>~29.602 kW (~29,6 MW)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P_{B13}</w:t>
            </w:r>
            <w:r>
              <w:t xml:space="preserve"> (potência ativa — barra B13)</w:t>
            </w:r>
          </w:p>
        </w:tc>
        <w:tc>
          <w:tcPr>
            <w:tcW w:type="dxa" w:w="4320"/>
          </w:tcPr>
          <w:p>
            <w:r>
              <w:t>~34.073 kW (~34,1 MW)</w:t>
            </w:r>
          </w:p>
        </w:tc>
      </w:tr>
      <w:tr>
        <w:tc>
          <w:tcPr>
            <w:tcW w:type="dxa" w:w="4320"/>
          </w:tcPr>
          <w:p>
            <w:r>
              <w:t>Perdas totais</w:t>
            </w:r>
          </w:p>
        </w:tc>
        <w:tc>
          <w:tcPr>
            <w:tcW w:type="dxa" w:w="4320"/>
          </w:tcPr>
          <w:p>
            <w:r>
              <w:t>~3.892 kW (~3,9 MW)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V_{\min}</w:t>
            </w:r>
            <w:r>
              <w:t xml:space="preserve"> (tensão mínima)</w:t>
            </w:r>
          </w:p>
        </w:tc>
        <w:tc>
          <w:tcPr>
            <w:tcW w:type="dxa" w:w="4320"/>
          </w:tcPr>
          <w:p>
            <w:r>
              <w:t>~0,993 pu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V_{\max}</w:t>
            </w:r>
            <w:r>
              <w:t xml:space="preserve"> (tensão máxima)</w:t>
            </w:r>
          </w:p>
        </w:tc>
        <w:tc>
          <w:tcPr>
            <w:tcW w:type="dxa" w:w="4320"/>
          </w:tcPr>
          <w:p>
            <w:r>
              <w:t>~1,082 pu</w:t>
            </w:r>
          </w:p>
        </w:tc>
      </w:tr>
      <w:tr>
        <w:tc>
          <w:tcPr>
            <w:tcW w:type="dxa" w:w="4320"/>
          </w:tcPr>
          <w:p>
            <w:r>
              <w:t>Convergência do FP</w:t>
            </w:r>
          </w:p>
        </w:tc>
        <w:tc>
          <w:tcPr>
            <w:tcW w:type="dxa" w:w="4320"/>
          </w:tcPr>
          <w:p>
            <w:r>
              <w:t>Sim</w:t>
            </w:r>
          </w:p>
        </w:tc>
      </w:tr>
      <w:tr>
        <w:tc>
          <w:tcPr>
            <w:tcW w:type="dxa" w:w="4320"/>
          </w:tcPr>
          <w:p>
            <w:r>
              <w:t>Geração de convergência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t xml:space="preserve">O AG convergiu na </w:t>
      </w:r>
      <w:r>
        <w:rPr>
          <w:b/>
        </w:rPr>
        <w:t>geração 10</w:t>
      </w:r>
      <w:r>
        <w:t>, com melhorias progressivas até esse ponto e estabilidade completa nas gerações seguintes — comportamento coerente com o esperado para um espaço de busca de 5 variáveis, que exige mais iterações do que o caso de 2 variáveis do 4-Bus.</w:t>
      </w:r>
    </w:p>
    <w:p>
      <w:pPr>
        <w:pStyle w:val="Heading3"/>
      </w:pPr>
      <w:r>
        <w:t>5.2 Perfil de Tensão e Estratégia de Despacho</w:t>
      </w:r>
    </w:p>
    <w:p>
      <w:r>
        <w:rPr>
          <w:b/>
        </w:rPr>
        <w:t>Perfil de tensão:</w:t>
      </w:r>
      <w:r>
        <w:t xml:space="preserve"> Diferentemente do caso 4-Bus, onde </w:t>
      </w:r>
      <w:r>
        <w:rPr>
          <w:i/>
        </w:rPr>
        <w:t>V_{\min} \approx 0{,}840</w:t>
      </w:r>
      <w:r>
        <w:t xml:space="preserve"> pu violava significativamente os limites operacionais, a melhor solução do IEEE 30-Bus apresentou </w:t>
      </w:r>
      <w:r>
        <w:rPr>
          <w:b/>
        </w:rPr>
        <w:t>todas as tensões dentro da faixa [0,95; 1,10] pu</w:t>
      </w:r>
      <w:r>
        <w:t xml:space="preserve"> (</w:t>
      </w:r>
      <w:r>
        <w:rPr>
          <w:i/>
        </w:rPr>
        <w:t>V_{\min} = 0{,}993</w:t>
      </w:r>
      <w:r>
        <w:t xml:space="preserve"> pu; </w:t>
      </w:r>
      <w:r>
        <w:rPr>
          <w:i/>
        </w:rPr>
        <w:t>V_{\max} = 1{,}082</w:t>
      </w:r>
      <w:r>
        <w:t xml:space="preserve"> pu). O circuito dispõe de capacidade reativa suficiente em seus cinco geradores para sustentar o perfil de tensão mesmo sob carga plena.</w:t>
      </w:r>
    </w:p>
    <w:p>
      <w:r>
        <w:rPr>
          <w:b/>
        </w:rPr>
        <w:t>Estratégia emergente de despacho:</w:t>
      </w:r>
      <w:r>
        <w:t xml:space="preserve"> A análise dos valores ótimos revela que o AG empurrou as potências dos geradores próximas aos seus limites superiores: B5 a 97,6%, B8 a 99,4% e B11 a 98,7% dos respectivos máximos. Esse comportamento é fisicamente coerente: na formulação adotada, sem função de custo de geração, a única pressão do fitness é minimizar perdas na rede — e a injeção de potência ativa próxima às cargas reduz o fluxo nas linhas e, consequentemente, as perdas ôhmicas </w:t>
      </w:r>
      <w:r>
        <w:rPr>
          <w:i/>
        </w:rPr>
        <w:t>I^2R</w:t>
      </w:r>
      <w:r>
        <w:t>. O AG encontrou, portanto, a estratégia de máxima injeção distribuída como ótimo mono-objetivo da formulação atual.</w:t>
      </w:r>
    </w:p>
    <w:p>
      <w:r>
        <w:rPr>
          <w:b/>
        </w:rPr>
        <w:t>Implicação para a próxima etapa:</w:t>
      </w:r>
      <w:r>
        <w:t xml:space="preserve"> Este resultado evidencia a necessidade de incluir uma </w:t>
      </w:r>
      <w:r>
        <w:rPr>
          <w:b/>
        </w:rPr>
        <w:t>função de custo de geração</w:t>
      </w:r>
      <w:r>
        <w:t xml:space="preserve"> na formulação. No despacho econômico clássico, cada gerador possui uma curva de custo própria, e o ótimo é o ponto que equilibra custo marginal de geração com a redução de perdas de transmissão — não o ponto de máxima injeção. A formulação multiobjetivo planejada separará explicitamente os objetivos de custo e perdas, revelando o trade-off real entre geração econômica e minimização de perdas.</w:t>
      </w:r>
    </w:p>
    <w:p>
      <w:pPr>
        <w:pStyle w:val="Heading3"/>
      </w:pPr>
      <w:r>
        <w:t>5.3 Validação do Pipeline</w:t>
      </w:r>
    </w:p>
    <w:p>
      <w:r>
        <w:t xml:space="preserve">O pipeline cumpriu seu objetivo de </w:t>
      </w:r>
      <w:r>
        <w:rPr>
          <w:b/>
        </w:rPr>
        <w:t>validação em circuito de referência realístico</w:t>
      </w:r>
      <w:r>
        <w:t>:</w:t>
      </w:r>
    </w:p>
    <w:p>
      <w:pPr>
        <w:pStyle w:val="ListBullet"/>
      </w:pPr>
      <w:r>
        <w:t>O AG foi executado com sucesso em 36 corridas independentes sem erros de integração com o OpenDSS.</w:t>
      </w:r>
    </w:p>
    <w:p>
      <w:pPr>
        <w:pStyle w:val="ListBullet"/>
      </w:pPr>
      <w:r>
        <w:t>A generalização para N geradores foi validada: 5 variáveis de controle, genes independentes por gerador.</w:t>
      </w:r>
    </w:p>
    <w:p>
      <w:pPr>
        <w:pStyle w:val="ListBullet"/>
      </w:pPr>
      <w:r>
        <w:t>A função de fitness retornou valores coerentes com as métricas elétricas de cada candidato.</w:t>
      </w:r>
    </w:p>
    <w:p>
      <w:pPr>
        <w:pStyle w:val="ListBullet"/>
      </w:pPr>
      <w:r>
        <w:t>O logging automático por geração produziu colunas dinâmicas corretas (</w:t>
      </w:r>
      <w:r>
        <w:rPr>
          <w:i/>
        </w:rPr>
        <w:t>P_{B2}</w:t>
      </w:r>
      <w:r>
        <w:t>…</w:t>
      </w:r>
      <w:r>
        <w:rPr>
          <w:i/>
        </w:rPr>
        <w:t>P_{B13}</w:t>
      </w:r>
      <w:r>
        <w:t>) para todas as 36 corridas.</w:t>
      </w:r>
    </w:p>
    <w:p>
      <w:pPr>
        <w:pStyle w:val="ListBullet"/>
      </w:pPr>
      <w:r>
        <w:t>A análise de hiperparâmetros produziu resultados reproduzíveis entre seeds para as melhores configurações.</w:t>
      </w:r>
    </w:p>
    <w:p>
      <w:r>
        <w:t>O pipeline está tecnicamente pronto para receber a função de custo de geração, a formulação multiobjetivo e circuitos de maior porte na continuação do trabalho.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6 PRÓXIMOS PASSOS</w:t>
      </w:r>
    </w:p>
    <w:p>
      <w:r>
        <w:t>Os próximos relatórios parciais do PF2 serão orientados pelas seguintes etapas, em sequência:</w:t>
      </w:r>
    </w:p>
    <w:p>
      <w:r>
        <w:rPr>
          <w:b/>
        </w:rPr>
        <w:t>Etapa 1 — Função de custo de geração.</w:t>
      </w:r>
    </w:p>
    <w:p>
      <w:r>
        <w:t>Os resultados do IEEE 30-Bus mostram que, sem custo de geração, o AG converge para injeção máxima em todos os geradores. A próxima etapa incorpora curvas de custo quadráticas por gerador (</w:t>
      </w:r>
      <w:r>
        <w:rPr>
          <w:i/>
        </w:rPr>
        <w:t>C_i(P_i) = a_i P_i^2 + b_i P_i + c_i</w:t>
      </w:r>
      <w:r>
        <w:t>), transformando o problema em um despacho econômico real com trade-off entre custo de geração e perdas de transmissão.</w:t>
      </w:r>
    </w:p>
    <w:p>
      <w:r>
        <w:rPr>
          <w:b/>
        </w:rPr>
        <w:t>Etapa 2 — Formulação multiobjetivo (NSGA-II).</w:t>
      </w:r>
    </w:p>
    <w:p>
      <w:r>
        <w:t xml:space="preserve">Substituir a função de fitness escalar por dois objetivos separados: </w:t>
      </w:r>
      <w:r>
        <w:rPr>
          <w:i/>
        </w:rPr>
        <w:t>f_1 =</w:t>
      </w:r>
      <w:r>
        <w:t xml:space="preserve"> custo total de geração e </w:t>
      </w:r>
      <w:r>
        <w:rPr>
          <w:i/>
        </w:rPr>
        <w:t>f_2 =</w:t>
      </w:r>
      <w:r>
        <w:t xml:space="preserve"> perdas ativas na rede (ou desvio de tensão). Utilizar </w:t>
      </w:r>
      <w:r>
        <w:rPr>
          <w:b/>
        </w:rPr>
        <w:t>NSGA-II</w:t>
      </w:r>
      <w:r>
        <w:t xml:space="preserve"> (</w:t>
      </w:r>
      <w:r>
        <w:rPr>
          <w:rFonts w:ascii="Courier New" w:hAnsi="Courier New"/>
          <w:color w:val="373737"/>
          <w:sz w:val="18"/>
        </w:rPr>
        <w:t>pymoo</w:t>
      </w:r>
      <w:r>
        <w:t>) para obter a fronteira de Pareto de soluções não dominadas, revelando explicitamente o trade-off entre operação econômica e eficiência elétrica.</w:t>
      </w:r>
    </w:p>
    <w:p>
      <w:r>
        <w:rPr>
          <w:b/>
        </w:rPr>
        <w:t>Etapa 3 — Integração de geração renovável.</w:t>
      </w:r>
    </w:p>
    <w:p>
      <w:r>
        <w:t xml:space="preserve">Conectar perfis de geração intermitente ao circuito via </w:t>
      </w:r>
      <w:r>
        <w:rPr>
          <w:rFonts w:ascii="Courier New" w:hAnsi="Courier New"/>
          <w:color w:val="373737"/>
          <w:sz w:val="18"/>
        </w:rPr>
        <w:t>LoadShape</w:t>
      </w:r>
      <w:r>
        <w:t xml:space="preserve"> no OpenDSS, conforme modelado no PF1 (distribuição de Weibull → curva de potência → vetor de multiplicadores horários). O FPO será avaliado em múltiplos instantes do dia, introduzindo variabilidade na função objetivo.</w:t>
      </w:r>
    </w:p>
    <w:p>
      <w:r>
        <w:rPr>
          <w:b/>
        </w:rPr>
        <w:t>Etapa 4 — Escalabilidade e avaliação de performance.</w:t>
      </w:r>
    </w:p>
    <w:p>
      <w:r>
        <w:t xml:space="preserve">Migrar para o </w:t>
      </w:r>
      <w:r>
        <w:rPr>
          <w:b/>
        </w:rPr>
        <w:t>IEEE 123-Bus</w:t>
      </w:r>
      <w:r>
        <w:t xml:space="preserve"> (já disponível em </w:t>
      </w:r>
      <w:r>
        <w:rPr>
          <w:rFonts w:ascii="Courier New" w:hAnsi="Courier New"/>
          <w:color w:val="373737"/>
          <w:sz w:val="18"/>
        </w:rPr>
        <w:t>data/IEEETestCases/</w:t>
      </w:r>
      <w:r>
        <w:t>), ampliando o número de variáveis de controle. Ao final, definir métricas formais de performance: hipervolume da fronteira de Pareto, diversidade de soluções, taxa de convergência e comparação com referências da literatura.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7 CONCLUSÃO PARCIAL</w:t>
      </w:r>
    </w:p>
    <w:p>
      <w:r>
        <w:t>Este relatório apresentou a implementação e validação da prova de conceito do pipeline AG + OpenDSS como primeira entrega do Projeto de Formatura II. O pipeline foi construído com base no planejamento teórico do PF1 e demonstra a viabilidade técnica da integração entre o Algoritmo Genético e o simulador OpenDSS como motor de cálculo do fluxo de potência.</w:t>
      </w:r>
    </w:p>
    <w:p>
      <w:r>
        <w:t xml:space="preserve">A calibração sistemática de hiperparâmetros, conduzida por busca em grade com análise de fronteira de Pareto qualidade × tempo, identificou a configuração </w:t>
      </w:r>
      <w:r>
        <w:rPr>
          <w:rFonts w:ascii="Courier New" w:hAnsi="Courier New"/>
          <w:color w:val="373737"/>
          <w:sz w:val="18"/>
        </w:rPr>
        <w:t>pop=40, gen=20, mut=20%</w:t>
      </w:r>
      <w:r>
        <w:t xml:space="preserve"> como referência para o circuito IEEE 30-Bus. Diferentemente do caso inicial com 2 variáveis, o pipeline generalizado para 5 geradores apresentou perfil de tensão inteiramente dentro dos limites operacionais (</w:t>
      </w:r>
      <w:r>
        <w:rPr>
          <w:i/>
        </w:rPr>
        <w:t>V_{\min} = 0{,}993</w:t>
      </w:r>
      <w:r>
        <w:t xml:space="preserve"> pu; </w:t>
      </w:r>
      <w:r>
        <w:rPr>
          <w:i/>
        </w:rPr>
        <w:t>V_{\max} = 1{,}082</w:t>
      </w:r>
      <w:r>
        <w:t xml:space="preserve"> pu), validando tanto a generalização da implementação quanto a capacidade do AG de encontrar soluções viáveis em espaços de busca de maior dimensão. A ausência de violações de tensão, combinada à convergência na geração 10, confirma que o pipeline está pronto para incorporar a função de custo de geração e a formulação multiobjetivo nas próximas etapas.</w:t>
      </w:r>
    </w:p>
    <w:p>
      <w:r>
        <w:t>O Projeto de Formatura II segue, portanto, com infraestrutura computacional validada, resultados experimentais concretos no benchmark IEEE 30-Bus e rumo técnico claramente definido.</w:t>
      </w:r>
    </w:p>
    <w:p>
      <w:pPr>
        <w:spacing w:before="80" w:after="80"/>
        <w:pBdr>
          <w:bottom w:val="single" w:sz="6" w:space="1" w:color="AAAAAA"/>
        </w:pBdr>
      </w:pPr>
    </w:p>
    <w:p>
      <w:r>
        <w:rPr>
          <w:i/>
        </w:rPr>
        <w:t>Relatório Parcial 1 — Abril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