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22C9" w14:textId="58DEA684" w:rsidR="004D17F0" w:rsidRPr="004D17F0" w:rsidRDefault="004D17F0" w:rsidP="004D17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81308B" wp14:editId="66301079">
                <wp:extent cx="5400040" cy="1270"/>
                <wp:effectExtent l="0" t="31750" r="0" b="36830"/>
                <wp:docPr id="1469564525" name="Retângulo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13137" id="Retângulos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2F24CB7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4D1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MATRIZ DEFINITIVA DE CÁLCULOS PARA O SOFTWARE DE GESTÃO EM SAÚDE</w:t>
      </w:r>
    </w:p>
    <w:p w14:paraId="4475DE33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F4D2D6" wp14:editId="374956A0">
                <wp:extent cx="5400040" cy="1270"/>
                <wp:effectExtent l="0" t="31750" r="0" b="36830"/>
                <wp:docPr id="615756489" name="Retângulo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E79E8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8DA1C92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👩‍⚕️</w:t>
      </w:r>
      <w:r w:rsidRPr="004D1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Profissionais de Saúde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4072"/>
        <w:gridCol w:w="1705"/>
      </w:tblGrid>
      <w:tr w:rsidR="004D17F0" w:rsidRPr="004D17F0" w14:paraId="68765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7094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17B7C0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2952CC5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D17F0" w:rsidRPr="004D17F0" w14:paraId="1EDB9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79C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Consultas por profissional</w:t>
            </w:r>
          </w:p>
        </w:tc>
        <w:tc>
          <w:tcPr>
            <w:tcW w:w="0" w:type="auto"/>
            <w:vAlign w:val="center"/>
            <w:hideMark/>
          </w:tcPr>
          <w:p w14:paraId="0314E55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Atendimentos ÷ nº de profissionais</w:t>
            </w:r>
          </w:p>
        </w:tc>
        <w:tc>
          <w:tcPr>
            <w:tcW w:w="0" w:type="auto"/>
            <w:vAlign w:val="center"/>
            <w:hideMark/>
          </w:tcPr>
          <w:p w14:paraId="53AFEB1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</w:t>
            </w:r>
          </w:p>
        </w:tc>
      </w:tr>
      <w:tr w:rsidR="004D17F0" w:rsidRPr="004D17F0" w14:paraId="75E88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EC2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Produtividade por hora</w:t>
            </w:r>
          </w:p>
        </w:tc>
        <w:tc>
          <w:tcPr>
            <w:tcW w:w="0" w:type="auto"/>
            <w:vAlign w:val="center"/>
            <w:hideMark/>
          </w:tcPr>
          <w:p w14:paraId="5F07BF0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Atendimentos ÷ horas trabalhadas</w:t>
            </w:r>
          </w:p>
        </w:tc>
        <w:tc>
          <w:tcPr>
            <w:tcW w:w="0" w:type="auto"/>
            <w:vAlign w:val="center"/>
            <w:hideMark/>
          </w:tcPr>
          <w:p w14:paraId="4739226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UPA, Hospital</w:t>
            </w:r>
          </w:p>
        </w:tc>
      </w:tr>
      <w:tr w:rsidR="004D17F0" w:rsidRPr="004D17F0" w14:paraId="58160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682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Produtividade ajustada</w:t>
            </w:r>
          </w:p>
        </w:tc>
        <w:tc>
          <w:tcPr>
            <w:tcW w:w="0" w:type="auto"/>
            <w:vAlign w:val="center"/>
            <w:hideMark/>
          </w:tcPr>
          <w:p w14:paraId="16AC85C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Atendimentos ÷ horas × fator de complexidade</w:t>
            </w:r>
          </w:p>
        </w:tc>
        <w:tc>
          <w:tcPr>
            <w:tcW w:w="0" w:type="auto"/>
            <w:vAlign w:val="center"/>
            <w:hideMark/>
          </w:tcPr>
          <w:p w14:paraId="7395E24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4CD6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4C3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Absenteísmo profissional</w:t>
            </w:r>
          </w:p>
        </w:tc>
        <w:tc>
          <w:tcPr>
            <w:tcW w:w="0" w:type="auto"/>
            <w:vAlign w:val="center"/>
            <w:hideMark/>
          </w:tcPr>
          <w:p w14:paraId="1E74C95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(Faltas ÷ escalas previstas) × 100</w:t>
            </w:r>
          </w:p>
        </w:tc>
        <w:tc>
          <w:tcPr>
            <w:tcW w:w="0" w:type="auto"/>
            <w:vAlign w:val="center"/>
            <w:hideMark/>
          </w:tcPr>
          <w:p w14:paraId="015C4BD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1FC5E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B8E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Absenteísmo paciente</w:t>
            </w:r>
          </w:p>
        </w:tc>
        <w:tc>
          <w:tcPr>
            <w:tcW w:w="0" w:type="auto"/>
            <w:vAlign w:val="center"/>
            <w:hideMark/>
          </w:tcPr>
          <w:p w14:paraId="7386198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(Faltas ÷ agendamentos) × 100</w:t>
            </w:r>
          </w:p>
        </w:tc>
        <w:tc>
          <w:tcPr>
            <w:tcW w:w="0" w:type="auto"/>
            <w:vAlign w:val="center"/>
            <w:hideMark/>
          </w:tcPr>
          <w:p w14:paraId="7A8D74C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</w:t>
            </w:r>
          </w:p>
        </w:tc>
      </w:tr>
      <w:tr w:rsidR="004D17F0" w:rsidRPr="004D17F0" w14:paraId="0925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87A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por atendimento profissional</w:t>
            </w:r>
          </w:p>
        </w:tc>
        <w:tc>
          <w:tcPr>
            <w:tcW w:w="0" w:type="auto"/>
            <w:vAlign w:val="center"/>
            <w:hideMark/>
          </w:tcPr>
          <w:p w14:paraId="457442C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(Salário + encargos) ÷ atendimentos</w:t>
            </w:r>
          </w:p>
        </w:tc>
        <w:tc>
          <w:tcPr>
            <w:tcW w:w="0" w:type="auto"/>
            <w:vAlign w:val="center"/>
            <w:hideMark/>
          </w:tcPr>
          <w:p w14:paraId="1833753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33771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615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Índice de rotatividade (turnover)</w:t>
            </w:r>
          </w:p>
        </w:tc>
        <w:tc>
          <w:tcPr>
            <w:tcW w:w="0" w:type="auto"/>
            <w:vAlign w:val="center"/>
            <w:hideMark/>
          </w:tcPr>
          <w:p w14:paraId="02ECFAB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(Desligados ÷ total de profissionais no início) × 100</w:t>
            </w:r>
          </w:p>
        </w:tc>
        <w:tc>
          <w:tcPr>
            <w:tcW w:w="0" w:type="auto"/>
            <w:vAlign w:val="center"/>
            <w:hideMark/>
          </w:tcPr>
          <w:p w14:paraId="585AEE5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7E1E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A37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sobrecarga individual</w:t>
            </w:r>
          </w:p>
        </w:tc>
        <w:tc>
          <w:tcPr>
            <w:tcW w:w="0" w:type="auto"/>
            <w:vAlign w:val="center"/>
            <w:hideMark/>
          </w:tcPr>
          <w:p w14:paraId="6B0DCBF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(Atendimentos do profissional ÷ média da equipe) × 100</w:t>
            </w:r>
          </w:p>
        </w:tc>
        <w:tc>
          <w:tcPr>
            <w:tcW w:w="0" w:type="auto"/>
            <w:vAlign w:val="center"/>
            <w:hideMark/>
          </w:tcPr>
          <w:p w14:paraId="0B56058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6EDC41CC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8D0DC5" wp14:editId="255609A6">
                <wp:extent cx="5400040" cy="1270"/>
                <wp:effectExtent l="0" t="31750" r="0" b="36830"/>
                <wp:docPr id="895316025" name="Retângulo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71BA8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2D52B91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4D1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Unidade de Saúde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4256"/>
        <w:gridCol w:w="1710"/>
      </w:tblGrid>
      <w:tr w:rsidR="004D17F0" w:rsidRPr="004D17F0" w14:paraId="104B5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5284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616F40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99C67E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D17F0" w:rsidRPr="004D17F0" w14:paraId="51C3D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481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ocupação de agenda</w:t>
            </w:r>
          </w:p>
        </w:tc>
        <w:tc>
          <w:tcPr>
            <w:tcW w:w="0" w:type="auto"/>
            <w:vAlign w:val="center"/>
            <w:hideMark/>
          </w:tcPr>
          <w:p w14:paraId="4BFE623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(Consultas realizadas ÷ disponíveis) × 100</w:t>
            </w:r>
          </w:p>
        </w:tc>
        <w:tc>
          <w:tcPr>
            <w:tcW w:w="0" w:type="auto"/>
            <w:vAlign w:val="center"/>
            <w:hideMark/>
          </w:tcPr>
          <w:p w14:paraId="790BB8F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</w:t>
            </w:r>
          </w:p>
        </w:tc>
      </w:tr>
      <w:tr w:rsidR="004D17F0" w:rsidRPr="004D17F0" w14:paraId="307AA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E4C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resolutividade</w:t>
            </w:r>
          </w:p>
        </w:tc>
        <w:tc>
          <w:tcPr>
            <w:tcW w:w="0" w:type="auto"/>
            <w:vAlign w:val="center"/>
            <w:hideMark/>
          </w:tcPr>
          <w:p w14:paraId="35510CD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(Casos resolvidos na unidade ÷ total atendimentos) × 100</w:t>
            </w:r>
          </w:p>
        </w:tc>
        <w:tc>
          <w:tcPr>
            <w:tcW w:w="0" w:type="auto"/>
            <w:vAlign w:val="center"/>
            <w:hideMark/>
          </w:tcPr>
          <w:p w14:paraId="0165910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UPA, Hospital</w:t>
            </w:r>
          </w:p>
        </w:tc>
      </w:tr>
      <w:tr w:rsidR="004D17F0" w:rsidRPr="004D17F0" w14:paraId="7408E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243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referência</w:t>
            </w:r>
          </w:p>
        </w:tc>
        <w:tc>
          <w:tcPr>
            <w:tcW w:w="0" w:type="auto"/>
            <w:vAlign w:val="center"/>
            <w:hideMark/>
          </w:tcPr>
          <w:p w14:paraId="5EBCE71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Encaminhamentos ÷ atendimentos</w:t>
            </w:r>
          </w:p>
        </w:tc>
        <w:tc>
          <w:tcPr>
            <w:tcW w:w="0" w:type="auto"/>
            <w:vAlign w:val="center"/>
            <w:hideMark/>
          </w:tcPr>
          <w:p w14:paraId="0FF98FA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  <w:tr w:rsidR="004D17F0" w:rsidRPr="004D17F0" w14:paraId="2F9BC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E99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contrarreferência</w:t>
            </w:r>
          </w:p>
        </w:tc>
        <w:tc>
          <w:tcPr>
            <w:tcW w:w="0" w:type="auto"/>
            <w:vAlign w:val="center"/>
            <w:hideMark/>
          </w:tcPr>
          <w:p w14:paraId="28D8DA4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Retornos ÷ encaminhamentos</w:t>
            </w:r>
          </w:p>
        </w:tc>
        <w:tc>
          <w:tcPr>
            <w:tcW w:w="0" w:type="auto"/>
            <w:vAlign w:val="center"/>
            <w:hideMark/>
          </w:tcPr>
          <w:p w14:paraId="223A3F5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  <w:tr w:rsidR="004D17F0" w:rsidRPr="004D17F0" w14:paraId="39FD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02F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Tempo médio de espera</w:t>
            </w:r>
          </w:p>
        </w:tc>
        <w:tc>
          <w:tcPr>
            <w:tcW w:w="0" w:type="auto"/>
            <w:vAlign w:val="center"/>
            <w:hideMark/>
          </w:tcPr>
          <w:p w14:paraId="653599D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Soma de tempos de espera ÷ nº pacientes</w:t>
            </w:r>
          </w:p>
        </w:tc>
        <w:tc>
          <w:tcPr>
            <w:tcW w:w="0" w:type="auto"/>
            <w:vAlign w:val="center"/>
            <w:hideMark/>
          </w:tcPr>
          <w:p w14:paraId="545AC9D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</w:t>
            </w:r>
          </w:p>
        </w:tc>
      </w:tr>
      <w:tr w:rsidR="004D17F0" w:rsidRPr="004D17F0" w14:paraId="1C7DF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A78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Tempo médio de atendimento</w:t>
            </w:r>
          </w:p>
        </w:tc>
        <w:tc>
          <w:tcPr>
            <w:tcW w:w="0" w:type="auto"/>
            <w:vAlign w:val="center"/>
            <w:hideMark/>
          </w:tcPr>
          <w:p w14:paraId="032A07F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Soma de duração ÷ nº atendimentos</w:t>
            </w:r>
          </w:p>
        </w:tc>
        <w:tc>
          <w:tcPr>
            <w:tcW w:w="0" w:type="auto"/>
            <w:vAlign w:val="center"/>
            <w:hideMark/>
          </w:tcPr>
          <w:p w14:paraId="7E80565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27B6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051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Giro de leito</w:t>
            </w:r>
          </w:p>
        </w:tc>
        <w:tc>
          <w:tcPr>
            <w:tcW w:w="0" w:type="auto"/>
            <w:vAlign w:val="center"/>
            <w:hideMark/>
          </w:tcPr>
          <w:p w14:paraId="0AB9AD7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Internações ÷ nº de leitos</w:t>
            </w:r>
          </w:p>
        </w:tc>
        <w:tc>
          <w:tcPr>
            <w:tcW w:w="0" w:type="auto"/>
            <w:vAlign w:val="center"/>
            <w:hideMark/>
          </w:tcPr>
          <w:p w14:paraId="1040F9A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18D7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BF4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Tempo médio de permanência</w:t>
            </w:r>
          </w:p>
        </w:tc>
        <w:tc>
          <w:tcPr>
            <w:tcW w:w="0" w:type="auto"/>
            <w:vAlign w:val="center"/>
            <w:hideMark/>
          </w:tcPr>
          <w:p w14:paraId="187EE75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Dias de internação ÷ nº pacientes internados</w:t>
            </w:r>
          </w:p>
        </w:tc>
        <w:tc>
          <w:tcPr>
            <w:tcW w:w="0" w:type="auto"/>
            <w:vAlign w:val="center"/>
            <w:hideMark/>
          </w:tcPr>
          <w:p w14:paraId="577E06C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30505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DC2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ocupação de leito</w:t>
            </w:r>
          </w:p>
        </w:tc>
        <w:tc>
          <w:tcPr>
            <w:tcW w:w="0" w:type="auto"/>
            <w:vAlign w:val="center"/>
            <w:hideMark/>
          </w:tcPr>
          <w:p w14:paraId="050CEC5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(Pacientes ÷ leitos disponíveis) × 100</w:t>
            </w:r>
          </w:p>
        </w:tc>
        <w:tc>
          <w:tcPr>
            <w:tcW w:w="0" w:type="auto"/>
            <w:vAlign w:val="center"/>
            <w:hideMark/>
          </w:tcPr>
          <w:p w14:paraId="5BD25D4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052E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458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Tempo de resposta PA</w:t>
            </w:r>
          </w:p>
        </w:tc>
        <w:tc>
          <w:tcPr>
            <w:tcW w:w="0" w:type="auto"/>
            <w:vAlign w:val="center"/>
            <w:hideMark/>
          </w:tcPr>
          <w:p w14:paraId="530340E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Tempo médio chegada → 1º atendimento</w:t>
            </w:r>
          </w:p>
        </w:tc>
        <w:tc>
          <w:tcPr>
            <w:tcW w:w="0" w:type="auto"/>
            <w:vAlign w:val="center"/>
            <w:hideMark/>
          </w:tcPr>
          <w:p w14:paraId="3EDED21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UPA</w:t>
            </w:r>
          </w:p>
        </w:tc>
      </w:tr>
    </w:tbl>
    <w:p w14:paraId="62B8A236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BCD8ED" wp14:editId="17DB0212">
                <wp:extent cx="5400040" cy="1270"/>
                <wp:effectExtent l="0" t="31750" r="0" b="36830"/>
                <wp:docPr id="1771602585" name="Retângulo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2CDD3" id="Retângulos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033DE69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4D1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Estoque e Farmácia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3511"/>
        <w:gridCol w:w="1416"/>
      </w:tblGrid>
      <w:tr w:rsidR="004D17F0" w:rsidRPr="004D17F0" w14:paraId="2F8E5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8587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C96531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1DFDE03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D17F0" w:rsidRPr="004D17F0" w14:paraId="1CC4A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5BA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Consumo médio mensal</w:t>
            </w:r>
          </w:p>
        </w:tc>
        <w:tc>
          <w:tcPr>
            <w:tcW w:w="0" w:type="auto"/>
            <w:vAlign w:val="center"/>
            <w:hideMark/>
          </w:tcPr>
          <w:p w14:paraId="397BDDC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Saídas ÷ nº meses</w:t>
            </w:r>
          </w:p>
        </w:tc>
        <w:tc>
          <w:tcPr>
            <w:tcW w:w="0" w:type="auto"/>
            <w:vAlign w:val="center"/>
            <w:hideMark/>
          </w:tcPr>
          <w:p w14:paraId="5FF6DE8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02BD6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B16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Ponto de ressuprimento</w:t>
            </w:r>
          </w:p>
        </w:tc>
        <w:tc>
          <w:tcPr>
            <w:tcW w:w="0" w:type="auto"/>
            <w:vAlign w:val="center"/>
            <w:hideMark/>
          </w:tcPr>
          <w:p w14:paraId="68A9BFC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Consumo diário × tempo de reposição</w:t>
            </w:r>
          </w:p>
        </w:tc>
        <w:tc>
          <w:tcPr>
            <w:tcW w:w="0" w:type="auto"/>
            <w:vAlign w:val="center"/>
            <w:hideMark/>
          </w:tcPr>
          <w:p w14:paraId="533065C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2851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169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médio por insumo</w:t>
            </w:r>
          </w:p>
        </w:tc>
        <w:tc>
          <w:tcPr>
            <w:tcW w:w="0" w:type="auto"/>
            <w:vAlign w:val="center"/>
            <w:hideMark/>
          </w:tcPr>
          <w:p w14:paraId="3525C68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total ÷ qtd adquirida</w:t>
            </w:r>
          </w:p>
        </w:tc>
        <w:tc>
          <w:tcPr>
            <w:tcW w:w="0" w:type="auto"/>
            <w:vAlign w:val="center"/>
            <w:hideMark/>
          </w:tcPr>
          <w:p w14:paraId="053DA0E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2F00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A15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perdas</w:t>
            </w:r>
          </w:p>
        </w:tc>
        <w:tc>
          <w:tcPr>
            <w:tcW w:w="0" w:type="auto"/>
            <w:vAlign w:val="center"/>
            <w:hideMark/>
          </w:tcPr>
          <w:p w14:paraId="010010C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(Itens vencidos ÷ total) × 100</w:t>
            </w:r>
          </w:p>
        </w:tc>
        <w:tc>
          <w:tcPr>
            <w:tcW w:w="0" w:type="auto"/>
            <w:vAlign w:val="center"/>
            <w:hideMark/>
          </w:tcPr>
          <w:p w14:paraId="7A91308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6F31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31D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ruptura de estoque</w:t>
            </w:r>
          </w:p>
        </w:tc>
        <w:tc>
          <w:tcPr>
            <w:tcW w:w="0" w:type="auto"/>
            <w:vAlign w:val="center"/>
            <w:hideMark/>
          </w:tcPr>
          <w:p w14:paraId="0B8D4C9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(Dias em falta ÷ dias no período)</w:t>
            </w:r>
          </w:p>
        </w:tc>
        <w:tc>
          <w:tcPr>
            <w:tcW w:w="0" w:type="auto"/>
            <w:vAlign w:val="center"/>
            <w:hideMark/>
          </w:tcPr>
          <w:p w14:paraId="46C0D82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3284E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CA5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Validade média do estoque</w:t>
            </w:r>
          </w:p>
        </w:tc>
        <w:tc>
          <w:tcPr>
            <w:tcW w:w="0" w:type="auto"/>
            <w:vAlign w:val="center"/>
            <w:hideMark/>
          </w:tcPr>
          <w:p w14:paraId="1A0FA8B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Soma das validades ÷ nº itens</w:t>
            </w:r>
          </w:p>
        </w:tc>
        <w:tc>
          <w:tcPr>
            <w:tcW w:w="0" w:type="auto"/>
            <w:vAlign w:val="center"/>
            <w:hideMark/>
          </w:tcPr>
          <w:p w14:paraId="65C786A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0E7E2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3EA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total do estoque</w:t>
            </w:r>
          </w:p>
        </w:tc>
        <w:tc>
          <w:tcPr>
            <w:tcW w:w="0" w:type="auto"/>
            <w:vAlign w:val="center"/>
            <w:hideMark/>
          </w:tcPr>
          <w:p w14:paraId="606DE6D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∑ valor de aquisição</w:t>
            </w:r>
          </w:p>
        </w:tc>
        <w:tc>
          <w:tcPr>
            <w:tcW w:w="0" w:type="auto"/>
            <w:vAlign w:val="center"/>
            <w:hideMark/>
          </w:tcPr>
          <w:p w14:paraId="733D374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649B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F2B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por paciente com medicamentos</w:t>
            </w:r>
          </w:p>
        </w:tc>
        <w:tc>
          <w:tcPr>
            <w:tcW w:w="0" w:type="auto"/>
            <w:vAlign w:val="center"/>
            <w:hideMark/>
          </w:tcPr>
          <w:p w14:paraId="685D9FE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insumos ÷ nº pacientes</w:t>
            </w:r>
          </w:p>
        </w:tc>
        <w:tc>
          <w:tcPr>
            <w:tcW w:w="0" w:type="auto"/>
            <w:vAlign w:val="center"/>
            <w:hideMark/>
          </w:tcPr>
          <w:p w14:paraId="6ACD64A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5DAFF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867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Racionalidade de prescrição</w:t>
            </w:r>
          </w:p>
        </w:tc>
        <w:tc>
          <w:tcPr>
            <w:tcW w:w="0" w:type="auto"/>
            <w:vAlign w:val="center"/>
            <w:hideMark/>
          </w:tcPr>
          <w:p w14:paraId="3935979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Média nº medicamentos ÷ prescrição</w:t>
            </w:r>
          </w:p>
        </w:tc>
        <w:tc>
          <w:tcPr>
            <w:tcW w:w="0" w:type="auto"/>
            <w:vAlign w:val="center"/>
            <w:hideMark/>
          </w:tcPr>
          <w:p w14:paraId="5805483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Hospital</w:t>
            </w:r>
          </w:p>
        </w:tc>
      </w:tr>
    </w:tbl>
    <w:p w14:paraId="4294CB50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EB3DB0" wp14:editId="26AA57EA">
                <wp:extent cx="5400040" cy="1270"/>
                <wp:effectExtent l="0" t="31750" r="0" b="36830"/>
                <wp:docPr id="680273208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719B2" id="Retângulos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489394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4D1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Financeiro e Contratos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917"/>
        <w:gridCol w:w="1116"/>
      </w:tblGrid>
      <w:tr w:rsidR="004D17F0" w:rsidRPr="004D17F0" w14:paraId="4BCC8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2749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E4FF7A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6CDBEAD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D17F0" w:rsidRPr="004D17F0" w14:paraId="7E3B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45C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médio por consulta</w:t>
            </w:r>
          </w:p>
        </w:tc>
        <w:tc>
          <w:tcPr>
            <w:tcW w:w="0" w:type="auto"/>
            <w:vAlign w:val="center"/>
            <w:hideMark/>
          </w:tcPr>
          <w:p w14:paraId="3335170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total ÷ atendimentos</w:t>
            </w:r>
          </w:p>
        </w:tc>
        <w:tc>
          <w:tcPr>
            <w:tcW w:w="0" w:type="auto"/>
            <w:vAlign w:val="center"/>
            <w:hideMark/>
          </w:tcPr>
          <w:p w14:paraId="16C0D1B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</w:t>
            </w:r>
          </w:p>
        </w:tc>
      </w:tr>
      <w:tr w:rsidR="004D17F0" w:rsidRPr="004D17F0" w14:paraId="0C01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27E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por paciente ativo</w:t>
            </w:r>
          </w:p>
        </w:tc>
        <w:tc>
          <w:tcPr>
            <w:tcW w:w="0" w:type="auto"/>
            <w:vAlign w:val="center"/>
            <w:hideMark/>
          </w:tcPr>
          <w:p w14:paraId="2BDBC29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total ÷ nº pacientes cadastrados</w:t>
            </w:r>
          </w:p>
        </w:tc>
        <w:tc>
          <w:tcPr>
            <w:tcW w:w="0" w:type="auto"/>
            <w:vAlign w:val="center"/>
            <w:hideMark/>
          </w:tcPr>
          <w:p w14:paraId="28C4411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  <w:tr w:rsidR="004D17F0" w:rsidRPr="004D17F0" w14:paraId="5CE0B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9AB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por internação</w:t>
            </w:r>
          </w:p>
        </w:tc>
        <w:tc>
          <w:tcPr>
            <w:tcW w:w="0" w:type="auto"/>
            <w:vAlign w:val="center"/>
            <w:hideMark/>
          </w:tcPr>
          <w:p w14:paraId="265C1D0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total ÷ nº internações</w:t>
            </w:r>
          </w:p>
        </w:tc>
        <w:tc>
          <w:tcPr>
            <w:tcW w:w="0" w:type="auto"/>
            <w:vAlign w:val="center"/>
            <w:hideMark/>
          </w:tcPr>
          <w:p w14:paraId="36D3228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71AF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5B6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por leito/dia</w:t>
            </w:r>
          </w:p>
        </w:tc>
        <w:tc>
          <w:tcPr>
            <w:tcW w:w="0" w:type="auto"/>
            <w:vAlign w:val="center"/>
            <w:hideMark/>
          </w:tcPr>
          <w:p w14:paraId="02D50D5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total ÷ dias de internação</w:t>
            </w:r>
          </w:p>
        </w:tc>
        <w:tc>
          <w:tcPr>
            <w:tcW w:w="0" w:type="auto"/>
            <w:vAlign w:val="center"/>
            <w:hideMark/>
          </w:tcPr>
          <w:p w14:paraId="426D2EF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56644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512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Margem contratual</w:t>
            </w:r>
          </w:p>
        </w:tc>
        <w:tc>
          <w:tcPr>
            <w:tcW w:w="0" w:type="auto"/>
            <w:vAlign w:val="center"/>
            <w:hideMark/>
          </w:tcPr>
          <w:p w14:paraId="3F6D19F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Receita – custo operacional</w:t>
            </w:r>
          </w:p>
        </w:tc>
        <w:tc>
          <w:tcPr>
            <w:tcW w:w="0" w:type="auto"/>
            <w:vAlign w:val="center"/>
            <w:hideMark/>
          </w:tcPr>
          <w:p w14:paraId="5789A3F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7C68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E43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ROI da unidade</w:t>
            </w:r>
          </w:p>
        </w:tc>
        <w:tc>
          <w:tcPr>
            <w:tcW w:w="0" w:type="auto"/>
            <w:vAlign w:val="center"/>
            <w:hideMark/>
          </w:tcPr>
          <w:p w14:paraId="140263C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Receita líquida ÷ custo × 100</w:t>
            </w:r>
          </w:p>
        </w:tc>
        <w:tc>
          <w:tcPr>
            <w:tcW w:w="0" w:type="auto"/>
            <w:vAlign w:val="center"/>
            <w:hideMark/>
          </w:tcPr>
          <w:p w14:paraId="3AB993D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409D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F67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31E08D0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Receita – (custos + despesas)</w:t>
            </w:r>
          </w:p>
        </w:tc>
        <w:tc>
          <w:tcPr>
            <w:tcW w:w="0" w:type="auto"/>
            <w:vAlign w:val="center"/>
            <w:hideMark/>
          </w:tcPr>
          <w:p w14:paraId="0E8FE05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6621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A74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marginal paciente</w:t>
            </w:r>
          </w:p>
        </w:tc>
        <w:tc>
          <w:tcPr>
            <w:tcW w:w="0" w:type="auto"/>
            <w:vAlign w:val="center"/>
            <w:hideMark/>
          </w:tcPr>
          <w:p w14:paraId="11DE22A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Δ custo total ÷ Δ novos pacientes</w:t>
            </w:r>
          </w:p>
        </w:tc>
        <w:tc>
          <w:tcPr>
            <w:tcW w:w="0" w:type="auto"/>
            <w:vAlign w:val="center"/>
            <w:hideMark/>
          </w:tcPr>
          <w:p w14:paraId="11E3AAF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719C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F06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Índice dependência financeira</w:t>
            </w:r>
          </w:p>
        </w:tc>
        <w:tc>
          <w:tcPr>
            <w:tcW w:w="0" w:type="auto"/>
            <w:vAlign w:val="center"/>
            <w:hideMark/>
          </w:tcPr>
          <w:p w14:paraId="1F55ABA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Receita contrato principal ÷ receita total</w:t>
            </w:r>
          </w:p>
        </w:tc>
        <w:tc>
          <w:tcPr>
            <w:tcW w:w="0" w:type="auto"/>
            <w:vAlign w:val="center"/>
            <w:hideMark/>
          </w:tcPr>
          <w:p w14:paraId="34A679D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519A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370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Elasticidade custo-volume</w:t>
            </w:r>
          </w:p>
        </w:tc>
        <w:tc>
          <w:tcPr>
            <w:tcW w:w="0" w:type="auto"/>
            <w:vAlign w:val="center"/>
            <w:hideMark/>
          </w:tcPr>
          <w:p w14:paraId="0964DF7C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% Δ custo ÷ % Δ atendimentos</w:t>
            </w:r>
          </w:p>
        </w:tc>
        <w:tc>
          <w:tcPr>
            <w:tcW w:w="0" w:type="auto"/>
            <w:vAlign w:val="center"/>
            <w:hideMark/>
          </w:tcPr>
          <w:p w14:paraId="7DDE3B6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20F6D8AB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B70B7" wp14:editId="1C200BFA">
                <wp:extent cx="5400040" cy="1270"/>
                <wp:effectExtent l="0" t="31750" r="0" b="36830"/>
                <wp:docPr id="1324241211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65ADC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8E2E97E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4D1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Epidemiologia / Saúde Populacional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4628"/>
        <w:gridCol w:w="1089"/>
      </w:tblGrid>
      <w:tr w:rsidR="004D17F0" w:rsidRPr="004D17F0" w14:paraId="3DB6C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46AA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341C676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0B6BE7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D17F0" w:rsidRPr="004D17F0" w14:paraId="5871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155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incidência</w:t>
            </w:r>
          </w:p>
        </w:tc>
        <w:tc>
          <w:tcPr>
            <w:tcW w:w="0" w:type="auto"/>
            <w:vAlign w:val="center"/>
            <w:hideMark/>
          </w:tcPr>
          <w:p w14:paraId="0739B7D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Novos casos ÷ população × 1000</w:t>
            </w:r>
          </w:p>
        </w:tc>
        <w:tc>
          <w:tcPr>
            <w:tcW w:w="0" w:type="auto"/>
            <w:vAlign w:val="center"/>
            <w:hideMark/>
          </w:tcPr>
          <w:p w14:paraId="4C4D9C4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0D02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481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prevalência</w:t>
            </w:r>
          </w:p>
        </w:tc>
        <w:tc>
          <w:tcPr>
            <w:tcW w:w="0" w:type="auto"/>
            <w:vAlign w:val="center"/>
            <w:hideMark/>
          </w:tcPr>
          <w:p w14:paraId="53CAC10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Casos ativos ÷ população × 1000</w:t>
            </w:r>
          </w:p>
        </w:tc>
        <w:tc>
          <w:tcPr>
            <w:tcW w:w="0" w:type="auto"/>
            <w:vAlign w:val="center"/>
            <w:hideMark/>
          </w:tcPr>
          <w:p w14:paraId="245C890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5045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7BC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por faixa etária</w:t>
            </w:r>
          </w:p>
        </w:tc>
        <w:tc>
          <w:tcPr>
            <w:tcW w:w="0" w:type="auto"/>
            <w:vAlign w:val="center"/>
            <w:hideMark/>
          </w:tcPr>
          <w:p w14:paraId="4C32C64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Casos ÷ população da faixa × 1000</w:t>
            </w:r>
          </w:p>
        </w:tc>
        <w:tc>
          <w:tcPr>
            <w:tcW w:w="0" w:type="auto"/>
            <w:vAlign w:val="center"/>
            <w:hideMark/>
          </w:tcPr>
          <w:p w14:paraId="52EC59F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757D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105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por sexo</w:t>
            </w:r>
          </w:p>
        </w:tc>
        <w:tc>
          <w:tcPr>
            <w:tcW w:w="0" w:type="auto"/>
            <w:vAlign w:val="center"/>
            <w:hideMark/>
          </w:tcPr>
          <w:p w14:paraId="32C4C14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Casos ÷ população do sexo × 1000</w:t>
            </w:r>
          </w:p>
        </w:tc>
        <w:tc>
          <w:tcPr>
            <w:tcW w:w="0" w:type="auto"/>
            <w:vAlign w:val="center"/>
            <w:hideMark/>
          </w:tcPr>
          <w:p w14:paraId="4136FC6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721F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6F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Top 10 causas de atendimento</w:t>
            </w:r>
          </w:p>
        </w:tc>
        <w:tc>
          <w:tcPr>
            <w:tcW w:w="0" w:type="auto"/>
            <w:vAlign w:val="center"/>
            <w:hideMark/>
          </w:tcPr>
          <w:p w14:paraId="6302249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Ranking CIDs mais atendidos</w:t>
            </w:r>
          </w:p>
        </w:tc>
        <w:tc>
          <w:tcPr>
            <w:tcW w:w="0" w:type="auto"/>
            <w:vAlign w:val="center"/>
            <w:hideMark/>
          </w:tcPr>
          <w:p w14:paraId="6442CF8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6048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CC0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internação por causa</w:t>
            </w:r>
          </w:p>
        </w:tc>
        <w:tc>
          <w:tcPr>
            <w:tcW w:w="0" w:type="auto"/>
            <w:vAlign w:val="center"/>
            <w:hideMark/>
          </w:tcPr>
          <w:p w14:paraId="6486147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(Internações por doença ÷ total) × 100</w:t>
            </w:r>
          </w:p>
        </w:tc>
        <w:tc>
          <w:tcPr>
            <w:tcW w:w="0" w:type="auto"/>
            <w:vAlign w:val="center"/>
            <w:hideMark/>
          </w:tcPr>
          <w:p w14:paraId="06CC223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1A2B9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DD3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mortalidade</w:t>
            </w:r>
          </w:p>
        </w:tc>
        <w:tc>
          <w:tcPr>
            <w:tcW w:w="0" w:type="auto"/>
            <w:vAlign w:val="center"/>
            <w:hideMark/>
          </w:tcPr>
          <w:p w14:paraId="18661A7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(Óbitos ÷ internações) × 100</w:t>
            </w:r>
          </w:p>
        </w:tc>
        <w:tc>
          <w:tcPr>
            <w:tcW w:w="0" w:type="auto"/>
            <w:vAlign w:val="center"/>
            <w:hideMark/>
          </w:tcPr>
          <w:p w14:paraId="2013297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745A1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862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Mortalidade específica</w:t>
            </w:r>
          </w:p>
        </w:tc>
        <w:tc>
          <w:tcPr>
            <w:tcW w:w="0" w:type="auto"/>
            <w:vAlign w:val="center"/>
            <w:hideMark/>
          </w:tcPr>
          <w:p w14:paraId="31318C8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(Óbitos por doença ÷ internações por doença) × 100</w:t>
            </w:r>
          </w:p>
        </w:tc>
        <w:tc>
          <w:tcPr>
            <w:tcW w:w="0" w:type="auto"/>
            <w:vAlign w:val="center"/>
            <w:hideMark/>
          </w:tcPr>
          <w:p w14:paraId="54E8719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26D6E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C415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agravos evitáveis</w:t>
            </w:r>
          </w:p>
        </w:tc>
        <w:tc>
          <w:tcPr>
            <w:tcW w:w="0" w:type="auto"/>
            <w:vAlign w:val="center"/>
            <w:hideMark/>
          </w:tcPr>
          <w:p w14:paraId="39B8378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(Internações evitáveis ÷ total internações) × 100</w:t>
            </w:r>
          </w:p>
        </w:tc>
        <w:tc>
          <w:tcPr>
            <w:tcW w:w="0" w:type="auto"/>
            <w:vAlign w:val="center"/>
            <w:hideMark/>
          </w:tcPr>
          <w:p w14:paraId="6B368D4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4FA66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E7F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Cobertura vacinal</w:t>
            </w:r>
          </w:p>
        </w:tc>
        <w:tc>
          <w:tcPr>
            <w:tcW w:w="0" w:type="auto"/>
            <w:vAlign w:val="center"/>
            <w:hideMark/>
          </w:tcPr>
          <w:p w14:paraId="2D5BE97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Vacinados ÷ população alvo × 100</w:t>
            </w:r>
          </w:p>
        </w:tc>
        <w:tc>
          <w:tcPr>
            <w:tcW w:w="0" w:type="auto"/>
            <w:vAlign w:val="center"/>
            <w:hideMark/>
          </w:tcPr>
          <w:p w14:paraId="3A1841F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</w:tbl>
    <w:p w14:paraId="3DDDBF77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783417" wp14:editId="627307A8">
                <wp:extent cx="5400040" cy="1270"/>
                <wp:effectExtent l="0" t="31750" r="0" b="36830"/>
                <wp:docPr id="1526709069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50C73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F071EE1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4D1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Qualidade e Eficiência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4137"/>
        <w:gridCol w:w="1114"/>
      </w:tblGrid>
      <w:tr w:rsidR="004D17F0" w:rsidRPr="004D17F0" w14:paraId="04559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8981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92FC26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841187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D17F0" w:rsidRPr="004D17F0" w14:paraId="0020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E8D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readmissão (7,14,30 dias)</w:t>
            </w:r>
          </w:p>
        </w:tc>
        <w:tc>
          <w:tcPr>
            <w:tcW w:w="0" w:type="auto"/>
            <w:vAlign w:val="center"/>
            <w:hideMark/>
          </w:tcPr>
          <w:p w14:paraId="4B099DC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Reinternações ÷ internações</w:t>
            </w:r>
          </w:p>
        </w:tc>
        <w:tc>
          <w:tcPr>
            <w:tcW w:w="0" w:type="auto"/>
            <w:vAlign w:val="center"/>
            <w:hideMark/>
          </w:tcPr>
          <w:p w14:paraId="4AF6FBA4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51EB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19A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mortalidade padronizada</w:t>
            </w:r>
          </w:p>
        </w:tc>
        <w:tc>
          <w:tcPr>
            <w:tcW w:w="0" w:type="auto"/>
            <w:vAlign w:val="center"/>
            <w:hideMark/>
          </w:tcPr>
          <w:p w14:paraId="0D0A241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Óbitos observados ÷ óbitos esperados × 100</w:t>
            </w:r>
          </w:p>
        </w:tc>
        <w:tc>
          <w:tcPr>
            <w:tcW w:w="0" w:type="auto"/>
            <w:vAlign w:val="center"/>
            <w:hideMark/>
          </w:tcPr>
          <w:p w14:paraId="591691F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4B517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AB0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infecção hospitalar</w:t>
            </w:r>
          </w:p>
        </w:tc>
        <w:tc>
          <w:tcPr>
            <w:tcW w:w="0" w:type="auto"/>
            <w:vAlign w:val="center"/>
            <w:hideMark/>
          </w:tcPr>
          <w:p w14:paraId="03A0FE9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Infecções ÷ internações × 100</w:t>
            </w:r>
          </w:p>
        </w:tc>
        <w:tc>
          <w:tcPr>
            <w:tcW w:w="0" w:type="auto"/>
            <w:vAlign w:val="center"/>
            <w:hideMark/>
          </w:tcPr>
          <w:p w14:paraId="5252BE0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7E75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641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Tempo de alta após indicação</w:t>
            </w:r>
          </w:p>
        </w:tc>
        <w:tc>
          <w:tcPr>
            <w:tcW w:w="0" w:type="auto"/>
            <w:vAlign w:val="center"/>
            <w:hideMark/>
          </w:tcPr>
          <w:p w14:paraId="1207932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Data efetiva – data da alta médica</w:t>
            </w:r>
          </w:p>
        </w:tc>
        <w:tc>
          <w:tcPr>
            <w:tcW w:w="0" w:type="auto"/>
            <w:vAlign w:val="center"/>
            <w:hideMark/>
          </w:tcPr>
          <w:p w14:paraId="47A4203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4D17F0" w:rsidRPr="004D17F0" w14:paraId="7100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647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Índice de efetividade</w:t>
            </w:r>
          </w:p>
        </w:tc>
        <w:tc>
          <w:tcPr>
            <w:tcW w:w="0" w:type="auto"/>
            <w:vAlign w:val="center"/>
            <w:hideMark/>
          </w:tcPr>
          <w:p w14:paraId="26E6278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Casos resolvidos ÷ total atendidos</w:t>
            </w:r>
          </w:p>
        </w:tc>
        <w:tc>
          <w:tcPr>
            <w:tcW w:w="0" w:type="auto"/>
            <w:vAlign w:val="center"/>
            <w:hideMark/>
          </w:tcPr>
          <w:p w14:paraId="6687562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67BB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68D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retorno não programado</w:t>
            </w:r>
          </w:p>
        </w:tc>
        <w:tc>
          <w:tcPr>
            <w:tcW w:w="0" w:type="auto"/>
            <w:vAlign w:val="center"/>
            <w:hideMark/>
          </w:tcPr>
          <w:p w14:paraId="1389173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Retornos imprevistos ÷ total consultas</w:t>
            </w:r>
          </w:p>
        </w:tc>
        <w:tc>
          <w:tcPr>
            <w:tcW w:w="0" w:type="auto"/>
            <w:vAlign w:val="center"/>
            <w:hideMark/>
          </w:tcPr>
          <w:p w14:paraId="0D4D40C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APS, UPA</w:t>
            </w:r>
          </w:p>
        </w:tc>
      </w:tr>
      <w:tr w:rsidR="004D17F0" w:rsidRPr="004D17F0" w14:paraId="204CE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D33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adesão ao tratamento</w:t>
            </w:r>
          </w:p>
        </w:tc>
        <w:tc>
          <w:tcPr>
            <w:tcW w:w="0" w:type="auto"/>
            <w:vAlign w:val="center"/>
            <w:hideMark/>
          </w:tcPr>
          <w:p w14:paraId="37EEC71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Pacientes que concluíram ÷ que iniciaram</w:t>
            </w:r>
          </w:p>
        </w:tc>
        <w:tc>
          <w:tcPr>
            <w:tcW w:w="0" w:type="auto"/>
            <w:vAlign w:val="center"/>
            <w:hideMark/>
          </w:tcPr>
          <w:p w14:paraId="5E593B8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6E67C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475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abandono</w:t>
            </w:r>
          </w:p>
        </w:tc>
        <w:tc>
          <w:tcPr>
            <w:tcW w:w="0" w:type="auto"/>
            <w:vAlign w:val="center"/>
            <w:hideMark/>
          </w:tcPr>
          <w:p w14:paraId="1AF84C3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Pacientes que abandonaram ÷ iniciaram</w:t>
            </w:r>
          </w:p>
        </w:tc>
        <w:tc>
          <w:tcPr>
            <w:tcW w:w="0" w:type="auto"/>
            <w:vAlign w:val="center"/>
            <w:hideMark/>
          </w:tcPr>
          <w:p w14:paraId="4291CCB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0DAE7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7ED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Satisfação do paciente</w:t>
            </w:r>
          </w:p>
        </w:tc>
        <w:tc>
          <w:tcPr>
            <w:tcW w:w="0" w:type="auto"/>
            <w:vAlign w:val="center"/>
            <w:hideMark/>
          </w:tcPr>
          <w:p w14:paraId="0A2556E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(Satisfeitos ÷ entrevistados) × 100</w:t>
            </w:r>
          </w:p>
        </w:tc>
        <w:tc>
          <w:tcPr>
            <w:tcW w:w="0" w:type="auto"/>
            <w:vAlign w:val="center"/>
            <w:hideMark/>
          </w:tcPr>
          <w:p w14:paraId="5582958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14ED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3AC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Reclamações por atendimento</w:t>
            </w:r>
          </w:p>
        </w:tc>
        <w:tc>
          <w:tcPr>
            <w:tcW w:w="0" w:type="auto"/>
            <w:vAlign w:val="center"/>
            <w:hideMark/>
          </w:tcPr>
          <w:p w14:paraId="3EDC1C5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Reclamações ÷ nº atendimentos</w:t>
            </w:r>
          </w:p>
        </w:tc>
        <w:tc>
          <w:tcPr>
            <w:tcW w:w="0" w:type="auto"/>
            <w:vAlign w:val="center"/>
            <w:hideMark/>
          </w:tcPr>
          <w:p w14:paraId="1D3853A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689A3FE2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F9A5CC" wp14:editId="115A8749">
                <wp:extent cx="5400040" cy="1270"/>
                <wp:effectExtent l="0" t="31750" r="0" b="36830"/>
                <wp:docPr id="1132778485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E6A0A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091B159" w14:textId="77777777" w:rsidR="004D17F0" w:rsidRPr="004D17F0" w:rsidRDefault="004D17F0" w:rsidP="004D17F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17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4D1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Otimização e Inteligência Artificial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4572"/>
        <w:gridCol w:w="1089"/>
      </w:tblGrid>
      <w:tr w:rsidR="004D17F0" w:rsidRPr="004D17F0" w14:paraId="5AC0F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D5A8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297CE67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74D6427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D17F0" w:rsidRPr="004D17F0" w14:paraId="3326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3A4E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Taxa de ociosidade profissional</w:t>
            </w:r>
          </w:p>
        </w:tc>
        <w:tc>
          <w:tcPr>
            <w:tcW w:w="0" w:type="auto"/>
            <w:vAlign w:val="center"/>
            <w:hideMark/>
          </w:tcPr>
          <w:p w14:paraId="5048A73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(Horas contratadas – horas trabalhadas) ÷ horas contratadas</w:t>
            </w:r>
          </w:p>
        </w:tc>
        <w:tc>
          <w:tcPr>
            <w:tcW w:w="0" w:type="auto"/>
            <w:vAlign w:val="center"/>
            <w:hideMark/>
          </w:tcPr>
          <w:p w14:paraId="0E42C90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2E1A2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7E4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Custo de sobrecarga</w:t>
            </w:r>
          </w:p>
        </w:tc>
        <w:tc>
          <w:tcPr>
            <w:tcW w:w="0" w:type="auto"/>
            <w:vAlign w:val="center"/>
            <w:hideMark/>
          </w:tcPr>
          <w:p w14:paraId="04ED95AF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Horas extras × custo hora extra</w:t>
            </w:r>
          </w:p>
        </w:tc>
        <w:tc>
          <w:tcPr>
            <w:tcW w:w="0" w:type="auto"/>
            <w:vAlign w:val="center"/>
            <w:hideMark/>
          </w:tcPr>
          <w:p w14:paraId="299401EA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1EDE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2BCB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Uso racional de insumos</w:t>
            </w:r>
          </w:p>
        </w:tc>
        <w:tc>
          <w:tcPr>
            <w:tcW w:w="0" w:type="auto"/>
            <w:vAlign w:val="center"/>
            <w:hideMark/>
          </w:tcPr>
          <w:p w14:paraId="6B77E90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Consumo real ÷ consumo previsto</w:t>
            </w:r>
          </w:p>
        </w:tc>
        <w:tc>
          <w:tcPr>
            <w:tcW w:w="0" w:type="auto"/>
            <w:vAlign w:val="center"/>
            <w:hideMark/>
          </w:tcPr>
          <w:p w14:paraId="7232B88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45E5A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3E7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Economia gestão de estoque</w:t>
            </w:r>
          </w:p>
        </w:tc>
        <w:tc>
          <w:tcPr>
            <w:tcW w:w="0" w:type="auto"/>
            <w:vAlign w:val="center"/>
            <w:hideMark/>
          </w:tcPr>
          <w:p w14:paraId="7D4933B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(Perda prevista – perda real)</w:t>
            </w:r>
          </w:p>
        </w:tc>
        <w:tc>
          <w:tcPr>
            <w:tcW w:w="0" w:type="auto"/>
            <w:vAlign w:val="center"/>
            <w:hideMark/>
          </w:tcPr>
          <w:p w14:paraId="7C50E171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2809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0C6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Previsão de pico de demanda (IA)</w:t>
            </w:r>
          </w:p>
        </w:tc>
        <w:tc>
          <w:tcPr>
            <w:tcW w:w="0" w:type="auto"/>
            <w:vAlign w:val="center"/>
            <w:hideMark/>
          </w:tcPr>
          <w:p w14:paraId="1EA359A8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Modelo preditivo sazonalidade</w:t>
            </w:r>
          </w:p>
        </w:tc>
        <w:tc>
          <w:tcPr>
            <w:tcW w:w="0" w:type="auto"/>
            <w:vAlign w:val="center"/>
            <w:hideMark/>
          </w:tcPr>
          <w:p w14:paraId="7BB3492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7694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E94D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Previsão de consumo insumos (IA)</w:t>
            </w:r>
          </w:p>
        </w:tc>
        <w:tc>
          <w:tcPr>
            <w:tcW w:w="0" w:type="auto"/>
            <w:vAlign w:val="center"/>
            <w:hideMark/>
          </w:tcPr>
          <w:p w14:paraId="54BAEC4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Histórico + sazonalidade</w:t>
            </w:r>
          </w:p>
        </w:tc>
        <w:tc>
          <w:tcPr>
            <w:tcW w:w="0" w:type="auto"/>
            <w:vAlign w:val="center"/>
            <w:hideMark/>
          </w:tcPr>
          <w:p w14:paraId="2206B682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7DB45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8A6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Eficiência alocativa</w:t>
            </w:r>
          </w:p>
        </w:tc>
        <w:tc>
          <w:tcPr>
            <w:tcW w:w="0" w:type="auto"/>
            <w:vAlign w:val="center"/>
            <w:hideMark/>
          </w:tcPr>
          <w:p w14:paraId="3231A900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Demanda prevista ÷ oferta real</w:t>
            </w:r>
          </w:p>
        </w:tc>
        <w:tc>
          <w:tcPr>
            <w:tcW w:w="0" w:type="auto"/>
            <w:vAlign w:val="center"/>
            <w:hideMark/>
          </w:tcPr>
          <w:p w14:paraId="362D2A16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4D17F0" w:rsidRPr="004D17F0" w14:paraId="35E0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0AF9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Economia potencial realocação</w:t>
            </w:r>
          </w:p>
        </w:tc>
        <w:tc>
          <w:tcPr>
            <w:tcW w:w="0" w:type="auto"/>
            <w:vAlign w:val="center"/>
            <w:hideMark/>
          </w:tcPr>
          <w:p w14:paraId="0BC9A5A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Δ custo com nova escala – custo atual</w:t>
            </w:r>
          </w:p>
        </w:tc>
        <w:tc>
          <w:tcPr>
            <w:tcW w:w="0" w:type="auto"/>
            <w:vAlign w:val="center"/>
            <w:hideMark/>
          </w:tcPr>
          <w:p w14:paraId="51E41403" w14:textId="77777777" w:rsidR="004D17F0" w:rsidRPr="004D17F0" w:rsidRDefault="004D17F0" w:rsidP="004D17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D17F0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058BF076" w14:textId="77777777" w:rsidR="004D17F0" w:rsidRPr="004D17F0" w:rsidRDefault="004D17F0" w:rsidP="004D17F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17F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04BEE1" wp14:editId="261BA2E5">
                <wp:extent cx="5400040" cy="1270"/>
                <wp:effectExtent l="0" t="31750" r="0" b="36830"/>
                <wp:docPr id="1132139532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0ED0F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2316E4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Indicadores Avançados (matriz)</w:t>
      </w:r>
    </w:p>
    <w:p w14:paraId="3C322283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8DD3BE" wp14:editId="6F00DCA3">
                <wp:extent cx="5400040" cy="1270"/>
                <wp:effectExtent l="0" t="31750" r="0" b="36830"/>
                <wp:docPr id="1872688562" name="Retângulo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ED0C1" id="Retângulos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A62D4D4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Resultado Clínico &amp; Case-mix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3977"/>
        <w:gridCol w:w="1436"/>
      </w:tblGrid>
      <w:tr w:rsidR="00C87317" w:rsidRPr="00C87317" w14:paraId="3E9FF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AFA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5DF071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1820D53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4504E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A67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Case Mix Index (CMI)</w:t>
            </w:r>
          </w:p>
        </w:tc>
        <w:tc>
          <w:tcPr>
            <w:tcW w:w="0" w:type="auto"/>
            <w:vAlign w:val="center"/>
            <w:hideMark/>
          </w:tcPr>
          <w:p w14:paraId="11AF8EF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(Σ peso DRGᵢ × nº casosᵢ) ÷ total de casos</w:t>
            </w:r>
          </w:p>
        </w:tc>
        <w:tc>
          <w:tcPr>
            <w:tcW w:w="0" w:type="auto"/>
            <w:vAlign w:val="center"/>
            <w:hideMark/>
          </w:tcPr>
          <w:p w14:paraId="170C116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7CB3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37B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Custo por caso ponderado</w:t>
            </w:r>
          </w:p>
        </w:tc>
        <w:tc>
          <w:tcPr>
            <w:tcW w:w="0" w:type="auto"/>
            <w:vAlign w:val="center"/>
            <w:hideMark/>
          </w:tcPr>
          <w:p w14:paraId="3C8923D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Custo total ÷ Σ(peso DRGᵢ × nº casosᵢ)</w:t>
            </w:r>
          </w:p>
        </w:tc>
        <w:tc>
          <w:tcPr>
            <w:tcW w:w="0" w:type="auto"/>
            <w:vAlign w:val="center"/>
            <w:hideMark/>
          </w:tcPr>
          <w:p w14:paraId="7430518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6A1D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A72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mortalidade ajustada por risco (SMR)</w:t>
            </w:r>
          </w:p>
        </w:tc>
        <w:tc>
          <w:tcPr>
            <w:tcW w:w="0" w:type="auto"/>
            <w:vAlign w:val="center"/>
            <w:hideMark/>
          </w:tcPr>
          <w:p w14:paraId="2668D53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(Óbitos observados ÷ Óbitos esperados pelo modelo) × 100</w:t>
            </w:r>
          </w:p>
        </w:tc>
        <w:tc>
          <w:tcPr>
            <w:tcW w:w="0" w:type="auto"/>
            <w:vAlign w:val="center"/>
            <w:hideMark/>
          </w:tcPr>
          <w:p w14:paraId="1EC797F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4FA3B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21E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readmissão ajustada por risco</w:t>
            </w:r>
          </w:p>
        </w:tc>
        <w:tc>
          <w:tcPr>
            <w:tcW w:w="0" w:type="auto"/>
            <w:vAlign w:val="center"/>
            <w:hideMark/>
          </w:tcPr>
          <w:p w14:paraId="51F9773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(Readmissões observadas ÷ Readmissões esperadas) ×100</w:t>
            </w:r>
          </w:p>
        </w:tc>
        <w:tc>
          <w:tcPr>
            <w:tcW w:w="0" w:type="auto"/>
            <w:vAlign w:val="center"/>
            <w:hideMark/>
          </w:tcPr>
          <w:p w14:paraId="6A5EBDC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72A40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E53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Índice de severidade médio</w:t>
            </w:r>
          </w:p>
        </w:tc>
        <w:tc>
          <w:tcPr>
            <w:tcW w:w="0" w:type="auto"/>
            <w:vAlign w:val="center"/>
            <w:hideMark/>
          </w:tcPr>
          <w:p w14:paraId="5DE8C66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(Σ score de gravidade de cada paciente) ÷ nº pacientes</w:t>
            </w:r>
          </w:p>
        </w:tc>
        <w:tc>
          <w:tcPr>
            <w:tcW w:w="0" w:type="auto"/>
            <w:vAlign w:val="center"/>
            <w:hideMark/>
          </w:tcPr>
          <w:p w14:paraId="4610193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0BA0C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CB8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letalidade por diagnóstico (CFR)</w:t>
            </w:r>
          </w:p>
        </w:tc>
        <w:tc>
          <w:tcPr>
            <w:tcW w:w="0" w:type="auto"/>
            <w:vAlign w:val="center"/>
            <w:hideMark/>
          </w:tcPr>
          <w:p w14:paraId="58863E9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(Óbitos por diagnóstico ÷ casos diagnosticados) ×100</w:t>
            </w:r>
          </w:p>
        </w:tc>
        <w:tc>
          <w:tcPr>
            <w:tcW w:w="0" w:type="auto"/>
            <w:vAlign w:val="center"/>
            <w:hideMark/>
          </w:tcPr>
          <w:p w14:paraId="311B9E9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5CE33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0FC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DALYs / YLD / YLL (referência)</w:t>
            </w:r>
          </w:p>
        </w:tc>
        <w:tc>
          <w:tcPr>
            <w:tcW w:w="0" w:type="auto"/>
            <w:vAlign w:val="center"/>
            <w:hideMark/>
          </w:tcPr>
          <w:p w14:paraId="39C435A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DALY = YLL + YLD (cálculos epidemiológicos padrão)</w:t>
            </w:r>
          </w:p>
        </w:tc>
        <w:tc>
          <w:tcPr>
            <w:tcW w:w="0" w:type="auto"/>
            <w:vAlign w:val="center"/>
            <w:hideMark/>
          </w:tcPr>
          <w:p w14:paraId="374B400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 / População</w:t>
            </w:r>
          </w:p>
        </w:tc>
      </w:tr>
    </w:tbl>
    <w:p w14:paraId="137F2F72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1D5766" wp14:editId="73AE9308">
                <wp:extent cx="5400040" cy="1270"/>
                <wp:effectExtent l="0" t="31750" r="0" b="36830"/>
                <wp:docPr id="1234871013" name="Retângulo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26407" id="Retângulos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14BF5AB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Segurança do Paciente &amp; Eventos Adversos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4030"/>
        <w:gridCol w:w="1336"/>
      </w:tblGrid>
      <w:tr w:rsidR="00C87317" w:rsidRPr="00C87317" w14:paraId="7B5CF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C5F0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D75D14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4BEA6CC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1B613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DEE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Standardized Infection Ratio (SIR)</w:t>
            </w:r>
          </w:p>
        </w:tc>
        <w:tc>
          <w:tcPr>
            <w:tcW w:w="0" w:type="auto"/>
            <w:vAlign w:val="center"/>
            <w:hideMark/>
          </w:tcPr>
          <w:p w14:paraId="503AF6A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Infecções observadas ÷ infecções previstas (por modelo)</w:t>
            </w:r>
          </w:p>
        </w:tc>
        <w:tc>
          <w:tcPr>
            <w:tcW w:w="0" w:type="auto"/>
            <w:vAlign w:val="center"/>
            <w:hideMark/>
          </w:tcPr>
          <w:p w14:paraId="0114F0A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3E77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D68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infecção hospitalar</w:t>
            </w:r>
          </w:p>
        </w:tc>
        <w:tc>
          <w:tcPr>
            <w:tcW w:w="0" w:type="auto"/>
            <w:vAlign w:val="center"/>
            <w:hideMark/>
          </w:tcPr>
          <w:p w14:paraId="2ED98CF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(Infecções hospitalares ÷ número de internações) ×100</w:t>
            </w:r>
          </w:p>
        </w:tc>
        <w:tc>
          <w:tcPr>
            <w:tcW w:w="0" w:type="auto"/>
            <w:vAlign w:val="center"/>
            <w:hideMark/>
          </w:tcPr>
          <w:p w14:paraId="6B01C88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755C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C4A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quedas</w:t>
            </w:r>
          </w:p>
        </w:tc>
        <w:tc>
          <w:tcPr>
            <w:tcW w:w="0" w:type="auto"/>
            <w:vAlign w:val="center"/>
            <w:hideMark/>
          </w:tcPr>
          <w:p w14:paraId="2524940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(Quedas ÷ patient-days) ×1000</w:t>
            </w:r>
          </w:p>
        </w:tc>
        <w:tc>
          <w:tcPr>
            <w:tcW w:w="0" w:type="auto"/>
            <w:vAlign w:val="center"/>
            <w:hideMark/>
          </w:tcPr>
          <w:p w14:paraId="074ECEB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Hospital, UPA</w:t>
            </w:r>
          </w:p>
        </w:tc>
      </w:tr>
      <w:tr w:rsidR="00C87317" w:rsidRPr="00C87317" w14:paraId="0EEBA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E66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úlceras de pressão novas</w:t>
            </w:r>
          </w:p>
        </w:tc>
        <w:tc>
          <w:tcPr>
            <w:tcW w:w="0" w:type="auto"/>
            <w:vAlign w:val="center"/>
            <w:hideMark/>
          </w:tcPr>
          <w:p w14:paraId="78978D1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(Novas úlceras ÷ patient-days) ×1000</w:t>
            </w:r>
          </w:p>
        </w:tc>
        <w:tc>
          <w:tcPr>
            <w:tcW w:w="0" w:type="auto"/>
            <w:vAlign w:val="center"/>
            <w:hideMark/>
          </w:tcPr>
          <w:p w14:paraId="690C10C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139E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20E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Taxa de erro medicamentoso</w:t>
            </w:r>
          </w:p>
        </w:tc>
        <w:tc>
          <w:tcPr>
            <w:tcW w:w="0" w:type="auto"/>
            <w:vAlign w:val="center"/>
            <w:hideMark/>
          </w:tcPr>
          <w:p w14:paraId="34B8745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(Erros medicamentosos ÷ doses administradas) ×1000</w:t>
            </w:r>
          </w:p>
        </w:tc>
        <w:tc>
          <w:tcPr>
            <w:tcW w:w="0" w:type="auto"/>
            <w:vAlign w:val="center"/>
            <w:hideMark/>
          </w:tcPr>
          <w:p w14:paraId="23551F4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07F6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F54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eventos adversos preveníveis</w:t>
            </w:r>
          </w:p>
        </w:tc>
        <w:tc>
          <w:tcPr>
            <w:tcW w:w="0" w:type="auto"/>
            <w:vAlign w:val="center"/>
            <w:hideMark/>
          </w:tcPr>
          <w:p w14:paraId="046F929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(Eventos preveníveis ÷ atendimentos) ×100</w:t>
            </w:r>
          </w:p>
        </w:tc>
        <w:tc>
          <w:tcPr>
            <w:tcW w:w="0" w:type="auto"/>
            <w:vAlign w:val="center"/>
            <w:hideMark/>
          </w:tcPr>
          <w:p w14:paraId="4757A23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7F33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1F8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PSI composite (indicadores de segurança)</w:t>
            </w:r>
          </w:p>
        </w:tc>
        <w:tc>
          <w:tcPr>
            <w:tcW w:w="0" w:type="auto"/>
            <w:vAlign w:val="center"/>
            <w:hideMark/>
          </w:tcPr>
          <w:p w14:paraId="64B752F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Agregado de PSIs conforme padrão (ex.: PSI-90)</w:t>
            </w:r>
          </w:p>
        </w:tc>
        <w:tc>
          <w:tcPr>
            <w:tcW w:w="0" w:type="auto"/>
            <w:vAlign w:val="center"/>
            <w:hideMark/>
          </w:tcPr>
          <w:p w14:paraId="67F6B96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</w:tbl>
    <w:p w14:paraId="75995A7B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4B95D7" wp14:editId="6DC01D36">
                <wp:extent cx="5400040" cy="1270"/>
                <wp:effectExtent l="0" t="31750" r="0" b="36830"/>
                <wp:docPr id="1791615508" name="Retângulo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8D320" id="Retângulos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73121CA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Eficiência Operacional e Fluxo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4271"/>
        <w:gridCol w:w="1089"/>
      </w:tblGrid>
      <w:tr w:rsidR="00C87317" w:rsidRPr="00C87317" w14:paraId="7C61E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9F4A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45BCCA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00C7645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3001F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F54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Average Daily Census (ADC)</w:t>
            </w:r>
          </w:p>
        </w:tc>
        <w:tc>
          <w:tcPr>
            <w:tcW w:w="0" w:type="auto"/>
            <w:vAlign w:val="center"/>
            <w:hideMark/>
          </w:tcPr>
          <w:p w14:paraId="4FEC689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Total patient-days no período ÷ nº dias do período</w:t>
            </w:r>
          </w:p>
        </w:tc>
        <w:tc>
          <w:tcPr>
            <w:tcW w:w="0" w:type="auto"/>
            <w:vAlign w:val="center"/>
            <w:hideMark/>
          </w:tcPr>
          <w:p w14:paraId="3B75C48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2924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292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ocupação média</w:t>
            </w:r>
          </w:p>
        </w:tc>
        <w:tc>
          <w:tcPr>
            <w:tcW w:w="0" w:type="auto"/>
            <w:vAlign w:val="center"/>
            <w:hideMark/>
          </w:tcPr>
          <w:p w14:paraId="3FE3887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(Occupied bed-days ÷ available bed-days) ×100</w:t>
            </w:r>
          </w:p>
        </w:tc>
        <w:tc>
          <w:tcPr>
            <w:tcW w:w="0" w:type="auto"/>
            <w:vAlign w:val="center"/>
            <w:hideMark/>
          </w:tcPr>
          <w:p w14:paraId="16F7527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1A11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F74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Giro de leito (Turnover)</w:t>
            </w:r>
          </w:p>
        </w:tc>
        <w:tc>
          <w:tcPr>
            <w:tcW w:w="0" w:type="auto"/>
            <w:vAlign w:val="center"/>
            <w:hideMark/>
          </w:tcPr>
          <w:p w14:paraId="66412FB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Nº de admissões ÷ nº de leitos</w:t>
            </w:r>
          </w:p>
        </w:tc>
        <w:tc>
          <w:tcPr>
            <w:tcW w:w="0" w:type="auto"/>
            <w:vAlign w:val="center"/>
            <w:hideMark/>
          </w:tcPr>
          <w:p w14:paraId="6DD1861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43FFF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8D6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Intervalo médio entre pacientes no leito (BTI)</w:t>
            </w:r>
          </w:p>
        </w:tc>
        <w:tc>
          <w:tcPr>
            <w:tcW w:w="0" w:type="auto"/>
            <w:vAlign w:val="center"/>
            <w:hideMark/>
          </w:tcPr>
          <w:p w14:paraId="6E2E981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(Available bed-days − occupied bed-days) ÷ nº de altas/discharges</w:t>
            </w:r>
          </w:p>
        </w:tc>
        <w:tc>
          <w:tcPr>
            <w:tcW w:w="0" w:type="auto"/>
            <w:vAlign w:val="center"/>
            <w:hideMark/>
          </w:tcPr>
          <w:p w14:paraId="0C8E23C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5EE9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2D1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Variação do LOS (desvio padrão / variância)</w:t>
            </w:r>
          </w:p>
        </w:tc>
        <w:tc>
          <w:tcPr>
            <w:tcW w:w="0" w:type="auto"/>
            <w:vAlign w:val="center"/>
            <w:hideMark/>
          </w:tcPr>
          <w:p w14:paraId="50A79A5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Variância / desvio padrão do tempo de permanência</w:t>
            </w:r>
          </w:p>
        </w:tc>
        <w:tc>
          <w:tcPr>
            <w:tcW w:w="0" w:type="auto"/>
            <w:vAlign w:val="center"/>
            <w:hideMark/>
          </w:tcPr>
          <w:p w14:paraId="48D999A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3E83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9D0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Tempo médio de espera ED → 1º atendimento</w:t>
            </w:r>
          </w:p>
        </w:tc>
        <w:tc>
          <w:tcPr>
            <w:tcW w:w="0" w:type="auto"/>
            <w:vAlign w:val="center"/>
            <w:hideMark/>
          </w:tcPr>
          <w:p w14:paraId="2BD8F9E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Soma tempos espera ÷ nº chegadas</w:t>
            </w:r>
          </w:p>
        </w:tc>
        <w:tc>
          <w:tcPr>
            <w:tcW w:w="0" w:type="auto"/>
            <w:vAlign w:val="center"/>
            <w:hideMark/>
          </w:tcPr>
          <w:p w14:paraId="3DF6C22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UPA/ED</w:t>
            </w:r>
          </w:p>
        </w:tc>
      </w:tr>
      <w:tr w:rsidR="00C87317" w:rsidRPr="00C87317" w14:paraId="7BC51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54E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LWBS (left without being seen)</w:t>
            </w:r>
          </w:p>
        </w:tc>
        <w:tc>
          <w:tcPr>
            <w:tcW w:w="0" w:type="auto"/>
            <w:vAlign w:val="center"/>
            <w:hideMark/>
          </w:tcPr>
          <w:p w14:paraId="21F5F35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(Patients LWBS ÷ total chegadas ED) ×100</w:t>
            </w:r>
          </w:p>
        </w:tc>
        <w:tc>
          <w:tcPr>
            <w:tcW w:w="0" w:type="auto"/>
            <w:vAlign w:val="center"/>
            <w:hideMark/>
          </w:tcPr>
          <w:p w14:paraId="738621A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UPA/ED</w:t>
            </w:r>
          </w:p>
        </w:tc>
      </w:tr>
      <w:tr w:rsidR="00C87317" w:rsidRPr="00C87317" w14:paraId="55AEE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9FC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Tempo médio de embarque (boarding) ED</w:t>
            </w:r>
          </w:p>
        </w:tc>
        <w:tc>
          <w:tcPr>
            <w:tcW w:w="0" w:type="auto"/>
            <w:vAlign w:val="center"/>
            <w:hideMark/>
          </w:tcPr>
          <w:p w14:paraId="75568CB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Soma tempos boarding ÷ nº pacientes admitidos via ED</w:t>
            </w:r>
          </w:p>
        </w:tc>
        <w:tc>
          <w:tcPr>
            <w:tcW w:w="0" w:type="auto"/>
            <w:vAlign w:val="center"/>
            <w:hideMark/>
          </w:tcPr>
          <w:p w14:paraId="146083D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UPA/ED</w:t>
            </w:r>
          </w:p>
        </w:tc>
      </w:tr>
      <w:tr w:rsidR="00C87317" w:rsidRPr="00C87317" w14:paraId="115E2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28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Utilização de blocos operatórios (OR util.)</w:t>
            </w:r>
          </w:p>
        </w:tc>
        <w:tc>
          <w:tcPr>
            <w:tcW w:w="0" w:type="auto"/>
            <w:vAlign w:val="center"/>
            <w:hideMark/>
          </w:tcPr>
          <w:p w14:paraId="00FE5A5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(Tempo OR em uso ÷ tempo OR disponível) ×100</w:t>
            </w:r>
          </w:p>
        </w:tc>
        <w:tc>
          <w:tcPr>
            <w:tcW w:w="0" w:type="auto"/>
            <w:vAlign w:val="center"/>
            <w:hideMark/>
          </w:tcPr>
          <w:p w14:paraId="38DD003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7EA4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870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Tempo de turnover OR</w:t>
            </w:r>
          </w:p>
        </w:tc>
        <w:tc>
          <w:tcPr>
            <w:tcW w:w="0" w:type="auto"/>
            <w:vAlign w:val="center"/>
            <w:hideMark/>
          </w:tcPr>
          <w:p w14:paraId="29B573F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Soma tempos turnover ÷ nº turnovers</w:t>
            </w:r>
          </w:p>
        </w:tc>
        <w:tc>
          <w:tcPr>
            <w:tcW w:w="0" w:type="auto"/>
            <w:vAlign w:val="center"/>
            <w:hideMark/>
          </w:tcPr>
          <w:p w14:paraId="312F4CD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3316F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93F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cancelamento cirúrgico</w:t>
            </w:r>
          </w:p>
        </w:tc>
        <w:tc>
          <w:tcPr>
            <w:tcW w:w="0" w:type="auto"/>
            <w:vAlign w:val="center"/>
            <w:hideMark/>
          </w:tcPr>
          <w:p w14:paraId="288629F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(Cirurgias canceladas ÷ cirurgias agendadas) ×100</w:t>
            </w:r>
          </w:p>
        </w:tc>
        <w:tc>
          <w:tcPr>
            <w:tcW w:w="0" w:type="auto"/>
            <w:vAlign w:val="center"/>
            <w:hideMark/>
          </w:tcPr>
          <w:p w14:paraId="3E03CE8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7ADA1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E59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On-time first case starts</w:t>
            </w:r>
          </w:p>
        </w:tc>
        <w:tc>
          <w:tcPr>
            <w:tcW w:w="0" w:type="auto"/>
            <w:vAlign w:val="center"/>
            <w:hideMark/>
          </w:tcPr>
          <w:p w14:paraId="04B4B40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(First cases iniciadas no horário ÷ first cases agendadas) ×100</w:t>
            </w:r>
          </w:p>
        </w:tc>
        <w:tc>
          <w:tcPr>
            <w:tcW w:w="0" w:type="auto"/>
            <w:vAlign w:val="center"/>
            <w:hideMark/>
          </w:tcPr>
          <w:p w14:paraId="236BD51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</w:tbl>
    <w:p w14:paraId="1B39F170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2DA516" wp14:editId="38234297">
                <wp:extent cx="5400040" cy="1270"/>
                <wp:effectExtent l="0" t="31750" r="0" b="36830"/>
                <wp:docPr id="1898877906" name="Retângulo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32008" id="Retângulos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8F026D6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Indicadores Financeiros Avançados / Valor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680"/>
        <w:gridCol w:w="1326"/>
      </w:tblGrid>
      <w:tr w:rsidR="00C87317" w:rsidRPr="00C87317" w14:paraId="7B08D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AEB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E518D8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79B049B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0B9C2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C7E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Custo por caso ajustado (case-mix)</w:t>
            </w:r>
          </w:p>
        </w:tc>
        <w:tc>
          <w:tcPr>
            <w:tcW w:w="0" w:type="auto"/>
            <w:vAlign w:val="center"/>
            <w:hideMark/>
          </w:tcPr>
          <w:p w14:paraId="41A42A7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Custo total ÷ Σ(peso case)</w:t>
            </w:r>
          </w:p>
        </w:tc>
        <w:tc>
          <w:tcPr>
            <w:tcW w:w="0" w:type="auto"/>
            <w:vAlign w:val="center"/>
            <w:hideMark/>
          </w:tcPr>
          <w:p w14:paraId="51FDAB2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5207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320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Receita por leito-ocupado (Rev per occupied bed-day)</w:t>
            </w:r>
          </w:p>
        </w:tc>
        <w:tc>
          <w:tcPr>
            <w:tcW w:w="0" w:type="auto"/>
            <w:vAlign w:val="center"/>
            <w:hideMark/>
          </w:tcPr>
          <w:p w14:paraId="592EB3C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Receita total ÷ occupied bed-days</w:t>
            </w:r>
          </w:p>
        </w:tc>
        <w:tc>
          <w:tcPr>
            <w:tcW w:w="0" w:type="auto"/>
            <w:vAlign w:val="center"/>
            <w:hideMark/>
          </w:tcPr>
          <w:p w14:paraId="6FB3711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6F963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AF1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Margem de contribuição por caso</w:t>
            </w:r>
          </w:p>
        </w:tc>
        <w:tc>
          <w:tcPr>
            <w:tcW w:w="0" w:type="auto"/>
            <w:vAlign w:val="center"/>
            <w:hideMark/>
          </w:tcPr>
          <w:p w14:paraId="341D91E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Receita por caso − custo variável por caso</w:t>
            </w:r>
          </w:p>
        </w:tc>
        <w:tc>
          <w:tcPr>
            <w:tcW w:w="0" w:type="auto"/>
            <w:vAlign w:val="center"/>
            <w:hideMark/>
          </w:tcPr>
          <w:p w14:paraId="6D72FE6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1F92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DB2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Custo evitado (prevenção)</w:t>
            </w:r>
          </w:p>
        </w:tc>
        <w:tc>
          <w:tcPr>
            <w:tcW w:w="0" w:type="auto"/>
            <w:vAlign w:val="center"/>
            <w:hideMark/>
          </w:tcPr>
          <w:p w14:paraId="396A1BA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Valor estimado internações evitadas − custo de prevenção</w:t>
            </w:r>
          </w:p>
        </w:tc>
        <w:tc>
          <w:tcPr>
            <w:tcW w:w="0" w:type="auto"/>
            <w:vAlign w:val="center"/>
            <w:hideMark/>
          </w:tcPr>
          <w:p w14:paraId="36B3821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 / Hospital</w:t>
            </w:r>
          </w:p>
        </w:tc>
      </w:tr>
      <w:tr w:rsidR="00C87317" w:rsidRPr="00C87317" w14:paraId="60E28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AA3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Lucro operacional por leito</w:t>
            </w:r>
          </w:p>
        </w:tc>
        <w:tc>
          <w:tcPr>
            <w:tcW w:w="0" w:type="auto"/>
            <w:vAlign w:val="center"/>
            <w:hideMark/>
          </w:tcPr>
          <w:p w14:paraId="3A4D5E4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(Receita operacional − custo operacional) ÷ nº leitos</w:t>
            </w:r>
          </w:p>
        </w:tc>
        <w:tc>
          <w:tcPr>
            <w:tcW w:w="0" w:type="auto"/>
            <w:vAlign w:val="center"/>
            <w:hideMark/>
          </w:tcPr>
          <w:p w14:paraId="4526143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4FD82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EE5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Índice de dependência de convênio</w:t>
            </w:r>
          </w:p>
        </w:tc>
        <w:tc>
          <w:tcPr>
            <w:tcW w:w="0" w:type="auto"/>
            <w:vAlign w:val="center"/>
            <w:hideMark/>
          </w:tcPr>
          <w:p w14:paraId="2DBB59A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Receita convênios ÷ receita total ×100</w:t>
            </w:r>
          </w:p>
        </w:tc>
        <w:tc>
          <w:tcPr>
            <w:tcW w:w="0" w:type="auto"/>
            <w:vAlign w:val="center"/>
            <w:hideMark/>
          </w:tcPr>
          <w:p w14:paraId="076BDBB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1D43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FB7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recuperação de receita</w:t>
            </w:r>
          </w:p>
        </w:tc>
        <w:tc>
          <w:tcPr>
            <w:tcW w:w="0" w:type="auto"/>
            <w:vAlign w:val="center"/>
            <w:hideMark/>
          </w:tcPr>
          <w:p w14:paraId="0267B8E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(Receita faturada recebida ÷ Receita faturada) ×100</w:t>
            </w:r>
          </w:p>
        </w:tc>
        <w:tc>
          <w:tcPr>
            <w:tcW w:w="0" w:type="auto"/>
            <w:vAlign w:val="center"/>
            <w:hideMark/>
          </w:tcPr>
          <w:p w14:paraId="602C444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4717CF88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BE6F9A" wp14:editId="13CC2B22">
                <wp:extent cx="5400040" cy="1270"/>
                <wp:effectExtent l="0" t="31750" r="0" b="36830"/>
                <wp:docPr id="1054378393" name="Retângulo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D6FC0" id="Retângulos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7815ECF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E) Indicadores de Qualidade &amp; Desfechos Relacionados ao Paciente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3744"/>
        <w:gridCol w:w="1808"/>
      </w:tblGrid>
      <w:tr w:rsidR="00C87317" w:rsidRPr="00C87317" w14:paraId="3E4D5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133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83069D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745A110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28E8A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72A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PROMs — ganho médio</w:t>
            </w:r>
          </w:p>
        </w:tc>
        <w:tc>
          <w:tcPr>
            <w:tcW w:w="0" w:type="auto"/>
            <w:vAlign w:val="center"/>
            <w:hideMark/>
          </w:tcPr>
          <w:p w14:paraId="71153C7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Média(PROM pós − PROM pré)</w:t>
            </w:r>
          </w:p>
        </w:tc>
        <w:tc>
          <w:tcPr>
            <w:tcW w:w="0" w:type="auto"/>
            <w:vAlign w:val="center"/>
            <w:hideMark/>
          </w:tcPr>
          <w:p w14:paraId="56BCED4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 (quando coletados)</w:t>
            </w:r>
          </w:p>
        </w:tc>
      </w:tr>
      <w:tr w:rsidR="00C87317" w:rsidRPr="00C87317" w14:paraId="7C3E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BEB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PREMs / NPS</w:t>
            </w:r>
          </w:p>
        </w:tc>
        <w:tc>
          <w:tcPr>
            <w:tcW w:w="0" w:type="auto"/>
            <w:vAlign w:val="center"/>
            <w:hideMark/>
          </w:tcPr>
          <w:p w14:paraId="66225D3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%Promotores − %Detratores (NPS) ou pontuação média PREM</w:t>
            </w:r>
          </w:p>
        </w:tc>
        <w:tc>
          <w:tcPr>
            <w:tcW w:w="0" w:type="auto"/>
            <w:vAlign w:val="center"/>
            <w:hideMark/>
          </w:tcPr>
          <w:p w14:paraId="4F5EA07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1B4CF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97E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Percentual com follow-up pós-alta em X dias</w:t>
            </w:r>
          </w:p>
        </w:tc>
        <w:tc>
          <w:tcPr>
            <w:tcW w:w="0" w:type="auto"/>
            <w:vAlign w:val="center"/>
            <w:hideMark/>
          </w:tcPr>
          <w:p w14:paraId="7EC5DAD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(Pacientes com consulta de seguimento ÷ total altas) ×100</w:t>
            </w:r>
          </w:p>
        </w:tc>
        <w:tc>
          <w:tcPr>
            <w:tcW w:w="0" w:type="auto"/>
            <w:vAlign w:val="center"/>
            <w:hideMark/>
          </w:tcPr>
          <w:p w14:paraId="076A7D1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 / APS</w:t>
            </w:r>
          </w:p>
        </w:tc>
      </w:tr>
      <w:tr w:rsidR="00C87317" w:rsidRPr="00C87317" w14:paraId="058AA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24F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readmissão evitável</w:t>
            </w:r>
          </w:p>
        </w:tc>
        <w:tc>
          <w:tcPr>
            <w:tcW w:w="0" w:type="auto"/>
            <w:vAlign w:val="center"/>
            <w:hideMark/>
          </w:tcPr>
          <w:p w14:paraId="6787DEA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(Readmissões identificadas como evitáveis ÷ total altas) ×100</w:t>
            </w:r>
          </w:p>
        </w:tc>
        <w:tc>
          <w:tcPr>
            <w:tcW w:w="0" w:type="auto"/>
            <w:vAlign w:val="center"/>
            <w:hideMark/>
          </w:tcPr>
          <w:p w14:paraId="6276E06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  <w:tr w:rsidR="00C87317" w:rsidRPr="00C87317" w14:paraId="35335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7A3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controle de crônicos (ex.: HTA)</w:t>
            </w:r>
          </w:p>
        </w:tc>
        <w:tc>
          <w:tcPr>
            <w:tcW w:w="0" w:type="auto"/>
            <w:vAlign w:val="center"/>
            <w:hideMark/>
          </w:tcPr>
          <w:p w14:paraId="00BA941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(Pacientes controlados ÷ pacientes com HTA) ×100</w:t>
            </w:r>
          </w:p>
        </w:tc>
        <w:tc>
          <w:tcPr>
            <w:tcW w:w="0" w:type="auto"/>
            <w:vAlign w:val="center"/>
            <w:hideMark/>
          </w:tcPr>
          <w:p w14:paraId="10D0CC1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  <w:tr w:rsidR="00C87317" w:rsidRPr="00C87317" w14:paraId="71F53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9F6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Screening coverage (mamografia, papanicolau)</w:t>
            </w:r>
          </w:p>
        </w:tc>
        <w:tc>
          <w:tcPr>
            <w:tcW w:w="0" w:type="auto"/>
            <w:vAlign w:val="center"/>
            <w:hideMark/>
          </w:tcPr>
          <w:p w14:paraId="3975954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(Exames realizados ÷ população alvo) ×100</w:t>
            </w:r>
          </w:p>
        </w:tc>
        <w:tc>
          <w:tcPr>
            <w:tcW w:w="0" w:type="auto"/>
            <w:vAlign w:val="center"/>
            <w:hideMark/>
          </w:tcPr>
          <w:p w14:paraId="6EEC152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</w:tbl>
    <w:p w14:paraId="68045395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9F7612" wp14:editId="72814549">
                <wp:extent cx="5400040" cy="1270"/>
                <wp:effectExtent l="0" t="31750" r="0" b="36830"/>
                <wp:docPr id="1103729725" name="Retângulo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E50D5" id="Retângulos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075DD0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F) Equipe &amp; Recursos Humanos (avançado)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4218"/>
        <w:gridCol w:w="1089"/>
      </w:tblGrid>
      <w:tr w:rsidR="00C87317" w:rsidRPr="00C87317" w14:paraId="5BA69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6B08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7CE2AB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6B489C7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60C8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FF7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FTE por 1.000 patient-days</w:t>
            </w:r>
          </w:p>
        </w:tc>
        <w:tc>
          <w:tcPr>
            <w:tcW w:w="0" w:type="auto"/>
            <w:vAlign w:val="center"/>
            <w:hideMark/>
          </w:tcPr>
          <w:p w14:paraId="0648B6E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(FTE ÷ patient-days) ×1000</w:t>
            </w:r>
          </w:p>
        </w:tc>
        <w:tc>
          <w:tcPr>
            <w:tcW w:w="0" w:type="auto"/>
            <w:vAlign w:val="center"/>
            <w:hideMark/>
          </w:tcPr>
          <w:p w14:paraId="2E9D3A0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2226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120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rotatividade (mensal/anual)</w:t>
            </w:r>
          </w:p>
        </w:tc>
        <w:tc>
          <w:tcPr>
            <w:tcW w:w="0" w:type="auto"/>
            <w:vAlign w:val="center"/>
            <w:hideMark/>
          </w:tcPr>
          <w:p w14:paraId="1E47403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(Desligamentos ÷ média de profissionais) ×100</w:t>
            </w:r>
          </w:p>
        </w:tc>
        <w:tc>
          <w:tcPr>
            <w:tcW w:w="0" w:type="auto"/>
            <w:vAlign w:val="center"/>
            <w:hideMark/>
          </w:tcPr>
          <w:p w14:paraId="2E76E46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01E7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8B2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Percentual de horas extras</w:t>
            </w:r>
          </w:p>
        </w:tc>
        <w:tc>
          <w:tcPr>
            <w:tcW w:w="0" w:type="auto"/>
            <w:vAlign w:val="center"/>
            <w:hideMark/>
          </w:tcPr>
          <w:p w14:paraId="5E218A7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(Horas extras ÷ horas trabalhadas totais) ×100</w:t>
            </w:r>
          </w:p>
        </w:tc>
        <w:tc>
          <w:tcPr>
            <w:tcW w:w="0" w:type="auto"/>
            <w:vAlign w:val="center"/>
            <w:hideMark/>
          </w:tcPr>
          <w:p w14:paraId="47C8EAE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6D47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4DE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Uso de staff terceirizado (%)</w:t>
            </w:r>
          </w:p>
        </w:tc>
        <w:tc>
          <w:tcPr>
            <w:tcW w:w="0" w:type="auto"/>
            <w:vAlign w:val="center"/>
            <w:hideMark/>
          </w:tcPr>
          <w:p w14:paraId="7E87F20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(Custo staff terceirizado ÷ custo total staff) ×100</w:t>
            </w:r>
          </w:p>
        </w:tc>
        <w:tc>
          <w:tcPr>
            <w:tcW w:w="0" w:type="auto"/>
            <w:vAlign w:val="center"/>
            <w:hideMark/>
          </w:tcPr>
          <w:p w14:paraId="405DE5D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601EA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34F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Vacancy rate</w:t>
            </w:r>
          </w:p>
        </w:tc>
        <w:tc>
          <w:tcPr>
            <w:tcW w:w="0" w:type="auto"/>
            <w:vAlign w:val="center"/>
            <w:hideMark/>
          </w:tcPr>
          <w:p w14:paraId="286BFC5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(Vagas não ocupadas ÷ vagas totais) ×100</w:t>
            </w:r>
          </w:p>
        </w:tc>
        <w:tc>
          <w:tcPr>
            <w:tcW w:w="0" w:type="auto"/>
            <w:vAlign w:val="center"/>
            <w:hideMark/>
          </w:tcPr>
          <w:p w14:paraId="51BD241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773A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7DC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Índice de capacitação</w:t>
            </w:r>
          </w:p>
        </w:tc>
        <w:tc>
          <w:tcPr>
            <w:tcW w:w="0" w:type="auto"/>
            <w:vAlign w:val="center"/>
            <w:hideMark/>
          </w:tcPr>
          <w:p w14:paraId="6899D1B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(Horas de treinamento ÷ FTE)</w:t>
            </w:r>
          </w:p>
        </w:tc>
        <w:tc>
          <w:tcPr>
            <w:tcW w:w="0" w:type="auto"/>
            <w:vAlign w:val="center"/>
            <w:hideMark/>
          </w:tcPr>
          <w:p w14:paraId="700E7F6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2C6E3EDA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4BFCED" wp14:editId="5232F03B">
                <wp:extent cx="5400040" cy="1270"/>
                <wp:effectExtent l="0" t="31750" r="0" b="36830"/>
                <wp:docPr id="184730296" name="Retângulo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9492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C6DF54F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G) Diagnóstico / Uso de Serviços (utilização)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4499"/>
        <w:gridCol w:w="1089"/>
      </w:tblGrid>
      <w:tr w:rsidR="00C87317" w:rsidRPr="00C87317" w14:paraId="5807F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88F7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6353E7A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24EA9FF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7C73F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FD7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Exames por paciente</w:t>
            </w:r>
          </w:p>
        </w:tc>
        <w:tc>
          <w:tcPr>
            <w:tcW w:w="0" w:type="auto"/>
            <w:vAlign w:val="center"/>
            <w:hideMark/>
          </w:tcPr>
          <w:p w14:paraId="55B4BF5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Nº exames realizados ÷ nº pacientes atendidos</w:t>
            </w:r>
          </w:p>
        </w:tc>
        <w:tc>
          <w:tcPr>
            <w:tcW w:w="0" w:type="auto"/>
            <w:vAlign w:val="center"/>
            <w:hideMark/>
          </w:tcPr>
          <w:p w14:paraId="121CF87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0DD7D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6E3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repetição de exames</w:t>
            </w:r>
          </w:p>
        </w:tc>
        <w:tc>
          <w:tcPr>
            <w:tcW w:w="0" w:type="auto"/>
            <w:vAlign w:val="center"/>
            <w:hideMark/>
          </w:tcPr>
          <w:p w14:paraId="0E6C88C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(Exames repetidos ÷ exames totais) ×100</w:t>
            </w:r>
          </w:p>
        </w:tc>
        <w:tc>
          <w:tcPr>
            <w:tcW w:w="0" w:type="auto"/>
            <w:vAlign w:val="center"/>
            <w:hideMark/>
          </w:tcPr>
          <w:p w14:paraId="74C6E8A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5925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28A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Imagens / 1.000 pacientes</w:t>
            </w:r>
          </w:p>
        </w:tc>
        <w:tc>
          <w:tcPr>
            <w:tcW w:w="0" w:type="auto"/>
            <w:vAlign w:val="center"/>
            <w:hideMark/>
          </w:tcPr>
          <w:p w14:paraId="1F58D5A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(Imagens realizadas ÷ pacientes) ×1000</w:t>
            </w:r>
          </w:p>
        </w:tc>
        <w:tc>
          <w:tcPr>
            <w:tcW w:w="0" w:type="auto"/>
            <w:vAlign w:val="center"/>
            <w:hideMark/>
          </w:tcPr>
          <w:p w14:paraId="2E0A387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75027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4D9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Test turnaround time (TAT)</w:t>
            </w:r>
          </w:p>
        </w:tc>
        <w:tc>
          <w:tcPr>
            <w:tcW w:w="0" w:type="auto"/>
            <w:vAlign w:val="center"/>
            <w:hideMark/>
          </w:tcPr>
          <w:p w14:paraId="0437AF7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Média(tempo resultado − coleta)</w:t>
            </w:r>
          </w:p>
        </w:tc>
        <w:tc>
          <w:tcPr>
            <w:tcW w:w="0" w:type="auto"/>
            <w:vAlign w:val="center"/>
            <w:hideMark/>
          </w:tcPr>
          <w:p w14:paraId="6752F80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7BA80B07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36E300" wp14:editId="5FAF2920">
                <wp:extent cx="5400040" cy="1270"/>
                <wp:effectExtent l="0" t="31750" r="0" b="36830"/>
                <wp:docPr id="275483085" name="Retângulo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5B5DC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8BC0DB1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H) Saúde da População &amp; Equidade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3893"/>
        <w:gridCol w:w="1681"/>
      </w:tblGrid>
      <w:tr w:rsidR="00C87317" w:rsidRPr="00C87317" w14:paraId="37DC5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62CC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7D069F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017D1D5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6447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0BF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utilização por faixa socioeconômica</w:t>
            </w:r>
          </w:p>
        </w:tc>
        <w:tc>
          <w:tcPr>
            <w:tcW w:w="0" w:type="auto"/>
            <w:vAlign w:val="center"/>
            <w:hideMark/>
          </w:tcPr>
          <w:p w14:paraId="5D1907A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(Atendimentos grupo ÷ população do grupo) ×1000</w:t>
            </w:r>
          </w:p>
        </w:tc>
        <w:tc>
          <w:tcPr>
            <w:tcW w:w="0" w:type="auto"/>
            <w:vAlign w:val="center"/>
            <w:hideMark/>
          </w:tcPr>
          <w:p w14:paraId="2447745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  <w:tr w:rsidR="00C87317" w:rsidRPr="00C87317" w14:paraId="59EC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BF0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Cobertura vacinal por subgrupo</w:t>
            </w:r>
          </w:p>
        </w:tc>
        <w:tc>
          <w:tcPr>
            <w:tcW w:w="0" w:type="auto"/>
            <w:vAlign w:val="center"/>
            <w:hideMark/>
          </w:tcPr>
          <w:p w14:paraId="10E2DD1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(Vacinados no subgrupo ÷ população alvo subgrupo) ×100</w:t>
            </w:r>
          </w:p>
        </w:tc>
        <w:tc>
          <w:tcPr>
            <w:tcW w:w="0" w:type="auto"/>
            <w:vAlign w:val="center"/>
            <w:hideMark/>
          </w:tcPr>
          <w:p w14:paraId="6A47A75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  <w:tr w:rsidR="00C87317" w:rsidRPr="00C87317" w14:paraId="06394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BA2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Índice de acesso geográfico</w:t>
            </w:r>
          </w:p>
        </w:tc>
        <w:tc>
          <w:tcPr>
            <w:tcW w:w="0" w:type="auto"/>
            <w:vAlign w:val="center"/>
            <w:hideMark/>
          </w:tcPr>
          <w:p w14:paraId="0A32D20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Média(tempo viagem até unidade) ou % população dentro de X km</w:t>
            </w:r>
          </w:p>
        </w:tc>
        <w:tc>
          <w:tcPr>
            <w:tcW w:w="0" w:type="auto"/>
            <w:vAlign w:val="center"/>
            <w:hideMark/>
          </w:tcPr>
          <w:p w14:paraId="5AAEFD5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 / Planejamento</w:t>
            </w:r>
          </w:p>
        </w:tc>
      </w:tr>
      <w:tr w:rsidR="00C87317" w:rsidRPr="00C87317" w14:paraId="05A1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CFE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Desigualdade de atendimento (ratio)</w:t>
            </w:r>
          </w:p>
        </w:tc>
        <w:tc>
          <w:tcPr>
            <w:tcW w:w="0" w:type="auto"/>
            <w:vAlign w:val="center"/>
            <w:hideMark/>
          </w:tcPr>
          <w:p w14:paraId="6E94DE9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utilização grupo A ÷ grupo B</w:t>
            </w:r>
          </w:p>
        </w:tc>
        <w:tc>
          <w:tcPr>
            <w:tcW w:w="0" w:type="auto"/>
            <w:vAlign w:val="center"/>
            <w:hideMark/>
          </w:tcPr>
          <w:p w14:paraId="602BA68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</w:t>
            </w:r>
          </w:p>
        </w:tc>
      </w:tr>
    </w:tbl>
    <w:p w14:paraId="271848B9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C99E52" wp14:editId="1ACB86A2">
                <wp:extent cx="5400040" cy="1270"/>
                <wp:effectExtent l="0" t="31750" r="0" b="36830"/>
                <wp:docPr id="1558549399" name="Retângulo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44CE1" id="Retângulos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9AAAE75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I) Indicadores de TI, Dados e Interoperabilidade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4139"/>
        <w:gridCol w:w="1193"/>
      </w:tblGrid>
      <w:tr w:rsidR="00C87317" w:rsidRPr="00C87317" w14:paraId="43EB8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3A2C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4B7C7A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5973A0C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6E71B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06D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Disponibilidade do sistema (Uptime)</w:t>
            </w:r>
          </w:p>
        </w:tc>
        <w:tc>
          <w:tcPr>
            <w:tcW w:w="0" w:type="auto"/>
            <w:vAlign w:val="center"/>
            <w:hideMark/>
          </w:tcPr>
          <w:p w14:paraId="2D16F27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(Tempo disponível ÷ tempo total) ×100</w:t>
            </w:r>
          </w:p>
        </w:tc>
        <w:tc>
          <w:tcPr>
            <w:tcW w:w="0" w:type="auto"/>
            <w:vAlign w:val="center"/>
            <w:hideMark/>
          </w:tcPr>
          <w:p w14:paraId="6460BE4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65F6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99A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MTTR (mean time to repair)</w:t>
            </w:r>
          </w:p>
        </w:tc>
        <w:tc>
          <w:tcPr>
            <w:tcW w:w="0" w:type="auto"/>
            <w:vAlign w:val="center"/>
            <w:hideMark/>
          </w:tcPr>
          <w:p w14:paraId="2CA3FDB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Soma tempos de reparo ÷ nº incidentes</w:t>
            </w:r>
          </w:p>
        </w:tc>
        <w:tc>
          <w:tcPr>
            <w:tcW w:w="0" w:type="auto"/>
            <w:vAlign w:val="center"/>
            <w:hideMark/>
          </w:tcPr>
          <w:p w14:paraId="2A49A2C9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0D29B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A7C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sucesso de troca (interoperabilidade)</w:t>
            </w:r>
          </w:p>
        </w:tc>
        <w:tc>
          <w:tcPr>
            <w:tcW w:w="0" w:type="auto"/>
            <w:vAlign w:val="center"/>
            <w:hideMark/>
          </w:tcPr>
          <w:p w14:paraId="098800A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(Exchanges bem-sucedidas ÷ tentativas) ×100</w:t>
            </w:r>
          </w:p>
        </w:tc>
        <w:tc>
          <w:tcPr>
            <w:tcW w:w="0" w:type="auto"/>
            <w:vAlign w:val="center"/>
            <w:hideMark/>
          </w:tcPr>
          <w:p w14:paraId="418E5A4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6A0E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F54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Completude dos dados</w:t>
            </w:r>
          </w:p>
        </w:tc>
        <w:tc>
          <w:tcPr>
            <w:tcW w:w="0" w:type="auto"/>
            <w:vAlign w:val="center"/>
            <w:hideMark/>
          </w:tcPr>
          <w:p w14:paraId="07E747A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(Campos obrigatórios preenchidos ÷ campos obrigatórios esperados) ×100</w:t>
            </w:r>
          </w:p>
        </w:tc>
        <w:tc>
          <w:tcPr>
            <w:tcW w:w="0" w:type="auto"/>
            <w:vAlign w:val="center"/>
            <w:hideMark/>
          </w:tcPr>
          <w:p w14:paraId="4EB3FD7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04FD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4FE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Latência média de integração</w:t>
            </w:r>
          </w:p>
        </w:tc>
        <w:tc>
          <w:tcPr>
            <w:tcW w:w="0" w:type="auto"/>
            <w:vAlign w:val="center"/>
            <w:hideMark/>
          </w:tcPr>
          <w:p w14:paraId="0C5C5E1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Tempo médio de resposta APIs</w:t>
            </w:r>
          </w:p>
        </w:tc>
        <w:tc>
          <w:tcPr>
            <w:tcW w:w="0" w:type="auto"/>
            <w:vAlign w:val="center"/>
            <w:hideMark/>
          </w:tcPr>
          <w:p w14:paraId="4E9353A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70C3A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C12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Taxa de reconciliação e-SUS</w:t>
            </w:r>
          </w:p>
        </w:tc>
        <w:tc>
          <w:tcPr>
            <w:tcW w:w="0" w:type="auto"/>
            <w:vAlign w:val="center"/>
            <w:hideMark/>
          </w:tcPr>
          <w:p w14:paraId="037138B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(Registros importados com sucesso ÷ tentativas importadas) ×100</w:t>
            </w:r>
          </w:p>
        </w:tc>
        <w:tc>
          <w:tcPr>
            <w:tcW w:w="0" w:type="auto"/>
            <w:vAlign w:val="center"/>
            <w:hideMark/>
          </w:tcPr>
          <w:p w14:paraId="299914E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APS / Todos</w:t>
            </w:r>
          </w:p>
        </w:tc>
      </w:tr>
    </w:tbl>
    <w:p w14:paraId="1E0FC9C8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F8BC56" wp14:editId="3D5DEDA8">
                <wp:extent cx="5400040" cy="1270"/>
                <wp:effectExtent l="0" t="31750" r="0" b="36830"/>
                <wp:docPr id="1834004776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5F658" id="Retângulos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EBCCF67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J) Sustentabilidade &amp; Infraestrutura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4225"/>
        <w:gridCol w:w="1089"/>
      </w:tblGrid>
      <w:tr w:rsidR="00C87317" w:rsidRPr="00C87317" w14:paraId="3EB97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D82C7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03ED66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65B3D32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5D9A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7FA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Consumo energético por m²</w:t>
            </w:r>
          </w:p>
        </w:tc>
        <w:tc>
          <w:tcPr>
            <w:tcW w:w="0" w:type="auto"/>
            <w:vAlign w:val="center"/>
            <w:hideMark/>
          </w:tcPr>
          <w:p w14:paraId="179532F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kWh consumidos ÷ área (m²)</w:t>
            </w:r>
          </w:p>
        </w:tc>
        <w:tc>
          <w:tcPr>
            <w:tcW w:w="0" w:type="auto"/>
            <w:vAlign w:val="center"/>
            <w:hideMark/>
          </w:tcPr>
          <w:p w14:paraId="51D1183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1D59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1C3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Consumo energético por paciente</w:t>
            </w:r>
          </w:p>
        </w:tc>
        <w:tc>
          <w:tcPr>
            <w:tcW w:w="0" w:type="auto"/>
            <w:vAlign w:val="center"/>
            <w:hideMark/>
          </w:tcPr>
          <w:p w14:paraId="2EAFFE7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kWh ÷ patient-days</w:t>
            </w:r>
          </w:p>
        </w:tc>
        <w:tc>
          <w:tcPr>
            <w:tcW w:w="0" w:type="auto"/>
            <w:vAlign w:val="center"/>
            <w:hideMark/>
          </w:tcPr>
          <w:p w14:paraId="30C1FED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590F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07C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Emissões estimadas / paciente (proxy)</w:t>
            </w:r>
          </w:p>
        </w:tc>
        <w:tc>
          <w:tcPr>
            <w:tcW w:w="0" w:type="auto"/>
            <w:vAlign w:val="center"/>
            <w:hideMark/>
          </w:tcPr>
          <w:p w14:paraId="5403CF4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(Energia × fator emissões) ÷ patient-days</w:t>
            </w:r>
          </w:p>
        </w:tc>
        <w:tc>
          <w:tcPr>
            <w:tcW w:w="0" w:type="auto"/>
            <w:vAlign w:val="center"/>
            <w:hideMark/>
          </w:tcPr>
          <w:p w14:paraId="3134FE5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261B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A36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Uptime de equipamentos críticos (%)</w:t>
            </w:r>
          </w:p>
        </w:tc>
        <w:tc>
          <w:tcPr>
            <w:tcW w:w="0" w:type="auto"/>
            <w:vAlign w:val="center"/>
            <w:hideMark/>
          </w:tcPr>
          <w:p w14:paraId="7BE0A25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(Tempo disponível equipamento ÷ tempo total) ×100</w:t>
            </w:r>
          </w:p>
        </w:tc>
        <w:tc>
          <w:tcPr>
            <w:tcW w:w="0" w:type="auto"/>
            <w:vAlign w:val="center"/>
            <w:hideMark/>
          </w:tcPr>
          <w:p w14:paraId="73BFF4B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Hospital</w:t>
            </w:r>
          </w:p>
        </w:tc>
      </w:tr>
    </w:tbl>
    <w:p w14:paraId="13365460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732BA2" wp14:editId="785DCB60">
                <wp:extent cx="5400040" cy="1270"/>
                <wp:effectExtent l="0" t="31750" r="0" b="36830"/>
                <wp:docPr id="1845687939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7CC4F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64F8F7D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K) Modelos Preditivos &amp; Métricas de Performance dos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3888"/>
        <w:gridCol w:w="2029"/>
      </w:tblGrid>
      <w:tr w:rsidR="00C87317" w:rsidRPr="00C87317" w14:paraId="15918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731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48D356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584621F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7302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0CE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MAPE (forecast error)</w:t>
            </w:r>
          </w:p>
        </w:tc>
        <w:tc>
          <w:tcPr>
            <w:tcW w:w="0" w:type="auto"/>
            <w:vAlign w:val="center"/>
            <w:hideMark/>
          </w:tcPr>
          <w:p w14:paraId="490364A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(1/n) Σ</w:t>
            </w:r>
          </w:p>
        </w:tc>
        <w:tc>
          <w:tcPr>
            <w:tcW w:w="0" w:type="auto"/>
            <w:vAlign w:val="center"/>
            <w:hideMark/>
          </w:tcPr>
          <w:p w14:paraId="2238AAF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(At-Ft)/At</w:t>
            </w:r>
          </w:p>
        </w:tc>
      </w:tr>
      <w:tr w:rsidR="00C87317" w:rsidRPr="00C87317" w14:paraId="721B9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51B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AUC ROC (classificação)</w:t>
            </w:r>
          </w:p>
        </w:tc>
        <w:tc>
          <w:tcPr>
            <w:tcW w:w="0" w:type="auto"/>
            <w:vAlign w:val="center"/>
            <w:hideMark/>
          </w:tcPr>
          <w:p w14:paraId="6A279DE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Área sob curva ROC do modelo preditivo</w:t>
            </w:r>
          </w:p>
        </w:tc>
        <w:tc>
          <w:tcPr>
            <w:tcW w:w="0" w:type="auto"/>
            <w:vAlign w:val="center"/>
            <w:hideMark/>
          </w:tcPr>
          <w:p w14:paraId="0CE2C13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 (modelos clínicos)</w:t>
            </w:r>
          </w:p>
        </w:tc>
      </w:tr>
      <w:tr w:rsidR="00C87317" w:rsidRPr="00C87317" w14:paraId="3F06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FD9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Precisão / Sensibilidade / Recall</w:t>
            </w:r>
          </w:p>
        </w:tc>
        <w:tc>
          <w:tcPr>
            <w:tcW w:w="0" w:type="auto"/>
            <w:vAlign w:val="center"/>
            <w:hideMark/>
          </w:tcPr>
          <w:p w14:paraId="150A42A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TP/(TP+FP), TP/(TP+FN) etc.</w:t>
            </w:r>
          </w:p>
        </w:tc>
        <w:tc>
          <w:tcPr>
            <w:tcW w:w="0" w:type="auto"/>
            <w:vAlign w:val="center"/>
            <w:hideMark/>
          </w:tcPr>
          <w:p w14:paraId="45AAA846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3FB5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8FCD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Calibração do modelo</w:t>
            </w:r>
          </w:p>
        </w:tc>
        <w:tc>
          <w:tcPr>
            <w:tcW w:w="0" w:type="auto"/>
            <w:vAlign w:val="center"/>
            <w:hideMark/>
          </w:tcPr>
          <w:p w14:paraId="7F0FA36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Plots/Índice de calibração (ex.: Brier score)</w:t>
            </w:r>
          </w:p>
        </w:tc>
        <w:tc>
          <w:tcPr>
            <w:tcW w:w="0" w:type="auto"/>
            <w:vAlign w:val="center"/>
            <w:hideMark/>
          </w:tcPr>
          <w:p w14:paraId="15FDABD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48D4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917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Coverage / confiança interval</w:t>
            </w:r>
          </w:p>
        </w:tc>
        <w:tc>
          <w:tcPr>
            <w:tcW w:w="0" w:type="auto"/>
            <w:vAlign w:val="center"/>
            <w:hideMark/>
          </w:tcPr>
          <w:p w14:paraId="46C8417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% previsões com intervalo de confiança correto</w:t>
            </w:r>
          </w:p>
        </w:tc>
        <w:tc>
          <w:tcPr>
            <w:tcW w:w="0" w:type="auto"/>
            <w:vAlign w:val="center"/>
            <w:hideMark/>
          </w:tcPr>
          <w:p w14:paraId="0B83580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57E65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5B1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Economia prevista vs real</w:t>
            </w:r>
          </w:p>
        </w:tc>
        <w:tc>
          <w:tcPr>
            <w:tcW w:w="0" w:type="auto"/>
            <w:vAlign w:val="center"/>
            <w:hideMark/>
          </w:tcPr>
          <w:p w14:paraId="001E638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Economia prevista pelo modelo − economia realizada</w:t>
            </w:r>
          </w:p>
        </w:tc>
        <w:tc>
          <w:tcPr>
            <w:tcW w:w="0" w:type="auto"/>
            <w:vAlign w:val="center"/>
            <w:hideMark/>
          </w:tcPr>
          <w:p w14:paraId="28DD9693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3BE66D53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5026CC" wp14:editId="3AED42CA">
                <wp:extent cx="5400040" cy="1270"/>
                <wp:effectExtent l="0" t="31750" r="0" b="36830"/>
                <wp:docPr id="719427620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CF853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1FCD582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L) Indicadores Estratégicos / Valor e Governança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4243"/>
        <w:gridCol w:w="1089"/>
      </w:tblGrid>
      <w:tr w:rsidR="00C87317" w:rsidRPr="00C87317" w14:paraId="14C66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7933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0F7D7FB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Fórmula / Definição</w:t>
            </w:r>
          </w:p>
        </w:tc>
        <w:tc>
          <w:tcPr>
            <w:tcW w:w="0" w:type="auto"/>
            <w:vAlign w:val="center"/>
            <w:hideMark/>
          </w:tcPr>
          <w:p w14:paraId="6F25B61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C87317" w:rsidRPr="00C87317" w14:paraId="2BE4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971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KPI attainment rate</w:t>
            </w:r>
          </w:p>
        </w:tc>
        <w:tc>
          <w:tcPr>
            <w:tcW w:w="0" w:type="auto"/>
            <w:vAlign w:val="center"/>
            <w:hideMark/>
          </w:tcPr>
          <w:p w14:paraId="3155571F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(KPIs atingidos ÷ KPIs definidos) ×100</w:t>
            </w:r>
          </w:p>
        </w:tc>
        <w:tc>
          <w:tcPr>
            <w:tcW w:w="0" w:type="auto"/>
            <w:vAlign w:val="center"/>
            <w:hideMark/>
          </w:tcPr>
          <w:p w14:paraId="31FC01FA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0DF7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0C7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Forecast accuracy (serviços/receita)</w:t>
            </w:r>
          </w:p>
        </w:tc>
        <w:tc>
          <w:tcPr>
            <w:tcW w:w="0" w:type="auto"/>
            <w:vAlign w:val="center"/>
            <w:hideMark/>
          </w:tcPr>
          <w:p w14:paraId="59EF2CD1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1 − MAPE ou similar</w:t>
            </w:r>
          </w:p>
        </w:tc>
        <w:tc>
          <w:tcPr>
            <w:tcW w:w="0" w:type="auto"/>
            <w:vAlign w:val="center"/>
            <w:hideMark/>
          </w:tcPr>
          <w:p w14:paraId="47972F1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27DD5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030C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ROI de iniciativas (ex.: telehealth)</w:t>
            </w:r>
          </w:p>
        </w:tc>
        <w:tc>
          <w:tcPr>
            <w:tcW w:w="0" w:type="auto"/>
            <w:vAlign w:val="center"/>
            <w:hideMark/>
          </w:tcPr>
          <w:p w14:paraId="0CF4D64E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(Benefícios monetários − custo iniciativa) ÷ custo iniciativa ×100</w:t>
            </w:r>
          </w:p>
        </w:tc>
        <w:tc>
          <w:tcPr>
            <w:tcW w:w="0" w:type="auto"/>
            <w:vAlign w:val="center"/>
            <w:hideMark/>
          </w:tcPr>
          <w:p w14:paraId="27CE13E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49196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B98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Backlog clearance rate</w:t>
            </w:r>
          </w:p>
        </w:tc>
        <w:tc>
          <w:tcPr>
            <w:tcW w:w="0" w:type="auto"/>
            <w:vAlign w:val="center"/>
            <w:hideMark/>
          </w:tcPr>
          <w:p w14:paraId="609C1EF2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(Casos backlog processados ÷ backlog inicial) ×100</w:t>
            </w:r>
          </w:p>
        </w:tc>
        <w:tc>
          <w:tcPr>
            <w:tcW w:w="0" w:type="auto"/>
            <w:vAlign w:val="center"/>
            <w:hideMark/>
          </w:tcPr>
          <w:p w14:paraId="605C1EE0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  <w:tr w:rsidR="00C87317" w:rsidRPr="00C87317" w14:paraId="1415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B8D4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Índice de segurança/qualidade composto</w:t>
            </w:r>
          </w:p>
        </w:tc>
        <w:tc>
          <w:tcPr>
            <w:tcW w:w="0" w:type="auto"/>
            <w:vAlign w:val="center"/>
            <w:hideMark/>
          </w:tcPr>
          <w:p w14:paraId="68E47FC5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Agregação ponderada de indicadores-chave</w:t>
            </w:r>
          </w:p>
        </w:tc>
        <w:tc>
          <w:tcPr>
            <w:tcW w:w="0" w:type="auto"/>
            <w:vAlign w:val="center"/>
            <w:hideMark/>
          </w:tcPr>
          <w:p w14:paraId="210691D8" w14:textId="77777777" w:rsidR="00C87317" w:rsidRPr="00C87317" w:rsidRDefault="00C87317" w:rsidP="00C873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317">
              <w:rPr>
                <w:rFonts w:ascii="Times New Roman" w:hAnsi="Times New Roman" w:cs="Times New Roman"/>
                <w:kern w:val="0"/>
                <w14:ligatures w14:val="none"/>
              </w:rPr>
              <w:t>Todos</w:t>
            </w:r>
          </w:p>
        </w:tc>
      </w:tr>
    </w:tbl>
    <w:p w14:paraId="2278EE02" w14:textId="77777777" w:rsidR="00C87317" w:rsidRPr="00C87317" w:rsidRDefault="00C87317" w:rsidP="00C873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2821B0" wp14:editId="0DA142C5">
                <wp:extent cx="5400040" cy="1270"/>
                <wp:effectExtent l="0" t="31750" r="0" b="36830"/>
                <wp:docPr id="410425371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B23F2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44F9167" w14:textId="77777777" w:rsidR="00C87317" w:rsidRPr="00C87317" w:rsidRDefault="00C87317" w:rsidP="00C8731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Observações técnicas rápidas para o desenvolvedor</w:t>
      </w:r>
    </w:p>
    <w:p w14:paraId="4B89EB9E" w14:textId="77777777" w:rsidR="00C87317" w:rsidRPr="00C87317" w:rsidRDefault="00C87317" w:rsidP="00C8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hAnsi="Times New Roman" w:cs="Times New Roman"/>
          <w:kern w:val="0"/>
          <w14:ligatures w14:val="none"/>
        </w:rPr>
        <w:t>Definir denominadores padronizados (p.ex. patient-days, admissions, encounters) no dicionário de dados.</w:t>
      </w:r>
    </w:p>
    <w:p w14:paraId="0520E604" w14:textId="77777777" w:rsidR="00C87317" w:rsidRPr="00C87317" w:rsidRDefault="00C87317" w:rsidP="00C8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hAnsi="Times New Roman" w:cs="Times New Roman"/>
          <w:kern w:val="0"/>
          <w14:ligatures w14:val="none"/>
        </w:rPr>
        <w:t>Implementar série temporal (dia/semana/mês) para todos os indicadores que permitam tendências e sazonalidade.</w:t>
      </w:r>
    </w:p>
    <w:p w14:paraId="5A24E438" w14:textId="77777777" w:rsidR="00C87317" w:rsidRPr="00C87317" w:rsidRDefault="00C87317" w:rsidP="00C8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hAnsi="Times New Roman" w:cs="Times New Roman"/>
          <w:kern w:val="0"/>
          <w14:ligatures w14:val="none"/>
        </w:rPr>
        <w:t>Permitir ajuste por janela móvel (rolling 7/30/90 dias) e padronização por população atendida.</w:t>
      </w:r>
    </w:p>
    <w:p w14:paraId="54541E18" w14:textId="77777777" w:rsidR="00C87317" w:rsidRPr="00C87317" w:rsidRDefault="00C87317" w:rsidP="00C8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hAnsi="Times New Roman" w:cs="Times New Roman"/>
          <w:kern w:val="0"/>
          <w14:ligatures w14:val="none"/>
        </w:rPr>
        <w:lastRenderedPageBreak/>
        <w:t>Incluir flags de qualidade de dado (completude / validade) para sinalizar quando um indicador não é confiável.</w:t>
      </w:r>
    </w:p>
    <w:p w14:paraId="3A13722F" w14:textId="77777777" w:rsidR="00C87317" w:rsidRPr="00C87317" w:rsidRDefault="00C87317" w:rsidP="00C8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317">
        <w:rPr>
          <w:rFonts w:ascii="Times New Roman" w:hAnsi="Times New Roman" w:cs="Times New Roman"/>
          <w:kern w:val="0"/>
          <w14:ligatures w14:val="none"/>
        </w:rPr>
        <w:t>Para métricas ajustadas por risco (SMR, readmissão ajustada), integrar modelos de risco (logístico ou similar) e armazenar variáveis de predição para auditoria.</w:t>
      </w:r>
    </w:p>
    <w:p w14:paraId="17104B65" w14:textId="77777777" w:rsidR="00C87317" w:rsidRPr="00C87317" w:rsidRDefault="00C87317" w:rsidP="00C87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3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8B2D45" wp14:editId="3C54A8A0">
                <wp:extent cx="5400040" cy="1270"/>
                <wp:effectExtent l="0" t="31750" r="0" b="36830"/>
                <wp:docPr id="1215266316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61FBF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7EB35D2" w14:textId="77777777" w:rsidR="004D17F0" w:rsidRDefault="004D17F0"/>
    <w:sectPr w:rsidR="004D1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232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F0"/>
    <w:rsid w:val="004D17F0"/>
    <w:rsid w:val="00C34BA7"/>
    <w:rsid w:val="00C8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77093B"/>
  <w15:chartTrackingRefBased/>
  <w15:docId w15:val="{B901D006-1241-DA49-8438-12163778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D1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1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1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1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17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1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17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1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1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17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7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17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17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17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D17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4D17F0"/>
  </w:style>
  <w:style w:type="character" w:customStyle="1" w:styleId="s2">
    <w:name w:val="s2"/>
    <w:basedOn w:val="Fontepargpadro"/>
    <w:rsid w:val="004D17F0"/>
  </w:style>
  <w:style w:type="paragraph" w:customStyle="1" w:styleId="p2">
    <w:name w:val="p2"/>
    <w:basedOn w:val="Normal"/>
    <w:rsid w:val="004D17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ontepargpadro"/>
    <w:rsid w:val="004D17F0"/>
  </w:style>
  <w:style w:type="paragraph" w:customStyle="1" w:styleId="p3">
    <w:name w:val="p3"/>
    <w:basedOn w:val="Normal"/>
    <w:rsid w:val="004D17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2016</Words>
  <Characters>10892</Characters>
  <Application>Microsoft Office Word</Application>
  <DocSecurity>0</DocSecurity>
  <Lines>90</Lines>
  <Paragraphs>25</Paragraphs>
  <ScaleCrop>false</ScaleCrop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DIAS VANDERLEI CARDOSO</dc:creator>
  <cp:keywords/>
  <dc:description/>
  <cp:lastModifiedBy>PEDRO DIAS VANDERLEI CARDOSO</cp:lastModifiedBy>
  <cp:revision>2</cp:revision>
  <dcterms:created xsi:type="dcterms:W3CDTF">2025-09-19T14:32:00Z</dcterms:created>
  <dcterms:modified xsi:type="dcterms:W3CDTF">2025-09-19T14:32:00Z</dcterms:modified>
</cp:coreProperties>
</file>