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1C" w:rsidRDefault="0041126E">
      <w:pPr>
        <w:rPr>
          <w:sz w:val="28"/>
        </w:rPr>
      </w:pPr>
      <w:r w:rsidRPr="0041126E">
        <w:rPr>
          <w:sz w:val="28"/>
        </w:rPr>
        <w:t xml:space="preserve">Risiko-Analyse und Vorgehensweise im Krisenfall </w:t>
      </w:r>
      <w:r w:rsidR="009802B9">
        <w:rPr>
          <w:sz w:val="28"/>
        </w:rPr>
        <w:t>beim Einsatz des</w:t>
      </w:r>
      <w:r w:rsidRPr="0041126E">
        <w:rPr>
          <w:sz w:val="28"/>
        </w:rPr>
        <w:t xml:space="preserve"> </w:t>
      </w:r>
      <w:r w:rsidR="00E72968">
        <w:rPr>
          <w:sz w:val="28"/>
        </w:rPr>
        <w:t>ShireEyes</w:t>
      </w:r>
      <w:bookmarkStart w:id="0" w:name="_GoBack"/>
      <w:bookmarkEnd w:id="0"/>
      <w:r w:rsidRPr="0041126E">
        <w:rPr>
          <w:sz w:val="28"/>
        </w:rPr>
        <w:t xml:space="preserve"> von Shiretech Inc.</w:t>
      </w:r>
    </w:p>
    <w:p w:rsidR="0041126E" w:rsidRPr="00AB1BC8" w:rsidRDefault="00BF4241">
      <w:pPr>
        <w:rPr>
          <w:sz w:val="24"/>
        </w:rPr>
      </w:pPr>
      <w:r w:rsidRPr="00AB1BC8">
        <w:rPr>
          <w:sz w:val="24"/>
        </w:rPr>
        <w:t>Definition Schadensklassen:</w:t>
      </w:r>
    </w:p>
    <w:tbl>
      <w:tblPr>
        <w:tblStyle w:val="Tabellenraster"/>
        <w:tblW w:w="9496" w:type="dxa"/>
        <w:tblLook w:val="04A0" w:firstRow="1" w:lastRow="0" w:firstColumn="1" w:lastColumn="0" w:noHBand="0" w:noVBand="1"/>
      </w:tblPr>
      <w:tblGrid>
        <w:gridCol w:w="1596"/>
        <w:gridCol w:w="2085"/>
        <w:gridCol w:w="2126"/>
        <w:gridCol w:w="3689"/>
      </w:tblGrid>
      <w:tr w:rsidR="00BF4241" w:rsidTr="00BF4241">
        <w:trPr>
          <w:trHeight w:val="503"/>
        </w:trPr>
        <w:tc>
          <w:tcPr>
            <w:tcW w:w="1596" w:type="dxa"/>
            <w:vAlign w:val="center"/>
          </w:tcPr>
          <w:p w:rsidR="00BF4241" w:rsidRDefault="00BF4241" w:rsidP="00BF4241">
            <w:pPr>
              <w:jc w:val="center"/>
            </w:pPr>
            <w:r>
              <w:t>Schadensklasse</w:t>
            </w:r>
          </w:p>
        </w:tc>
        <w:tc>
          <w:tcPr>
            <w:tcW w:w="2085" w:type="dxa"/>
            <w:vAlign w:val="center"/>
          </w:tcPr>
          <w:p w:rsidR="00BF4241" w:rsidRDefault="00BF4241" w:rsidP="00BF4241">
            <w:pPr>
              <w:jc w:val="center"/>
            </w:pPr>
            <w:r>
              <w:t>Finanzieller Schaden</w:t>
            </w:r>
          </w:p>
        </w:tc>
        <w:tc>
          <w:tcPr>
            <w:tcW w:w="2126" w:type="dxa"/>
            <w:vAlign w:val="center"/>
          </w:tcPr>
          <w:p w:rsidR="00BF4241" w:rsidRDefault="00BF4241" w:rsidP="00BF4241">
            <w:pPr>
              <w:jc w:val="center"/>
            </w:pPr>
            <w:r>
              <w:t>Ausfall Kernprozesse</w:t>
            </w:r>
          </w:p>
        </w:tc>
        <w:tc>
          <w:tcPr>
            <w:tcW w:w="3689" w:type="dxa"/>
            <w:vAlign w:val="center"/>
          </w:tcPr>
          <w:p w:rsidR="00BF4241" w:rsidRDefault="00BF4241" w:rsidP="00BF4241">
            <w:pPr>
              <w:jc w:val="center"/>
            </w:pPr>
            <w:r>
              <w:t>Reputationsschaden</w:t>
            </w:r>
          </w:p>
        </w:tc>
      </w:tr>
      <w:tr w:rsidR="00BF4241" w:rsidTr="00BF4241">
        <w:trPr>
          <w:trHeight w:val="1019"/>
        </w:trPr>
        <w:tc>
          <w:tcPr>
            <w:tcW w:w="1596" w:type="dxa"/>
            <w:vAlign w:val="center"/>
          </w:tcPr>
          <w:p w:rsidR="00BF4241" w:rsidRDefault="00BF4241" w:rsidP="00BF4241">
            <w:r>
              <w:t>Gering</w:t>
            </w:r>
          </w:p>
        </w:tc>
        <w:tc>
          <w:tcPr>
            <w:tcW w:w="2085" w:type="dxa"/>
            <w:vAlign w:val="center"/>
          </w:tcPr>
          <w:p w:rsidR="00BF4241" w:rsidRDefault="00BF4241" w:rsidP="00BF4241">
            <w:r>
              <w:t>&lt; 5.000€</w:t>
            </w:r>
          </w:p>
        </w:tc>
        <w:tc>
          <w:tcPr>
            <w:tcW w:w="2126" w:type="dxa"/>
            <w:vAlign w:val="center"/>
          </w:tcPr>
          <w:p w:rsidR="00BF4241" w:rsidRDefault="00BF4241" w:rsidP="00BF4241">
            <w:r>
              <w:t>Minimale Verzögerungen (&gt;2h)</w:t>
            </w:r>
          </w:p>
        </w:tc>
        <w:tc>
          <w:tcPr>
            <w:tcW w:w="3689" w:type="dxa"/>
            <w:vAlign w:val="center"/>
          </w:tcPr>
          <w:p w:rsidR="00BF4241" w:rsidRDefault="00BF4241" w:rsidP="00BF4241">
            <w:r>
              <w:t>Vorfall ist nur intern bekannt. Keine Auswirkungen nach außen</w:t>
            </w:r>
          </w:p>
        </w:tc>
      </w:tr>
      <w:tr w:rsidR="00BF4241" w:rsidTr="00BF4241">
        <w:trPr>
          <w:trHeight w:val="503"/>
        </w:trPr>
        <w:tc>
          <w:tcPr>
            <w:tcW w:w="1596" w:type="dxa"/>
            <w:vAlign w:val="center"/>
          </w:tcPr>
          <w:p w:rsidR="00BF4241" w:rsidRDefault="00BF4241" w:rsidP="00BF4241">
            <w:r>
              <w:t>Mittel</w:t>
            </w:r>
          </w:p>
        </w:tc>
        <w:tc>
          <w:tcPr>
            <w:tcW w:w="2085" w:type="dxa"/>
            <w:vAlign w:val="center"/>
          </w:tcPr>
          <w:p w:rsidR="00BF4241" w:rsidRDefault="00BF4241" w:rsidP="00BF4241">
            <w:r>
              <w:t>5.000€ - 20.000€</w:t>
            </w:r>
          </w:p>
        </w:tc>
        <w:tc>
          <w:tcPr>
            <w:tcW w:w="2126" w:type="dxa"/>
            <w:vAlign w:val="center"/>
          </w:tcPr>
          <w:p w:rsidR="00BF4241" w:rsidRDefault="00BF4241" w:rsidP="00BF4241">
            <w:r>
              <w:t>Verzögerungen bis einen Tag</w:t>
            </w:r>
          </w:p>
        </w:tc>
        <w:tc>
          <w:tcPr>
            <w:tcW w:w="3689" w:type="dxa"/>
            <w:vAlign w:val="center"/>
          </w:tcPr>
          <w:p w:rsidR="00BF4241" w:rsidRDefault="00BF4241" w:rsidP="00BF4241">
            <w:r>
              <w:t>Lokale Bekanntheit des Vorfalls</w:t>
            </w:r>
          </w:p>
        </w:tc>
      </w:tr>
      <w:tr w:rsidR="00BF4241" w:rsidTr="00BF4241">
        <w:trPr>
          <w:trHeight w:val="1019"/>
        </w:trPr>
        <w:tc>
          <w:tcPr>
            <w:tcW w:w="1596" w:type="dxa"/>
            <w:vAlign w:val="center"/>
          </w:tcPr>
          <w:p w:rsidR="00BF4241" w:rsidRDefault="00BF4241" w:rsidP="00BF4241">
            <w:r>
              <w:t>Hoch</w:t>
            </w:r>
          </w:p>
        </w:tc>
        <w:tc>
          <w:tcPr>
            <w:tcW w:w="2085" w:type="dxa"/>
            <w:vAlign w:val="center"/>
          </w:tcPr>
          <w:p w:rsidR="00BF4241" w:rsidRDefault="00BF4241" w:rsidP="00BF4241">
            <w:r>
              <w:t>20.000€ - 50.000€</w:t>
            </w:r>
          </w:p>
        </w:tc>
        <w:tc>
          <w:tcPr>
            <w:tcW w:w="2126" w:type="dxa"/>
            <w:vAlign w:val="center"/>
          </w:tcPr>
          <w:p w:rsidR="00BF4241" w:rsidRDefault="00BF4241" w:rsidP="00BF4241">
            <w:r>
              <w:t>Verzögerungen bis zu einer Woche</w:t>
            </w:r>
          </w:p>
        </w:tc>
        <w:tc>
          <w:tcPr>
            <w:tcW w:w="3689" w:type="dxa"/>
            <w:vAlign w:val="center"/>
          </w:tcPr>
          <w:p w:rsidR="00BF4241" w:rsidRDefault="00BF4241" w:rsidP="00BF4241">
            <w:r>
              <w:t>Regionale Bekanntheit des Vorfalls, möglicher Kundenverlust</w:t>
            </w:r>
          </w:p>
        </w:tc>
      </w:tr>
      <w:tr w:rsidR="00BF4241" w:rsidTr="00BF4241">
        <w:trPr>
          <w:trHeight w:val="1019"/>
        </w:trPr>
        <w:tc>
          <w:tcPr>
            <w:tcW w:w="1596" w:type="dxa"/>
            <w:vAlign w:val="center"/>
          </w:tcPr>
          <w:p w:rsidR="00BF4241" w:rsidRDefault="00BF4241" w:rsidP="00BF4241">
            <w:r>
              <w:t>Sehr hoch</w:t>
            </w:r>
          </w:p>
        </w:tc>
        <w:tc>
          <w:tcPr>
            <w:tcW w:w="2085" w:type="dxa"/>
            <w:vAlign w:val="center"/>
          </w:tcPr>
          <w:p w:rsidR="00BF4241" w:rsidRDefault="00BF4241" w:rsidP="00BF4241">
            <w:r>
              <w:t>&gt; 50.000€</w:t>
            </w:r>
          </w:p>
        </w:tc>
        <w:tc>
          <w:tcPr>
            <w:tcW w:w="2126" w:type="dxa"/>
            <w:vAlign w:val="center"/>
          </w:tcPr>
          <w:p w:rsidR="00BF4241" w:rsidRDefault="00BF4241" w:rsidP="00BF4241">
            <w:r>
              <w:t>Termine können nicht eingehalten werden</w:t>
            </w:r>
          </w:p>
        </w:tc>
        <w:tc>
          <w:tcPr>
            <w:tcW w:w="3689" w:type="dxa"/>
            <w:vAlign w:val="center"/>
          </w:tcPr>
          <w:p w:rsidR="00BF4241" w:rsidRDefault="00BF4241" w:rsidP="00BF4241">
            <w:r>
              <w:t>Nationale Bekanntheit des Vorfalls, sicherer Kundenverlust</w:t>
            </w:r>
          </w:p>
        </w:tc>
      </w:tr>
    </w:tbl>
    <w:p w:rsidR="00BF4241" w:rsidRDefault="00BF4241"/>
    <w:p w:rsidR="00BF4241" w:rsidRPr="00AB1BC8" w:rsidRDefault="00BF4241">
      <w:pPr>
        <w:rPr>
          <w:sz w:val="24"/>
        </w:rPr>
      </w:pPr>
      <w:r w:rsidRPr="00AB1BC8">
        <w:rPr>
          <w:sz w:val="24"/>
        </w:rPr>
        <w:t xml:space="preserve">Definition Eintrittswahrscheinlichkeit: </w:t>
      </w:r>
    </w:p>
    <w:tbl>
      <w:tblPr>
        <w:tblStyle w:val="Tabellenraster"/>
        <w:tblW w:w="9523" w:type="dxa"/>
        <w:tblLook w:val="04A0" w:firstRow="1" w:lastRow="0" w:firstColumn="1" w:lastColumn="0" w:noHBand="0" w:noVBand="1"/>
      </w:tblPr>
      <w:tblGrid>
        <w:gridCol w:w="3173"/>
        <w:gridCol w:w="3175"/>
        <w:gridCol w:w="3175"/>
      </w:tblGrid>
      <w:tr w:rsidR="00BF4241" w:rsidTr="00BF4241">
        <w:trPr>
          <w:trHeight w:val="374"/>
        </w:trPr>
        <w:tc>
          <w:tcPr>
            <w:tcW w:w="3173" w:type="dxa"/>
            <w:vAlign w:val="center"/>
          </w:tcPr>
          <w:p w:rsidR="00BF4241" w:rsidRDefault="00BF4241" w:rsidP="00BF4241">
            <w:pPr>
              <w:jc w:val="center"/>
            </w:pPr>
            <w:r>
              <w:t>Eintrittswahrscheinlichkeit</w:t>
            </w:r>
          </w:p>
        </w:tc>
        <w:tc>
          <w:tcPr>
            <w:tcW w:w="3175" w:type="dxa"/>
            <w:vAlign w:val="center"/>
          </w:tcPr>
          <w:p w:rsidR="00BF4241" w:rsidRDefault="00BF4241" w:rsidP="00BF4241">
            <w:pPr>
              <w:jc w:val="center"/>
            </w:pPr>
            <w:r>
              <w:t>Betrachtung Zukunft</w:t>
            </w:r>
          </w:p>
        </w:tc>
        <w:tc>
          <w:tcPr>
            <w:tcW w:w="3175" w:type="dxa"/>
            <w:vAlign w:val="center"/>
          </w:tcPr>
          <w:p w:rsidR="00BF4241" w:rsidRDefault="00BF4241" w:rsidP="00BF4241">
            <w:pPr>
              <w:jc w:val="center"/>
            </w:pPr>
            <w:r>
              <w:t>Bisherige Erfahrungen</w:t>
            </w:r>
          </w:p>
        </w:tc>
      </w:tr>
      <w:tr w:rsidR="00BF4241" w:rsidTr="00BF4241">
        <w:trPr>
          <w:trHeight w:val="729"/>
        </w:trPr>
        <w:tc>
          <w:tcPr>
            <w:tcW w:w="3173" w:type="dxa"/>
            <w:vAlign w:val="center"/>
          </w:tcPr>
          <w:p w:rsidR="00BF4241" w:rsidRDefault="00BF4241" w:rsidP="00BF4241">
            <w:r>
              <w:t>Gering</w:t>
            </w:r>
          </w:p>
        </w:tc>
        <w:tc>
          <w:tcPr>
            <w:tcW w:w="3175" w:type="dxa"/>
            <w:vAlign w:val="center"/>
          </w:tcPr>
          <w:p w:rsidR="00BF4241" w:rsidRDefault="00BF4241" w:rsidP="00BF4241">
            <w:r>
              <w:t>Vorfall frühestens in &gt; 6 Jahren</w:t>
            </w:r>
          </w:p>
        </w:tc>
        <w:tc>
          <w:tcPr>
            <w:tcW w:w="3175" w:type="dxa"/>
            <w:vAlign w:val="center"/>
          </w:tcPr>
          <w:p w:rsidR="00BF4241" w:rsidRDefault="00BF4241" w:rsidP="00BF4241">
            <w:r>
              <w:t>Bisher noch nie / vor über 6 Jahren eingetreten</w:t>
            </w:r>
          </w:p>
        </w:tc>
      </w:tr>
      <w:tr w:rsidR="00BF4241" w:rsidTr="00BF4241">
        <w:trPr>
          <w:trHeight w:val="355"/>
        </w:trPr>
        <w:tc>
          <w:tcPr>
            <w:tcW w:w="3173" w:type="dxa"/>
            <w:vAlign w:val="center"/>
          </w:tcPr>
          <w:p w:rsidR="00BF4241" w:rsidRDefault="00BF4241" w:rsidP="00BF4241">
            <w:r>
              <w:t>Mittel</w:t>
            </w:r>
          </w:p>
        </w:tc>
        <w:tc>
          <w:tcPr>
            <w:tcW w:w="3175" w:type="dxa"/>
            <w:vAlign w:val="center"/>
          </w:tcPr>
          <w:p w:rsidR="00BF4241" w:rsidRDefault="00BF4241" w:rsidP="00BF4241">
            <w:r>
              <w:t>Vorfall in 4 – 6 Jahren</w:t>
            </w:r>
          </w:p>
        </w:tc>
        <w:tc>
          <w:tcPr>
            <w:tcW w:w="3175" w:type="dxa"/>
            <w:vAlign w:val="center"/>
          </w:tcPr>
          <w:p w:rsidR="00BF4241" w:rsidRDefault="00BF4241" w:rsidP="00BF4241">
            <w:r>
              <w:t>Ist vor 4 - 6 Jahren eingetreten</w:t>
            </w:r>
          </w:p>
        </w:tc>
      </w:tr>
      <w:tr w:rsidR="00BF4241" w:rsidTr="00BF4241">
        <w:trPr>
          <w:trHeight w:val="374"/>
        </w:trPr>
        <w:tc>
          <w:tcPr>
            <w:tcW w:w="3173" w:type="dxa"/>
            <w:vAlign w:val="center"/>
          </w:tcPr>
          <w:p w:rsidR="00BF4241" w:rsidRDefault="00BF4241" w:rsidP="00BF4241">
            <w:r>
              <w:t>Hoch</w:t>
            </w:r>
          </w:p>
        </w:tc>
        <w:tc>
          <w:tcPr>
            <w:tcW w:w="3175" w:type="dxa"/>
            <w:vAlign w:val="center"/>
          </w:tcPr>
          <w:p w:rsidR="00BF4241" w:rsidRDefault="00BF4241" w:rsidP="00BF4241">
            <w:r>
              <w:t>Vorfall in 1 – 3 Jahren</w:t>
            </w:r>
          </w:p>
        </w:tc>
        <w:tc>
          <w:tcPr>
            <w:tcW w:w="3175" w:type="dxa"/>
            <w:vAlign w:val="center"/>
          </w:tcPr>
          <w:p w:rsidR="00BF4241" w:rsidRDefault="00BF4241" w:rsidP="00BF4241">
            <w:r>
              <w:t>Ist vor 1 - 3 Jahren eingetreten</w:t>
            </w:r>
          </w:p>
        </w:tc>
      </w:tr>
      <w:tr w:rsidR="00BF4241" w:rsidTr="00BF4241">
        <w:trPr>
          <w:trHeight w:val="355"/>
        </w:trPr>
        <w:tc>
          <w:tcPr>
            <w:tcW w:w="3173" w:type="dxa"/>
            <w:vAlign w:val="center"/>
          </w:tcPr>
          <w:p w:rsidR="00BF4241" w:rsidRDefault="00BF4241" w:rsidP="00BF4241">
            <w:r>
              <w:t>Sehr hoch</w:t>
            </w:r>
          </w:p>
        </w:tc>
        <w:tc>
          <w:tcPr>
            <w:tcW w:w="3175" w:type="dxa"/>
            <w:vAlign w:val="center"/>
          </w:tcPr>
          <w:p w:rsidR="00BF4241" w:rsidRDefault="00BF4241" w:rsidP="00BF4241">
            <w:r>
              <w:t>Vorfall in &lt;1 Jahr</w:t>
            </w:r>
          </w:p>
        </w:tc>
        <w:tc>
          <w:tcPr>
            <w:tcW w:w="3175" w:type="dxa"/>
            <w:vAlign w:val="center"/>
          </w:tcPr>
          <w:p w:rsidR="00BF4241" w:rsidRDefault="00BF4241" w:rsidP="00BF4241">
            <w:r>
              <w:t>Ist im letzten Jahr eingetreten</w:t>
            </w:r>
          </w:p>
        </w:tc>
      </w:tr>
    </w:tbl>
    <w:p w:rsidR="00BF4241" w:rsidRPr="00AB1BC8" w:rsidRDefault="00BF4241">
      <w:pPr>
        <w:rPr>
          <w:sz w:val="24"/>
        </w:rPr>
      </w:pPr>
    </w:p>
    <w:p w:rsidR="00DF22E7" w:rsidRDefault="00DF22E7">
      <w:pPr>
        <w:rPr>
          <w:sz w:val="24"/>
        </w:rPr>
      </w:pPr>
      <w:r>
        <w:rPr>
          <w:sz w:val="24"/>
        </w:rPr>
        <w:t>Risikoklassen nach der Risikomatrix:</w:t>
      </w:r>
    </w:p>
    <w:p w:rsidR="00DF22E7" w:rsidRPr="00DF22E7" w:rsidRDefault="00DF22E7">
      <w:r w:rsidRPr="00DF22E7">
        <w:t>Geringe Risiken (&lt; 4): Benötigen keine weiteren Maßnahmen.</w:t>
      </w:r>
    </w:p>
    <w:p w:rsidR="00DF22E7" w:rsidRPr="00DF22E7" w:rsidRDefault="00DF22E7">
      <w:r w:rsidRPr="00DF22E7">
        <w:t>Mittlere Risiken (4 – 8): Benötigen vorige Genehmigung durch übergeordnete Stelle.</w:t>
      </w:r>
    </w:p>
    <w:p w:rsidR="00DF22E7" w:rsidRPr="00DF22E7" w:rsidRDefault="00DF22E7">
      <w:r w:rsidRPr="00DF22E7">
        <w:t>Hohe Risiken (&gt; 8): Benötigt Risikobehandlung und Genehmigung durch die Geschäftsleitung.</w:t>
      </w:r>
    </w:p>
    <w:p w:rsidR="00DF22E7" w:rsidRDefault="00DF22E7">
      <w:pPr>
        <w:rPr>
          <w:sz w:val="24"/>
        </w:rPr>
      </w:pPr>
      <w:r>
        <w:rPr>
          <w:sz w:val="24"/>
        </w:rPr>
        <w:br w:type="page"/>
      </w:r>
    </w:p>
    <w:p w:rsidR="00BF4241" w:rsidRPr="00AB1BC8" w:rsidRDefault="00BF4241">
      <w:pPr>
        <w:rPr>
          <w:sz w:val="24"/>
        </w:rPr>
      </w:pPr>
      <w:r w:rsidRPr="00AB1BC8">
        <w:rPr>
          <w:sz w:val="24"/>
        </w:rPr>
        <w:lastRenderedPageBreak/>
        <w:t>Risikomatrix:</w:t>
      </w:r>
    </w:p>
    <w:tbl>
      <w:tblPr>
        <w:tblStyle w:val="Tabellenraster"/>
        <w:tblW w:w="7366" w:type="dxa"/>
        <w:tblLook w:val="04A0" w:firstRow="1" w:lastRow="0" w:firstColumn="1" w:lastColumn="0" w:noHBand="0" w:noVBand="1"/>
      </w:tblPr>
      <w:tblGrid>
        <w:gridCol w:w="515"/>
        <w:gridCol w:w="497"/>
        <w:gridCol w:w="1554"/>
        <w:gridCol w:w="1694"/>
        <w:gridCol w:w="1553"/>
        <w:gridCol w:w="1553"/>
      </w:tblGrid>
      <w:tr w:rsidR="00AB1BC8" w:rsidTr="00DF22E7">
        <w:trPr>
          <w:trHeight w:val="1509"/>
        </w:trPr>
        <w:tc>
          <w:tcPr>
            <w:tcW w:w="491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AB1BC8" w:rsidRDefault="00AB1BC8" w:rsidP="00AB1BC8">
            <w:pPr>
              <w:ind w:left="113" w:right="113"/>
              <w:jc w:val="center"/>
            </w:pPr>
            <w:r w:rsidRPr="00AB1BC8">
              <w:rPr>
                <w:sz w:val="24"/>
              </w:rPr>
              <w:t>Eintritts</w:t>
            </w:r>
            <w:r w:rsidRPr="00AB1BC8">
              <w:rPr>
                <w:sz w:val="24"/>
              </w:rPr>
              <w:softHyphen/>
              <w:t>wahrschein</w:t>
            </w:r>
            <w:r w:rsidRPr="00AB1BC8">
              <w:rPr>
                <w:sz w:val="24"/>
              </w:rPr>
              <w:softHyphen/>
              <w:t>lichekeit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AB1BC8" w:rsidRDefault="00AB1BC8" w:rsidP="00AB1BC8">
            <w:pPr>
              <w:ind w:left="113" w:right="113"/>
            </w:pPr>
            <w:r>
              <w:t>Sehr hoch (4)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DD4B"/>
          </w:tcPr>
          <w:p w:rsidR="00AB1BC8" w:rsidRDefault="00AB1BC8" w:rsidP="00AB1BC8">
            <w:pPr>
              <w:jc w:val="right"/>
            </w:pPr>
            <w:r>
              <w:t>4</w:t>
            </w:r>
          </w:p>
        </w:tc>
        <w:tc>
          <w:tcPr>
            <w:tcW w:w="1701" w:type="dxa"/>
            <w:shd w:val="clear" w:color="auto" w:fill="FFC000"/>
          </w:tcPr>
          <w:p w:rsidR="00AB1BC8" w:rsidRDefault="00AB1BC8" w:rsidP="00AB1BC8">
            <w:pPr>
              <w:jc w:val="right"/>
            </w:pPr>
            <w:r>
              <w:t>8</w:t>
            </w:r>
          </w:p>
        </w:tc>
        <w:tc>
          <w:tcPr>
            <w:tcW w:w="1559" w:type="dxa"/>
            <w:shd w:val="clear" w:color="auto" w:fill="FF0000"/>
          </w:tcPr>
          <w:p w:rsidR="00AB1BC8" w:rsidRDefault="00AB1BC8" w:rsidP="00AB1BC8">
            <w:pPr>
              <w:jc w:val="right"/>
            </w:pPr>
            <w:r>
              <w:t>12</w:t>
            </w:r>
          </w:p>
        </w:tc>
        <w:tc>
          <w:tcPr>
            <w:tcW w:w="1559" w:type="dxa"/>
            <w:shd w:val="clear" w:color="auto" w:fill="C00000"/>
          </w:tcPr>
          <w:p w:rsidR="00AB1BC8" w:rsidRDefault="00AB1BC8" w:rsidP="00AB1BC8">
            <w:pPr>
              <w:jc w:val="right"/>
            </w:pPr>
            <w:r>
              <w:t>16</w:t>
            </w:r>
          </w:p>
        </w:tc>
      </w:tr>
      <w:tr w:rsidR="00DF22E7" w:rsidTr="00DF22E7">
        <w:trPr>
          <w:trHeight w:val="1402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AB1BC8" w:rsidRDefault="00AB1BC8" w:rsidP="00AB1BC8">
            <w:pPr>
              <w:ind w:left="113" w:right="113"/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AB1BC8" w:rsidRDefault="00AB1BC8" w:rsidP="00AB1BC8">
            <w:pPr>
              <w:ind w:left="113" w:right="113"/>
            </w:pPr>
            <w:r>
              <w:t>Hoch (3)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00"/>
          </w:tcPr>
          <w:p w:rsidR="00AB1BC8" w:rsidRDefault="00AB1BC8" w:rsidP="00AB1BC8">
            <w:pPr>
              <w:jc w:val="right"/>
            </w:pPr>
            <w:r>
              <w:t>3</w:t>
            </w:r>
          </w:p>
        </w:tc>
        <w:tc>
          <w:tcPr>
            <w:tcW w:w="1701" w:type="dxa"/>
            <w:shd w:val="clear" w:color="auto" w:fill="FFDD4B"/>
          </w:tcPr>
          <w:p w:rsidR="00AB1BC8" w:rsidRDefault="00AB1BC8" w:rsidP="00AB1BC8">
            <w:pPr>
              <w:jc w:val="right"/>
            </w:pPr>
            <w:r>
              <w:t>6</w:t>
            </w:r>
          </w:p>
        </w:tc>
        <w:tc>
          <w:tcPr>
            <w:tcW w:w="1559" w:type="dxa"/>
            <w:shd w:val="clear" w:color="auto" w:fill="FF6600"/>
          </w:tcPr>
          <w:p w:rsidR="00AB1BC8" w:rsidRDefault="00AB1BC8" w:rsidP="00AB1BC8">
            <w:pPr>
              <w:jc w:val="right"/>
            </w:pPr>
            <w:r>
              <w:t>9</w:t>
            </w:r>
          </w:p>
        </w:tc>
        <w:tc>
          <w:tcPr>
            <w:tcW w:w="1559" w:type="dxa"/>
            <w:shd w:val="clear" w:color="auto" w:fill="FF0000"/>
          </w:tcPr>
          <w:p w:rsidR="00AB1BC8" w:rsidRDefault="00AB1BC8" w:rsidP="00AB1BC8">
            <w:pPr>
              <w:jc w:val="right"/>
            </w:pPr>
            <w:r>
              <w:t>12</w:t>
            </w:r>
          </w:p>
        </w:tc>
      </w:tr>
      <w:tr w:rsidR="00DF22E7" w:rsidTr="00DF22E7">
        <w:trPr>
          <w:trHeight w:val="1408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AB1BC8" w:rsidRDefault="00AB1BC8" w:rsidP="00AB1BC8">
            <w:pPr>
              <w:ind w:left="113" w:right="113"/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AB1BC8" w:rsidRDefault="00AB1BC8" w:rsidP="00AB1BC8">
            <w:pPr>
              <w:ind w:left="113" w:right="113"/>
            </w:pPr>
            <w:r>
              <w:t>Mittel (2)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92D050"/>
          </w:tcPr>
          <w:p w:rsidR="00AB1BC8" w:rsidRDefault="00AB1BC8" w:rsidP="00AB1BC8">
            <w:pPr>
              <w:jc w:val="right"/>
            </w:pPr>
            <w:r>
              <w:t>2</w:t>
            </w:r>
          </w:p>
        </w:tc>
        <w:tc>
          <w:tcPr>
            <w:tcW w:w="1701" w:type="dxa"/>
            <w:shd w:val="clear" w:color="auto" w:fill="FFDD4B"/>
          </w:tcPr>
          <w:p w:rsidR="00AB1BC8" w:rsidRDefault="00AB1BC8" w:rsidP="00AB1BC8">
            <w:pPr>
              <w:jc w:val="right"/>
            </w:pPr>
            <w:r>
              <w:t>4</w:t>
            </w:r>
          </w:p>
        </w:tc>
        <w:tc>
          <w:tcPr>
            <w:tcW w:w="1559" w:type="dxa"/>
            <w:shd w:val="clear" w:color="auto" w:fill="FFDD4B"/>
          </w:tcPr>
          <w:p w:rsidR="00AB1BC8" w:rsidRDefault="00AB1BC8" w:rsidP="00AB1BC8">
            <w:pPr>
              <w:jc w:val="right"/>
            </w:pPr>
            <w:r>
              <w:t>6</w:t>
            </w:r>
          </w:p>
        </w:tc>
        <w:tc>
          <w:tcPr>
            <w:tcW w:w="1559" w:type="dxa"/>
            <w:shd w:val="clear" w:color="auto" w:fill="FFC000"/>
          </w:tcPr>
          <w:p w:rsidR="00AB1BC8" w:rsidRDefault="00AB1BC8" w:rsidP="00AB1BC8">
            <w:pPr>
              <w:jc w:val="right"/>
            </w:pPr>
            <w:r>
              <w:t>8</w:t>
            </w:r>
          </w:p>
        </w:tc>
      </w:tr>
      <w:tr w:rsidR="00AB1BC8" w:rsidTr="00DF22E7">
        <w:trPr>
          <w:trHeight w:val="1413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AB1BC8" w:rsidRDefault="00AB1BC8" w:rsidP="00AB1BC8">
            <w:pPr>
              <w:ind w:left="113" w:right="113"/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AB1BC8" w:rsidRDefault="00AB1BC8" w:rsidP="00AB1BC8">
            <w:pPr>
              <w:ind w:left="113" w:right="113"/>
            </w:pPr>
            <w:r>
              <w:t>Gering (1)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B050"/>
          </w:tcPr>
          <w:p w:rsidR="00AB1BC8" w:rsidRDefault="00AB1BC8" w:rsidP="00AB1BC8">
            <w:pPr>
              <w:jc w:val="right"/>
            </w:pPr>
            <w: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92D050"/>
          </w:tcPr>
          <w:p w:rsidR="00AB1BC8" w:rsidRDefault="00AB1BC8" w:rsidP="00AB1BC8">
            <w:pPr>
              <w:jc w:val="right"/>
            </w:pPr>
            <w: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AB1BC8" w:rsidRDefault="00AB1BC8" w:rsidP="00AB1BC8">
            <w:pPr>
              <w:jc w:val="right"/>
            </w:pPr>
            <w: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DD4B"/>
          </w:tcPr>
          <w:p w:rsidR="00AB1BC8" w:rsidRDefault="00AB1BC8" w:rsidP="00AB1BC8">
            <w:pPr>
              <w:jc w:val="right"/>
            </w:pPr>
            <w:r>
              <w:t>4</w:t>
            </w:r>
          </w:p>
        </w:tc>
      </w:tr>
      <w:tr w:rsidR="00AB1BC8" w:rsidTr="00AB1BC8">
        <w:trPr>
          <w:trHeight w:val="274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AB1BC8" w:rsidRDefault="00AB1BC8" w:rsidP="00AB1BC8">
            <w:pPr>
              <w:ind w:left="113" w:right="113"/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AB1BC8" w:rsidRDefault="00AB1BC8" w:rsidP="00AB1BC8">
            <w:pPr>
              <w:ind w:left="113" w:right="113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B1BC8" w:rsidRDefault="00AB1BC8">
            <w:r>
              <w:t>Gering (1)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B1BC8" w:rsidRDefault="00AB1BC8">
            <w:r>
              <w:t>Mittel (2)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B1BC8" w:rsidRDefault="00AB1BC8">
            <w:r>
              <w:t>Hoch (3)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B1BC8" w:rsidRDefault="00AB1BC8">
            <w:r>
              <w:t>Sehr Hoch (4)</w:t>
            </w:r>
          </w:p>
        </w:tc>
      </w:tr>
      <w:tr w:rsidR="00AB1BC8" w:rsidTr="00AB1BC8">
        <w:trPr>
          <w:trHeight w:val="273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AB1BC8" w:rsidRDefault="00AB1BC8"/>
        </w:tc>
        <w:tc>
          <w:tcPr>
            <w:tcW w:w="687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BC8" w:rsidRPr="00AB1BC8" w:rsidRDefault="00AB1BC8" w:rsidP="00AB1BC8">
            <w:pPr>
              <w:jc w:val="center"/>
              <w:rPr>
                <w:sz w:val="24"/>
              </w:rPr>
            </w:pPr>
            <w:r w:rsidRPr="00AB1BC8">
              <w:rPr>
                <w:sz w:val="24"/>
              </w:rPr>
              <w:t>Schaden</w:t>
            </w:r>
          </w:p>
        </w:tc>
      </w:tr>
    </w:tbl>
    <w:p w:rsidR="00BF4241" w:rsidRDefault="00BF4241"/>
    <w:p w:rsidR="00DF22E7" w:rsidRPr="0041126E" w:rsidRDefault="00DF22E7"/>
    <w:sectPr w:rsidR="00DF22E7" w:rsidRPr="004112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A0916"/>
    <w:multiLevelType w:val="hybridMultilevel"/>
    <w:tmpl w:val="FA7E5790"/>
    <w:lvl w:ilvl="0" w:tplc="64CA36EA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6E"/>
    <w:rsid w:val="0028691C"/>
    <w:rsid w:val="0041126E"/>
    <w:rsid w:val="009802B9"/>
    <w:rsid w:val="00A666DC"/>
    <w:rsid w:val="00AB1BC8"/>
    <w:rsid w:val="00BF4241"/>
    <w:rsid w:val="00DF22E7"/>
    <w:rsid w:val="00E7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60FD4-D514-49F9-9CAA-3937E24F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4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F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3</cp:revision>
  <dcterms:created xsi:type="dcterms:W3CDTF">2022-01-03T17:00:00Z</dcterms:created>
  <dcterms:modified xsi:type="dcterms:W3CDTF">2022-02-21T14:44:00Z</dcterms:modified>
</cp:coreProperties>
</file>