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1916"/>
          <w:sz w:val="52"/>
        </w:rPr>
        <w:t>Andre Weissmann</w:t>
      </w:r>
    </w:p>
    <w:p>
      <w:pPr>
        <w:spacing w:before="0" w:after="20"/>
      </w:pPr>
      <w:r>
        <w:rPr>
          <w:rFonts w:ascii="Calibri" w:hAnsi="Calibri"/>
          <w:b/>
          <w:color w:val="01696F"/>
          <w:sz w:val="22"/>
        </w:rPr>
        <w:t>Data Analyst  |  Healthcare Operations and Analytics</w:t>
      </w:r>
    </w:p>
    <w:p>
      <w:pPr>
        <w:spacing w:before="0" w:after="60"/>
      </w:pPr>
      <w:r>
        <w:rPr>
          <w:rFonts w:ascii="Calibri" w:hAnsi="Calibri"/>
          <w:color w:val="3D3C3A"/>
          <w:sz w:val="20"/>
        </w:rPr>
        <w:t>Chicago, IL  |  847-899-2485  |  andre_weissmann@icloud.com  |  andre-weissmann-portfolio.pplx.app  |  linkedin.com/in/andre-weissmann  |  github.com/Andre-Weissmann</w:t>
      </w:r>
    </w:p>
    <w:p>
      <w:pPr>
        <w:spacing w:before="80" w:after="20"/>
        <w:pBdr>
          <w:bottom w:val="single" w:sz="4" w:space="4" w:color="01696F"/>
        </w:pBdr>
      </w:pPr>
      <w:r>
        <w:rPr>
          <w:rFonts w:ascii="Calibri" w:hAnsi="Calibri"/>
          <w:b/>
          <w:color w:val="01696F"/>
          <w:sz w:val="18"/>
        </w:rPr>
        <w:t>PROFESSIONAL SUMMARY</w:t>
      </w:r>
    </w:p>
    <w:p>
      <w:pPr>
        <w:spacing w:before="0" w:after="20" w:line="276" w:lineRule="auto"/>
      </w:pPr>
      <w:r>
        <w:rPr>
          <w:rFonts w:ascii="Calibri" w:hAnsi="Calibri"/>
          <w:color w:val="3D3C3A"/>
          <w:sz w:val="21"/>
        </w:rPr>
        <w:t>Data Analyst with 5+ years embedded inside EMS medical billing and healthcare operations, building technical solutions to real workflow problems. Hands-on with revenue cycle processes, claims analytics, and EHR documentation. Self-built a full analytics toolkit across SQL, Python, Power BI, Tableau, Excel, and VBA. Automated daily billing workflows using Excel macros, cutting manual processing time by 40%. Brings a rare combination of healthcare domain knowledge and analytical execution to every dataset.</w:t>
      </w:r>
    </w:p>
    <w:p>
      <w:pPr>
        <w:spacing w:before="80" w:after="20"/>
        <w:pBdr>
          <w:bottom w:val="single" w:sz="4" w:space="4" w:color="01696F"/>
        </w:pBdr>
      </w:pPr>
      <w:r>
        <w:rPr>
          <w:rFonts w:ascii="Calibri" w:hAnsi="Calibri"/>
          <w:b/>
          <w:color w:val="01696F"/>
          <w:sz w:val="18"/>
        </w:rPr>
        <w:t>CORE SKILLS</w:t>
      </w:r>
    </w:p>
    <w:p>
      <w:pPr>
        <w:spacing w:before="0" w:after="20" w:line="276" w:lineRule="auto"/>
      </w:pPr>
      <w:r>
        <w:rPr>
          <w:rFonts w:ascii="Calibri" w:hAnsi="Calibri"/>
          <w:b/>
          <w:color w:val="1A1916"/>
          <w:sz w:val="21"/>
        </w:rPr>
        <w:t xml:space="preserve">Languages and Analytics: </w:t>
      </w:r>
      <w:r>
        <w:rPr>
          <w:rFonts w:ascii="Calibri" w:hAnsi="Calibri"/>
          <w:color w:val="3D3C3A"/>
          <w:sz w:val="21"/>
        </w:rPr>
        <w:t>SQL, Python, R, Visual Basic (VBA), Microsoft Excel (Power Query, Power Pivot, DAX, Macros)</w:t>
      </w:r>
    </w:p>
    <w:p>
      <w:pPr>
        <w:spacing w:before="0" w:after="20" w:line="276" w:lineRule="auto"/>
      </w:pPr>
      <w:r>
        <w:rPr>
          <w:rFonts w:ascii="Calibri" w:hAnsi="Calibri"/>
          <w:b/>
          <w:color w:val="1A1916"/>
          <w:sz w:val="21"/>
        </w:rPr>
        <w:t xml:space="preserve">Visualization and BI: </w:t>
      </w:r>
      <w:r>
        <w:rPr>
          <w:rFonts w:ascii="Calibri" w:hAnsi="Calibri"/>
          <w:color w:val="3D3C3A"/>
          <w:sz w:val="21"/>
        </w:rPr>
        <w:t>Power BI, Tableau, Microsoft Excel, Exploratory Data Analysis (EDA), Data Cleaning and Validation</w:t>
      </w:r>
    </w:p>
    <w:p>
      <w:pPr>
        <w:spacing w:before="0" w:after="20" w:line="276" w:lineRule="auto"/>
      </w:pPr>
      <w:r>
        <w:rPr>
          <w:rFonts w:ascii="Calibri" w:hAnsi="Calibri"/>
          <w:b/>
          <w:color w:val="1A1916"/>
          <w:sz w:val="21"/>
        </w:rPr>
        <w:t xml:space="preserve">Healthcare Domain: </w:t>
      </w:r>
      <w:r>
        <w:rPr>
          <w:rFonts w:ascii="Calibri" w:hAnsi="Calibri"/>
          <w:color w:val="3D3C3A"/>
          <w:sz w:val="21"/>
        </w:rPr>
        <w:t>Revenue Cycle, Claims Analytics, Medical Billing, ICD-10, CPT Codes, Denial Management, Accounts Receivable, Prior Authorization, HIPAA, EHR/EMR, HL7, FHIR, EDI 837/835</w:t>
      </w:r>
    </w:p>
    <w:p>
      <w:pPr>
        <w:spacing w:before="0" w:after="20" w:line="276" w:lineRule="auto"/>
      </w:pPr>
      <w:r>
        <w:rPr>
          <w:rFonts w:ascii="Calibri" w:hAnsi="Calibri"/>
          <w:b/>
          <w:color w:val="1A1916"/>
          <w:sz w:val="21"/>
        </w:rPr>
        <w:t xml:space="preserve">AI and Automation: </w:t>
      </w:r>
      <w:r>
        <w:rPr>
          <w:rFonts w:ascii="Calibri" w:hAnsi="Calibri"/>
          <w:color w:val="3D3C3A"/>
          <w:sz w:val="21"/>
        </w:rPr>
        <w:t>Microsoft Copilot, Prompt Engineering, AI-Assisted Debugging, GitHub</w:t>
      </w:r>
    </w:p>
    <w:p>
      <w:pPr>
        <w:spacing w:before="80" w:after="20"/>
        <w:pBdr>
          <w:bottom w:val="single" w:sz="4" w:space="4" w:color="01696F"/>
        </w:pBdr>
      </w:pPr>
      <w:r>
        <w:rPr>
          <w:rFonts w:ascii="Calibri" w:hAnsi="Calibri"/>
          <w:b/>
          <w:color w:val="01696F"/>
          <w:sz w:val="18"/>
        </w:rPr>
        <w:t>DATA ANALYTICS PROJECTS</w:t>
      </w:r>
    </w:p>
    <w:p>
      <w:pPr>
        <w:spacing w:before="0" w:after="20"/>
      </w:pPr>
      <w:r>
        <w:rPr>
          <w:rFonts w:ascii="Calibri" w:hAnsi="Calibri"/>
          <w:i/>
          <w:color w:val="3D3C3A"/>
          <w:sz w:val="20"/>
        </w:rPr>
        <w:t>Full interactive portfolio: andre-weissmann-portfolio.pplx.app</w:t>
      </w:r>
    </w:p>
    <w:p>
      <w:pPr>
        <w:spacing w:before="40" w:after="0"/>
      </w:pPr>
      <w:r>
        <w:rPr>
          <w:rFonts w:ascii="Calibri" w:hAnsi="Calibri"/>
          <w:b/>
          <w:color w:val="01696F"/>
          <w:sz w:val="21"/>
        </w:rPr>
        <w:t xml:space="preserve">[SQL]  </w:t>
      </w:r>
      <w:r>
        <w:rPr>
          <w:rFonts w:ascii="Calibri" w:hAnsi="Calibri"/>
          <w:b/>
          <w:color w:val="1A1916"/>
          <w:sz w:val="21"/>
        </w:rPr>
        <w:t>Nashville Housing Data Cleaning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Cleaned 56,477 property records in SQL Server, removing duplicate parcels, resolving NULLs, and normalizing date formats. Flagged ~18% of records with data quality issues, producing a production-ready dataset that eliminated a full manual review stage downstream.</w:t>
      </w:r>
    </w:p>
    <w:p>
      <w:pPr>
        <w:spacing w:before="40" w:after="0"/>
      </w:pPr>
      <w:r>
        <w:rPr>
          <w:rFonts w:ascii="Calibri" w:hAnsi="Calibri"/>
          <w:b/>
          <w:color w:val="01696F"/>
          <w:sz w:val="21"/>
        </w:rPr>
        <w:t xml:space="preserve">[Power BI]  </w:t>
      </w:r>
      <w:r>
        <w:rPr>
          <w:rFonts w:ascii="Calibri" w:hAnsi="Calibri"/>
          <w:b/>
          <w:color w:val="1A1916"/>
          <w:sz w:val="21"/>
        </w:rPr>
        <w:t>Data Professionals Survey Dashboard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Built a cross-filtered Power BI dashboard across 630 survey respondents, surfacing that Data Scientists earn 2x the salary of Data Analysts and Python is the dominant tool across every role.</w:t>
      </w:r>
    </w:p>
    <w:p>
      <w:pPr>
        <w:spacing w:before="40" w:after="0"/>
      </w:pPr>
      <w:r>
        <w:rPr>
          <w:rFonts w:ascii="Calibri" w:hAnsi="Calibri"/>
          <w:b/>
          <w:color w:val="01696F"/>
          <w:sz w:val="21"/>
        </w:rPr>
        <w:t xml:space="preserve">[Tableau]  </w:t>
      </w:r>
      <w:r>
        <w:rPr>
          <w:rFonts w:ascii="Calibri" w:hAnsi="Calibri"/>
          <w:b/>
          <w:color w:val="1A1916"/>
          <w:sz w:val="21"/>
        </w:rPr>
        <w:t>Airbnb Seattle Pricing Analysis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Analyzed 323,346 Airbnb listings across Seattle, identifying that zip code alone accounts for a 3x spread in nightly pricing. Interactive dashboard lets hosts benchmark their listing against neighborhood averages.</w:t>
      </w:r>
    </w:p>
    <w:p>
      <w:pPr>
        <w:spacing w:before="40" w:after="0"/>
      </w:pPr>
      <w:r>
        <w:rPr>
          <w:rFonts w:ascii="Calibri" w:hAnsi="Calibri"/>
          <w:b/>
          <w:color w:val="01696F"/>
          <w:sz w:val="21"/>
        </w:rPr>
        <w:t xml:space="preserve">[Python]  </w:t>
      </w:r>
      <w:r>
        <w:rPr>
          <w:rFonts w:ascii="Calibri" w:hAnsi="Calibri"/>
          <w:b/>
          <w:color w:val="1A1916"/>
          <w:sz w:val="21"/>
        </w:rPr>
        <w:t>Health Metrics Calculator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Built a Python health metrics tool using CDC-aligned BMI thresholds and waist-to-hip ratio risk classification. Validates inputs, returns plain-language clinical interpretations, includes preset health scenarios for non-technical users.</w:t>
      </w:r>
    </w:p>
    <w:p>
      <w:pPr>
        <w:spacing w:before="40" w:after="0"/>
      </w:pPr>
      <w:r>
        <w:rPr>
          <w:rFonts w:ascii="Calibri" w:hAnsi="Calibri"/>
          <w:b/>
          <w:color w:val="01696F"/>
          <w:sz w:val="21"/>
        </w:rPr>
        <w:t xml:space="preserve">[Excel]  </w:t>
      </w:r>
      <w:r>
        <w:rPr>
          <w:rFonts w:ascii="Calibri" w:hAnsi="Calibri"/>
          <w:b/>
          <w:color w:val="1A1916"/>
          <w:sz w:val="21"/>
        </w:rPr>
        <w:t>Bike Sales Business Insights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Segmentation analysis on 1,026 customer records using pivot tables and dynamic charts, identifying that middle-aged Pacific Region buyers drive the highest purchase conversion rate.</w:t>
      </w:r>
    </w:p>
    <w:p>
      <w:pPr>
        <w:spacing w:before="80" w:after="20"/>
        <w:pBdr>
          <w:bottom w:val="single" w:sz="4" w:space="4" w:color="01696F"/>
        </w:pBdr>
      </w:pPr>
      <w:r>
        <w:rPr>
          <w:rFonts w:ascii="Calibri" w:hAnsi="Calibri"/>
          <w:b/>
          <w:color w:val="01696F"/>
          <w:sz w:val="18"/>
        </w:rPr>
        <w:t>WORK EXPERIENCE</w:t>
      </w:r>
    </w:p>
    <w:p>
      <w:pPr>
        <w:spacing w:before="60" w:after="0"/>
      </w:pPr>
      <w:r>
        <w:rPr>
          <w:rFonts w:ascii="Calibri" w:hAnsi="Calibri"/>
          <w:b/>
          <w:color w:val="1A1916"/>
          <w:sz w:val="22"/>
        </w:rPr>
        <w:t>Mailroom Specialist (Billing and Claims Operations)</w:t>
      </w:r>
      <w:r>
        <w:rPr>
          <w:rFonts w:ascii="Calibri" w:hAnsi="Calibri"/>
          <w:b/>
          <w:color w:val="01696F"/>
          <w:sz w:val="22"/>
        </w:rPr>
        <w:t xml:space="preserve">  |  EMS Management and Consultants</w:t>
      </w:r>
      <w:r>
        <w:rPr>
          <w:rFonts w:ascii="Calibri" w:hAnsi="Calibri"/>
          <w:color w:val="3D3C3A"/>
          <w:sz w:val="20"/>
        </w:rPr>
        <w:t xml:space="preserve">  Arlington Heights, IL</w:t>
      </w:r>
    </w:p>
    <w:p>
      <w:pPr>
        <w:spacing w:before="0" w:after="20"/>
      </w:pPr>
      <w:r>
        <w:rPr>
          <w:rFonts w:ascii="Calibri" w:hAnsi="Calibri"/>
          <w:i/>
          <w:color w:val="787674"/>
          <w:sz w:val="20"/>
        </w:rPr>
        <w:t>February 2021 to Present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Processed approximately 1,200 insurance claims and payment documents per week, sorting, scanning, and logging PHI documents into billing systems with HIPAA-compliant handling across all patient records.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Reconciled incoming insurance checks against billing records using Excel, counting and logging daily payment totals to ensure accurate intake reporting for the billing team.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Built VBA macros in Excel automating daily tape runs and claim validation workflows, cutting manual processing time ~40% and eliminating a class of keying errors.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Maintained HIPAA-compliant EHR/EMR documentation for thousands of patient accounts with zero PHI findings; sustained billing continuity through a full company acquisition in 2024.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Used Microsoft Copilot and prompt engineering to debug VBA macro runtime errors, reducing development cycle time and resolving issues that would otherwise require manual code review.</w:t>
      </w:r>
    </w:p>
    <w:p>
      <w:pPr>
        <w:spacing w:before="60" w:after="0"/>
      </w:pPr>
      <w:r>
        <w:rPr>
          <w:rFonts w:ascii="Calibri" w:hAnsi="Calibri"/>
          <w:b/>
          <w:color w:val="1A1916"/>
          <w:sz w:val="22"/>
        </w:rPr>
        <w:t>Stock Associate</w:t>
      </w:r>
      <w:r>
        <w:rPr>
          <w:rFonts w:ascii="Calibri" w:hAnsi="Calibri"/>
          <w:b/>
          <w:color w:val="01696F"/>
          <w:sz w:val="22"/>
        </w:rPr>
        <w:t xml:space="preserve">  |  Walmart</w:t>
      </w:r>
      <w:r>
        <w:rPr>
          <w:rFonts w:ascii="Calibri" w:hAnsi="Calibri"/>
          <w:color w:val="3D3C3A"/>
          <w:sz w:val="20"/>
        </w:rPr>
        <w:t xml:space="preserve">  Palatine, IL</w:t>
      </w:r>
    </w:p>
    <w:p>
      <w:pPr>
        <w:spacing w:before="0" w:after="20"/>
      </w:pPr>
      <w:r>
        <w:rPr>
          <w:rFonts w:ascii="Calibri" w:hAnsi="Calibri"/>
          <w:i/>
          <w:color w:val="787674"/>
          <w:sz w:val="20"/>
        </w:rPr>
        <w:t>April 2020 to February 2021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Maintained inventory accuracy across high-volume daily stock cycles; applied the same data verification and reconciliation discipline that carried into healthcare claims processing.</w:t>
      </w:r>
    </w:p>
    <w:p>
      <w:pPr>
        <w:spacing w:before="60" w:after="0"/>
      </w:pPr>
      <w:r>
        <w:rPr>
          <w:rFonts w:ascii="Calibri" w:hAnsi="Calibri"/>
          <w:b/>
          <w:color w:val="1A1916"/>
          <w:sz w:val="22"/>
        </w:rPr>
        <w:t>Team Member</w:t>
      </w:r>
      <w:r>
        <w:rPr>
          <w:rFonts w:ascii="Calibri" w:hAnsi="Calibri"/>
          <w:b/>
          <w:color w:val="01696F"/>
          <w:sz w:val="22"/>
        </w:rPr>
        <w:t xml:space="preserve">  |  Goodwill Industries International</w:t>
      </w:r>
      <w:r>
        <w:rPr>
          <w:rFonts w:ascii="Calibri" w:hAnsi="Calibri"/>
          <w:color w:val="3D3C3A"/>
          <w:sz w:val="20"/>
        </w:rPr>
        <w:t xml:space="preserve">  Palatine, IL</w:t>
      </w:r>
    </w:p>
    <w:p>
      <w:pPr>
        <w:spacing w:before="0" w:after="20"/>
      </w:pPr>
      <w:r>
        <w:rPr>
          <w:rFonts w:ascii="Calibri" w:hAnsi="Calibri"/>
          <w:i/>
          <w:color w:val="787674"/>
          <w:sz w:val="20"/>
        </w:rPr>
        <w:t>April 2017 to April 2020</w:t>
      </w:r>
    </w:p>
    <w:p>
      <w:pPr>
        <w:spacing w:before="0" w:after="20" w:line="276" w:lineRule="auto"/>
        <w:ind w:left="259" w:hanging="259"/>
      </w:pPr>
      <w:r>
        <w:rPr>
          <w:rFonts w:ascii="Calibri" w:hAnsi="Calibri"/>
          <w:color w:val="3D3C3A"/>
          <w:sz w:val="21"/>
        </w:rPr>
        <w:t xml:space="preserve">•  </w:t>
      </w:r>
      <w:r>
        <w:rPr>
          <w:rFonts w:ascii="Calibri" w:hAnsi="Calibri"/>
          <w:color w:val="3D3C3A"/>
          <w:sz w:val="21"/>
        </w:rPr>
        <w:t>Processed and tracked donated goods inventory across intake, categorization, and disposition workflows, maintaining accuracy across high daily item volume.</w:t>
      </w:r>
    </w:p>
    <w:p>
      <w:pPr>
        <w:spacing w:before="80" w:after="20"/>
        <w:pBdr>
          <w:bottom w:val="single" w:sz="4" w:space="4" w:color="01696F"/>
        </w:pBdr>
      </w:pPr>
      <w:r>
        <w:rPr>
          <w:rFonts w:ascii="Calibri" w:hAnsi="Calibri"/>
          <w:b/>
          <w:color w:val="01696F"/>
          <w:sz w:val="18"/>
        </w:rPr>
        <w:t>EDUCATION</w:t>
      </w:r>
    </w:p>
    <w:p>
      <w:pPr>
        <w:spacing w:before="0" w:after="20" w:line="276" w:lineRule="auto"/>
      </w:pPr>
      <w:r>
        <w:rPr>
          <w:rFonts w:ascii="Calibri" w:hAnsi="Calibri"/>
          <w:b/>
          <w:color w:val="1A1916"/>
          <w:sz w:val="21"/>
        </w:rPr>
        <w:t xml:space="preserve">Bachelor of Arts, Information Technology </w:t>
      </w:r>
      <w:r>
        <w:rPr>
          <w:rFonts w:ascii="Calibri" w:hAnsi="Calibri"/>
          <w:color w:val="3D3C3A"/>
          <w:sz w:val="21"/>
        </w:rPr>
        <w:t>Southern New Hampshire University  |  2022 to 2024</w:t>
      </w:r>
    </w:p>
    <w:p>
      <w:pPr>
        <w:spacing w:before="0" w:after="20" w:line="276" w:lineRule="auto"/>
      </w:pPr>
      <w:r>
        <w:rPr>
          <w:rFonts w:ascii="Calibri" w:hAnsi="Calibri"/>
          <w:b/>
          <w:color w:val="1A1916"/>
          <w:sz w:val="21"/>
        </w:rPr>
        <w:t xml:space="preserve">Associate of Science, Health Information Technology </w:t>
      </w:r>
      <w:r>
        <w:rPr>
          <w:rFonts w:ascii="Calibri" w:hAnsi="Calibri"/>
          <w:color w:val="3D3C3A"/>
          <w:sz w:val="21"/>
        </w:rPr>
        <w:t>Harper College  |  2003 to 2007</w:t>
      </w:r>
    </w:p>
    <w:p>
      <w:pPr>
        <w:spacing w:before="0" w:after="20" w:line="276" w:lineRule="auto"/>
      </w:pPr>
      <w:r>
        <w:rPr>
          <w:rFonts w:ascii="Calibri" w:hAnsi="Calibri"/>
          <w:b/>
          <w:color w:val="1A1916"/>
          <w:sz w:val="21"/>
        </w:rPr>
        <w:t xml:space="preserve">Continuing Education: </w:t>
      </w:r>
      <w:r>
        <w:rPr>
          <w:rFonts w:ascii="Calibri" w:hAnsi="Calibri"/>
          <w:color w:val="3D3C3A"/>
          <w:sz w:val="21"/>
        </w:rPr>
        <w:t>Maven Analytics Lifetime Membership  |  SQL, Python, Power BI, Tableau, Excel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