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First Progress Report</w:t>
      </w:r>
    </w:p>
    <w:p>
      <w:pPr>
        <w:jc w:val="center"/>
      </w:pPr>
      <w:r>
        <w:rPr>
          <w:b/>
          <w:sz w:val="26"/>
        </w:rPr>
        <w:t>MultiBand LEAD for Multi Disease EEG Classification and Frequency Band Analysis</w:t>
      </w:r>
    </w:p>
    <w:p>
      <w:pPr>
        <w:jc w:val="center"/>
      </w:pPr>
      <w:r>
        <w:rPr>
          <w:i/>
        </w:rPr>
        <w:t>Submission date 28 September 2026</w:t>
      </w:r>
    </w:p>
    <w:p>
      <w:r>
        <w:t>This report summarises the work completed so far and the remaining work for the Final Year Project. The project uses LEADv2 as the main EEG foundation model and aims to extend it with explicit frequency-band analysis so that the final system can identify both disease classes and the EEG frequency bands and electrodes that consistently influence its decisions.</w:t>
      </w:r>
    </w:p>
    <w:p>
      <w:pPr>
        <w:pStyle w:val="Heading1"/>
      </w:pPr>
      <w:r>
        <w:t>1 Project Objectives</w:t>
      </w:r>
    </w:p>
    <w:p>
      <w:r>
        <w:t>The main objective is to develop and evaluate a MultiBand-LEAD framework for EEG-based disease recognition. The project will first establish reliable LEADv2 baselines on public datasets and then compare Delta, Theta, Alpha, Beta and Gamma activity to determine which frequency bands, electrodes and band-electrode combinations contribute most to classification.</w:t>
      </w:r>
    </w:p>
    <w:p>
      <w:pPr>
        <w:pStyle w:val="ListBullet"/>
      </w:pPr>
      <w:r>
        <w:t>Establish reproducible LEADv2 baselines on multiple public EEG disease datasets.</w:t>
      </w:r>
    </w:p>
    <w:p>
      <w:pPr>
        <w:pStyle w:val="ListBullet"/>
      </w:pPr>
      <w:r>
        <w:t>Compare disease recognition performance across standard EEG frequency bands.</w:t>
      </w:r>
    </w:p>
    <w:p>
      <w:pPr>
        <w:pStyle w:val="ListBullet"/>
      </w:pPr>
      <w:r>
        <w:t>Identify important electrodes and verify their contribution through masking and ablation experiments.</w:t>
      </w:r>
    </w:p>
    <w:p>
      <w:pPr>
        <w:pStyle w:val="ListBullet"/>
      </w:pPr>
      <w:r>
        <w:t>Evaluate whether the identified frequency-band and electrode patterns remain stable across subject-level data splits.</w:t>
      </w:r>
    </w:p>
    <w:p>
      <w:pPr>
        <w:pStyle w:val="ListBullet"/>
      </w:pPr>
      <w:r>
        <w:t>Use hospital data only as a later external validation set after model development on public datasets.</w:t>
      </w:r>
    </w:p>
    <w:p>
      <w:pPr>
        <w:pStyle w:val="Heading1"/>
      </w:pPr>
      <w:r>
        <w:t>2 Proposed Approach and Changes to the Original Direction</w:t>
      </w:r>
    </w:p>
    <w:p>
      <w:r>
        <w:t>The project has been refined from a broad comparison of EEG pretrained models into a focused study built around LEADv2. LaBraM will be mentioned as related work, but it is not the main implementation target. This narrower direction provides a clearer experimental path and allows more effort to be placed on reliable frequency-band and electrode analysis.</w:t>
      </w:r>
    </w:p>
    <w:p>
      <w:r>
        <w:t>The planned workflow is: public dataset preparation, subject-level train-validation-test splitting, LEADv2 fine-tuning, classification baseline evaluation, single-band experiments, MultiBand-LEAD fusion, frequency-band and electrode ablation, cross-split stability analysis, and finally external validation using hospital data.</w:t>
      </w:r>
    </w:p>
    <w:p>
      <w:pPr>
        <w:pStyle w:val="Heading1"/>
      </w:pPr>
      <w:r>
        <w:t>3 Work Completed</w:t>
      </w:r>
    </w:p>
    <w:p>
      <w:pPr>
        <w:pStyle w:val="Heading2"/>
      </w:pPr>
      <w:r>
        <w:t>3.1 Literature and project planning</w:t>
      </w:r>
    </w:p>
    <w:p>
      <w:pPr>
        <w:pStyle w:val="ListBullet"/>
      </w:pPr>
      <w:r>
        <w:t>Reviewed EEG disease-classification studies and organised the available datasets, diseases, frequency bands, electrodes and reported features.</w:t>
      </w:r>
    </w:p>
    <w:p>
      <w:pPr>
        <w:pStyle w:val="ListBullet"/>
      </w:pPr>
      <w:r>
        <w:t>Identified common limitations in existing work, including dataset-source bias, segment-level subject leakage and over-reliance on segment accuracy.</w:t>
      </w:r>
    </w:p>
    <w:p>
      <w:pPr>
        <w:pStyle w:val="ListBullet"/>
      </w:pPr>
      <w:r>
        <w:t>Defined the distinction between the LEADv2 baseline and the proposed MultiBand-LEAD extension.</w:t>
      </w:r>
    </w:p>
    <w:p>
      <w:pPr>
        <w:pStyle w:val="Heading2"/>
      </w:pPr>
      <w:r>
        <w:t>3.2 LEADv2 reproduction and implementation</w:t>
      </w:r>
    </w:p>
    <w:p>
      <w:pPr>
        <w:pStyle w:val="ListBullet"/>
      </w:pPr>
      <w:r>
        <w:t>Created the LEAD virtual environment, resolved package-version conflicts and downloaded the P-Base pretrained checkpoint.</w:t>
      </w:r>
    </w:p>
    <w:p>
      <w:pPr>
        <w:pStyle w:val="ListBullet"/>
      </w:pPr>
      <w:r>
        <w:t>Reproduced the LEADv2 fine-tuning workflow and corrected compatibility issues in the custom group sampler.</w:t>
      </w:r>
    </w:p>
    <w:p>
      <w:pPr>
        <w:pStyle w:val="ListBullet"/>
      </w:pPr>
      <w:r>
        <w:t>Verified preprocessing, pretrained-weight loading, GPU training, subject-level voting and result generation.</w:t>
      </w:r>
    </w:p>
    <w:p>
      <w:pPr>
        <w:pStyle w:val="Heading2"/>
      </w:pPr>
      <w:r>
        <w:t>3.3 Public dataset integration</w:t>
      </w:r>
    </w:p>
    <w:p>
      <w:r>
        <w:t>Three public datasets have been used so far: APAVA for Alzheimer disease classification, RepOD for schizophrenia classification, and OpenNeuro ds004504 for Alzheimer disease and frontotemporal dementia classification.</w:t>
      </w:r>
    </w:p>
    <w:p>
      <w:pPr>
        <w:pStyle w:val="ListBullet"/>
      </w:pPr>
      <w:r>
        <w:t>APAVA: completed five-run LEADv2 evaluation.</w:t>
      </w:r>
    </w:p>
    <w:p>
      <w:pPr>
        <w:pStyle w:val="ListBullet"/>
      </w:pPr>
      <w:r>
        <w:t>RepOD: implemented preprocessing and a custom loader, then completed five Monte Carlo runs.</w:t>
      </w:r>
    </w:p>
    <w:p>
      <w:pPr>
        <w:pStyle w:val="ListBullet"/>
      </w:pPr>
      <w:r>
        <w:t>OpenNeuro ds004504: processed 88 subjects into 121,825 windows with 19 channels and three sampling scales of 200, 100 and 50 Hz.</w:t>
      </w:r>
    </w:p>
    <w:p>
      <w:pPr>
        <w:pStyle w:val="ListBullet"/>
      </w:pPr>
      <w:r>
        <w:t>Implemented and registered ADFTDRSLoader with subject-level splits for AD versus CN, FTD versus CN, AD versus FTD and three-class classification.</w:t>
      </w:r>
    </w:p>
    <w:p>
      <w:pPr>
        <w:pStyle w:val="Heading2"/>
      </w:pPr>
      <w:r>
        <w:t>3.4 Current experimental results</w:t>
      </w:r>
    </w:p>
    <w:p>
      <w:r>
        <w:t>The current results demonstrate that the complete data-to-model pipeline works. They are preliminary because some experiments use small test sets or a single fixed split, so they are treated as baselines rather than final performance claims.</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trPr>
        <w:tc>
          <w:tcPr>
            <w:tcW w:type="dxa" w:w="1904"/>
            <w:shd w:fill="203864"/>
            <w:vAlign w:val="center"/>
            <w:tcMar>
              <w:top w:w="100" w:type="dxa"/>
              <w:start w:w="110" w:type="dxa"/>
              <w:bottom w:w="100" w:type="dxa"/>
              <w:end w:w="110" w:type="dxa"/>
            </w:tcMar>
          </w:tcPr>
          <w:p>
            <w:r>
              <w:rPr>
                <w:b/>
                <w:color w:val="FFFFFF"/>
              </w:rPr>
              <w:t>Dataset and task</w:t>
            </w:r>
          </w:p>
        </w:tc>
        <w:tc>
          <w:tcPr>
            <w:tcW w:type="dxa" w:w="1904"/>
            <w:shd w:fill="203864"/>
            <w:vAlign w:val="center"/>
            <w:tcMar>
              <w:top w:w="100" w:type="dxa"/>
              <w:start w:w="110" w:type="dxa"/>
              <w:bottom w:w="100" w:type="dxa"/>
              <w:end w:w="110" w:type="dxa"/>
            </w:tcMar>
          </w:tcPr>
          <w:p>
            <w:r>
              <w:rPr>
                <w:b/>
                <w:color w:val="FFFFFF"/>
              </w:rPr>
              <w:t>Evaluation</w:t>
            </w:r>
          </w:p>
        </w:tc>
        <w:tc>
          <w:tcPr>
            <w:tcW w:type="dxa" w:w="1904"/>
            <w:shd w:fill="203864"/>
            <w:vAlign w:val="center"/>
            <w:tcMar>
              <w:top w:w="100" w:type="dxa"/>
              <w:start w:w="110" w:type="dxa"/>
              <w:bottom w:w="100" w:type="dxa"/>
              <w:end w:w="110" w:type="dxa"/>
            </w:tcMar>
          </w:tcPr>
          <w:p>
            <w:r>
              <w:rPr>
                <w:b/>
                <w:color w:val="FFFFFF"/>
              </w:rPr>
              <w:t>Accuracy</w:t>
            </w:r>
          </w:p>
        </w:tc>
        <w:tc>
          <w:tcPr>
            <w:tcW w:type="dxa" w:w="1904"/>
            <w:shd w:fill="203864"/>
            <w:vAlign w:val="center"/>
            <w:tcMar>
              <w:top w:w="100" w:type="dxa"/>
              <w:start w:w="110" w:type="dxa"/>
              <w:bottom w:w="100" w:type="dxa"/>
              <w:end w:w="110" w:type="dxa"/>
            </w:tcMar>
          </w:tcPr>
          <w:p>
            <w:r>
              <w:rPr>
                <w:b/>
                <w:color w:val="FFFFFF"/>
              </w:rPr>
              <w:t>F1</w:t>
            </w:r>
          </w:p>
        </w:tc>
        <w:tc>
          <w:tcPr>
            <w:tcW w:type="dxa" w:w="1904"/>
            <w:shd w:fill="203864"/>
            <w:vAlign w:val="center"/>
            <w:tcMar>
              <w:top w:w="100" w:type="dxa"/>
              <w:start w:w="110" w:type="dxa"/>
              <w:bottom w:w="100" w:type="dxa"/>
              <w:end w:w="110" w:type="dxa"/>
            </w:tcMar>
          </w:tcPr>
          <w:p>
            <w:r>
              <w:rPr>
                <w:b/>
                <w:color w:val="FFFFFF"/>
              </w:rPr>
              <w:t>AUROC</w:t>
            </w:r>
          </w:p>
        </w:tc>
      </w:tr>
      <w:tr>
        <w:tc>
          <w:tcPr>
            <w:tcW w:type="dxa" w:w="1904"/>
            <w:vAlign w:val="center"/>
            <w:tcMar>
              <w:top w:w="100" w:type="dxa"/>
              <w:start w:w="110" w:type="dxa"/>
              <w:bottom w:w="100" w:type="dxa"/>
              <w:end w:w="110" w:type="dxa"/>
            </w:tcMar>
          </w:tcPr>
          <w:p>
            <w:pPr>
              <w:spacing w:after="0"/>
              <w:jc w:val="left"/>
            </w:pPr>
            <w:r>
              <w:rPr>
                <w:sz w:val="18"/>
              </w:rPr>
              <w:t>APAVA AD vs CN</w:t>
            </w:r>
          </w:p>
        </w:tc>
        <w:tc>
          <w:tcPr>
            <w:tcW w:type="dxa" w:w="1904"/>
            <w:vAlign w:val="center"/>
            <w:tcMar>
              <w:top w:w="100" w:type="dxa"/>
              <w:start w:w="110" w:type="dxa"/>
              <w:bottom w:w="100" w:type="dxa"/>
              <w:end w:w="110" w:type="dxa"/>
            </w:tcMar>
          </w:tcPr>
          <w:p>
            <w:pPr>
              <w:spacing w:after="0"/>
              <w:jc w:val="left"/>
            </w:pPr>
            <w:r>
              <w:rPr>
                <w:sz w:val="18"/>
              </w:rPr>
              <w:t>5-run test mean</w:t>
            </w:r>
          </w:p>
        </w:tc>
        <w:tc>
          <w:tcPr>
            <w:tcW w:type="dxa" w:w="1904"/>
            <w:vAlign w:val="center"/>
            <w:tcMar>
              <w:top w:w="100" w:type="dxa"/>
              <w:start w:w="110" w:type="dxa"/>
              <w:bottom w:w="100" w:type="dxa"/>
              <w:end w:w="110" w:type="dxa"/>
            </w:tcMar>
          </w:tcPr>
          <w:p>
            <w:pPr>
              <w:spacing w:after="0"/>
              <w:jc w:val="center"/>
            </w:pPr>
            <w:r>
              <w:rPr>
                <w:sz w:val="18"/>
              </w:rPr>
              <w:t>83.04%</w:t>
            </w:r>
          </w:p>
        </w:tc>
        <w:tc>
          <w:tcPr>
            <w:tcW w:type="dxa" w:w="1904"/>
            <w:vAlign w:val="center"/>
            <w:tcMar>
              <w:top w:w="100" w:type="dxa"/>
              <w:start w:w="110" w:type="dxa"/>
              <w:bottom w:w="100" w:type="dxa"/>
              <w:end w:w="110" w:type="dxa"/>
            </w:tcMar>
          </w:tcPr>
          <w:p>
            <w:pPr>
              <w:spacing w:after="0"/>
              <w:jc w:val="center"/>
            </w:pPr>
            <w:r>
              <w:rPr>
                <w:sz w:val="18"/>
              </w:rPr>
              <w:t>82.42%</w:t>
            </w:r>
          </w:p>
        </w:tc>
        <w:tc>
          <w:tcPr>
            <w:tcW w:type="dxa" w:w="1904"/>
            <w:vAlign w:val="center"/>
            <w:tcMar>
              <w:top w:w="100" w:type="dxa"/>
              <w:start w:w="110" w:type="dxa"/>
              <w:bottom w:w="100" w:type="dxa"/>
              <w:end w:w="110" w:type="dxa"/>
            </w:tcMar>
          </w:tcPr>
          <w:p>
            <w:pPr>
              <w:spacing w:after="0"/>
              <w:jc w:val="center"/>
            </w:pPr>
            <w:r>
              <w:rPr>
                <w:sz w:val="18"/>
              </w:rPr>
              <w:t>91.90%</w:t>
            </w:r>
          </w:p>
        </w:tc>
      </w:tr>
      <w:tr>
        <w:tc>
          <w:tcPr>
            <w:tcW w:type="dxa" w:w="1904"/>
            <w:vAlign w:val="center"/>
            <w:tcMar>
              <w:top w:w="100" w:type="dxa"/>
              <w:start w:w="110" w:type="dxa"/>
              <w:bottom w:w="100" w:type="dxa"/>
              <w:end w:w="110" w:type="dxa"/>
            </w:tcMar>
            <w:shd w:fill="EEF3F8"/>
          </w:tcPr>
          <w:p>
            <w:pPr>
              <w:spacing w:after="0"/>
              <w:jc w:val="left"/>
            </w:pPr>
            <w:r>
              <w:rPr>
                <w:sz w:val="18"/>
              </w:rPr>
              <w:t>APAVA AD vs CN</w:t>
            </w:r>
          </w:p>
        </w:tc>
        <w:tc>
          <w:tcPr>
            <w:tcW w:type="dxa" w:w="1904"/>
            <w:vAlign w:val="center"/>
            <w:tcMar>
              <w:top w:w="100" w:type="dxa"/>
              <w:start w:w="110" w:type="dxa"/>
              <w:bottom w:w="100" w:type="dxa"/>
              <w:end w:w="110" w:type="dxa"/>
            </w:tcMar>
            <w:shd w:fill="EEF3F8"/>
          </w:tcPr>
          <w:p>
            <w:pPr>
              <w:spacing w:after="0"/>
              <w:jc w:val="left"/>
            </w:pPr>
            <w:r>
              <w:rPr>
                <w:sz w:val="18"/>
              </w:rPr>
              <w:t>Subject-level test mean</w:t>
            </w:r>
          </w:p>
        </w:tc>
        <w:tc>
          <w:tcPr>
            <w:tcW w:type="dxa" w:w="1904"/>
            <w:vAlign w:val="center"/>
            <w:tcMar>
              <w:top w:w="100" w:type="dxa"/>
              <w:start w:w="110" w:type="dxa"/>
              <w:bottom w:w="100" w:type="dxa"/>
              <w:end w:w="110" w:type="dxa"/>
            </w:tcMar>
            <w:shd w:fill="EEF3F8"/>
          </w:tcPr>
          <w:p>
            <w:pPr>
              <w:spacing w:after="0"/>
              <w:jc w:val="center"/>
            </w:pPr>
            <w:r>
              <w:rPr>
                <w:sz w:val="18"/>
              </w:rPr>
              <w:t>90.00%</w:t>
            </w:r>
          </w:p>
        </w:tc>
        <w:tc>
          <w:tcPr>
            <w:tcW w:type="dxa" w:w="1904"/>
            <w:vAlign w:val="center"/>
            <w:tcMar>
              <w:top w:w="100" w:type="dxa"/>
              <w:start w:w="110" w:type="dxa"/>
              <w:bottom w:w="100" w:type="dxa"/>
              <w:end w:w="110" w:type="dxa"/>
            </w:tcMar>
            <w:shd w:fill="EEF3F8"/>
          </w:tcPr>
          <w:p>
            <w:pPr>
              <w:spacing w:after="0"/>
              <w:jc w:val="center"/>
            </w:pPr>
            <w:r>
              <w:rPr>
                <w:sz w:val="18"/>
              </w:rPr>
              <w:t>89.33%</w:t>
            </w:r>
          </w:p>
        </w:tc>
        <w:tc>
          <w:tcPr>
            <w:tcW w:type="dxa" w:w="1904"/>
            <w:vAlign w:val="center"/>
            <w:tcMar>
              <w:top w:w="100" w:type="dxa"/>
              <w:start w:w="110" w:type="dxa"/>
              <w:bottom w:w="100" w:type="dxa"/>
              <w:end w:w="110" w:type="dxa"/>
            </w:tcMar>
            <w:shd w:fill="EEF3F8"/>
          </w:tcPr>
          <w:p>
            <w:pPr>
              <w:spacing w:after="0"/>
              <w:jc w:val="center"/>
            </w:pPr>
            <w:r>
              <w:rPr>
                <w:sz w:val="18"/>
              </w:rPr>
              <w:t>90.00%</w:t>
            </w:r>
          </w:p>
        </w:tc>
      </w:tr>
      <w:tr>
        <w:tc>
          <w:tcPr>
            <w:tcW w:type="dxa" w:w="1904"/>
            <w:vAlign w:val="center"/>
            <w:tcMar>
              <w:top w:w="100" w:type="dxa"/>
              <w:start w:w="110" w:type="dxa"/>
              <w:bottom w:w="100" w:type="dxa"/>
              <w:end w:w="110" w:type="dxa"/>
            </w:tcMar>
          </w:tcPr>
          <w:p>
            <w:pPr>
              <w:spacing w:after="0"/>
              <w:jc w:val="left"/>
            </w:pPr>
            <w:r>
              <w:rPr>
                <w:sz w:val="18"/>
              </w:rPr>
              <w:t>RepOD schizophrenia vs CN</w:t>
            </w:r>
          </w:p>
        </w:tc>
        <w:tc>
          <w:tcPr>
            <w:tcW w:type="dxa" w:w="1904"/>
            <w:vAlign w:val="center"/>
            <w:tcMar>
              <w:top w:w="100" w:type="dxa"/>
              <w:start w:w="110" w:type="dxa"/>
              <w:bottom w:w="100" w:type="dxa"/>
              <w:end w:w="110" w:type="dxa"/>
            </w:tcMar>
          </w:tcPr>
          <w:p>
            <w:pPr>
              <w:spacing w:after="0"/>
              <w:jc w:val="left"/>
            </w:pPr>
            <w:r>
              <w:rPr>
                <w:sz w:val="18"/>
              </w:rPr>
              <w:t>5-run test mean</w:t>
            </w:r>
          </w:p>
        </w:tc>
        <w:tc>
          <w:tcPr>
            <w:tcW w:type="dxa" w:w="1904"/>
            <w:vAlign w:val="center"/>
            <w:tcMar>
              <w:top w:w="100" w:type="dxa"/>
              <w:start w:w="110" w:type="dxa"/>
              <w:bottom w:w="100" w:type="dxa"/>
              <w:end w:w="110" w:type="dxa"/>
            </w:tcMar>
          </w:tcPr>
          <w:p>
            <w:pPr>
              <w:spacing w:after="0"/>
              <w:jc w:val="center"/>
            </w:pPr>
            <w:r>
              <w:rPr>
                <w:sz w:val="18"/>
              </w:rPr>
              <w:t>61.36%</w:t>
            </w:r>
          </w:p>
        </w:tc>
        <w:tc>
          <w:tcPr>
            <w:tcW w:type="dxa" w:w="1904"/>
            <w:vAlign w:val="center"/>
            <w:tcMar>
              <w:top w:w="100" w:type="dxa"/>
              <w:start w:w="110" w:type="dxa"/>
              <w:bottom w:w="100" w:type="dxa"/>
              <w:end w:w="110" w:type="dxa"/>
            </w:tcMar>
          </w:tcPr>
          <w:p>
            <w:pPr>
              <w:spacing w:after="0"/>
              <w:jc w:val="center"/>
            </w:pPr>
            <w:r>
              <w:rPr>
                <w:sz w:val="18"/>
              </w:rPr>
              <w:t>58.03%</w:t>
            </w:r>
          </w:p>
        </w:tc>
        <w:tc>
          <w:tcPr>
            <w:tcW w:type="dxa" w:w="1904"/>
            <w:vAlign w:val="center"/>
            <w:tcMar>
              <w:top w:w="100" w:type="dxa"/>
              <w:start w:w="110" w:type="dxa"/>
              <w:bottom w:w="100" w:type="dxa"/>
              <w:end w:w="110" w:type="dxa"/>
            </w:tcMar>
          </w:tcPr>
          <w:p>
            <w:pPr>
              <w:spacing w:after="0"/>
              <w:jc w:val="center"/>
            </w:pPr>
            <w:r>
              <w:rPr>
                <w:sz w:val="18"/>
              </w:rPr>
              <w:t>64.89%</w:t>
            </w:r>
          </w:p>
        </w:tc>
      </w:tr>
      <w:tr>
        <w:tc>
          <w:tcPr>
            <w:tcW w:type="dxa" w:w="1904"/>
            <w:vAlign w:val="center"/>
            <w:tcMar>
              <w:top w:w="100" w:type="dxa"/>
              <w:start w:w="110" w:type="dxa"/>
              <w:bottom w:w="100" w:type="dxa"/>
              <w:end w:w="110" w:type="dxa"/>
            </w:tcMar>
            <w:shd w:fill="EEF3F8"/>
          </w:tcPr>
          <w:p>
            <w:pPr>
              <w:spacing w:after="0"/>
              <w:jc w:val="left"/>
            </w:pPr>
            <w:r>
              <w:rPr>
                <w:sz w:val="18"/>
              </w:rPr>
              <w:t>RepOD schizophrenia vs CN</w:t>
            </w:r>
          </w:p>
        </w:tc>
        <w:tc>
          <w:tcPr>
            <w:tcW w:type="dxa" w:w="1904"/>
            <w:vAlign w:val="center"/>
            <w:tcMar>
              <w:top w:w="100" w:type="dxa"/>
              <w:start w:w="110" w:type="dxa"/>
              <w:bottom w:w="100" w:type="dxa"/>
              <w:end w:w="110" w:type="dxa"/>
            </w:tcMar>
            <w:shd w:fill="EEF3F8"/>
          </w:tcPr>
          <w:p>
            <w:pPr>
              <w:spacing w:after="0"/>
              <w:jc w:val="left"/>
            </w:pPr>
            <w:r>
              <w:rPr>
                <w:sz w:val="18"/>
              </w:rPr>
              <w:t>Subject-level test mean</w:t>
            </w:r>
          </w:p>
        </w:tc>
        <w:tc>
          <w:tcPr>
            <w:tcW w:type="dxa" w:w="1904"/>
            <w:vAlign w:val="center"/>
            <w:tcMar>
              <w:top w:w="100" w:type="dxa"/>
              <w:start w:w="110" w:type="dxa"/>
              <w:bottom w:w="100" w:type="dxa"/>
              <w:end w:w="110" w:type="dxa"/>
            </w:tcMar>
            <w:shd w:fill="EEF3F8"/>
          </w:tcPr>
          <w:p>
            <w:pPr>
              <w:spacing w:after="0"/>
              <w:jc w:val="center"/>
            </w:pPr>
            <w:r>
              <w:rPr>
                <w:sz w:val="18"/>
              </w:rPr>
              <w:t>56.67%</w:t>
            </w:r>
          </w:p>
        </w:tc>
        <w:tc>
          <w:tcPr>
            <w:tcW w:type="dxa" w:w="1904"/>
            <w:vAlign w:val="center"/>
            <w:tcMar>
              <w:top w:w="100" w:type="dxa"/>
              <w:start w:w="110" w:type="dxa"/>
              <w:bottom w:w="100" w:type="dxa"/>
              <w:end w:w="110" w:type="dxa"/>
            </w:tcMar>
            <w:shd w:fill="EEF3F8"/>
          </w:tcPr>
          <w:p>
            <w:pPr>
              <w:spacing w:after="0"/>
              <w:jc w:val="center"/>
            </w:pPr>
            <w:r>
              <w:rPr>
                <w:sz w:val="18"/>
              </w:rPr>
              <w:t>51.10%</w:t>
            </w:r>
          </w:p>
        </w:tc>
        <w:tc>
          <w:tcPr>
            <w:tcW w:type="dxa" w:w="1904"/>
            <w:vAlign w:val="center"/>
            <w:tcMar>
              <w:top w:w="100" w:type="dxa"/>
              <w:start w:w="110" w:type="dxa"/>
              <w:bottom w:w="100" w:type="dxa"/>
              <w:end w:w="110" w:type="dxa"/>
            </w:tcMar>
            <w:shd w:fill="EEF3F8"/>
          </w:tcPr>
          <w:p>
            <w:pPr>
              <w:spacing w:after="0"/>
              <w:jc w:val="center"/>
            </w:pPr>
            <w:r>
              <w:rPr>
                <w:sz w:val="18"/>
              </w:rPr>
              <w:t>56.67%</w:t>
            </w:r>
          </w:p>
        </w:tc>
      </w:tr>
      <w:tr>
        <w:tc>
          <w:tcPr>
            <w:tcW w:type="dxa" w:w="1904"/>
            <w:vAlign w:val="center"/>
            <w:tcMar>
              <w:top w:w="100" w:type="dxa"/>
              <w:start w:w="110" w:type="dxa"/>
              <w:bottom w:w="100" w:type="dxa"/>
              <w:end w:w="110" w:type="dxa"/>
            </w:tcMar>
          </w:tcPr>
          <w:p>
            <w:pPr>
              <w:spacing w:after="0"/>
              <w:jc w:val="left"/>
            </w:pPr>
            <w:r>
              <w:rPr>
                <w:sz w:val="18"/>
              </w:rPr>
              <w:t>OpenNeuro AD vs CN</w:t>
            </w:r>
          </w:p>
        </w:tc>
        <w:tc>
          <w:tcPr>
            <w:tcW w:type="dxa" w:w="1904"/>
            <w:vAlign w:val="center"/>
            <w:tcMar>
              <w:top w:w="100" w:type="dxa"/>
              <w:start w:w="110" w:type="dxa"/>
              <w:bottom w:w="100" w:type="dxa"/>
              <w:end w:w="110" w:type="dxa"/>
            </w:tcMar>
          </w:tcPr>
          <w:p>
            <w:pPr>
              <w:spacing w:after="0"/>
              <w:jc w:val="left"/>
            </w:pPr>
            <w:r>
              <w:rPr>
                <w:sz w:val="18"/>
              </w:rPr>
              <w:t>Fixed-split test</w:t>
            </w:r>
          </w:p>
        </w:tc>
        <w:tc>
          <w:tcPr>
            <w:tcW w:type="dxa" w:w="1904"/>
            <w:vAlign w:val="center"/>
            <w:tcMar>
              <w:top w:w="100" w:type="dxa"/>
              <w:start w:w="110" w:type="dxa"/>
              <w:bottom w:w="100" w:type="dxa"/>
              <w:end w:w="110" w:type="dxa"/>
            </w:tcMar>
          </w:tcPr>
          <w:p>
            <w:pPr>
              <w:spacing w:after="0"/>
              <w:jc w:val="center"/>
            </w:pPr>
            <w:r>
              <w:rPr>
                <w:sz w:val="18"/>
              </w:rPr>
              <w:t>78.91%</w:t>
            </w:r>
          </w:p>
        </w:tc>
        <w:tc>
          <w:tcPr>
            <w:tcW w:type="dxa" w:w="1904"/>
            <w:vAlign w:val="center"/>
            <w:tcMar>
              <w:top w:w="100" w:type="dxa"/>
              <w:start w:w="110" w:type="dxa"/>
              <w:bottom w:w="100" w:type="dxa"/>
              <w:end w:w="110" w:type="dxa"/>
            </w:tcMar>
          </w:tcPr>
          <w:p>
            <w:pPr>
              <w:spacing w:after="0"/>
              <w:jc w:val="center"/>
            </w:pPr>
            <w:r>
              <w:rPr>
                <w:sz w:val="18"/>
              </w:rPr>
              <w:t>78.35%</w:t>
            </w:r>
          </w:p>
        </w:tc>
        <w:tc>
          <w:tcPr>
            <w:tcW w:type="dxa" w:w="1904"/>
            <w:vAlign w:val="center"/>
            <w:tcMar>
              <w:top w:w="100" w:type="dxa"/>
              <w:start w:w="110" w:type="dxa"/>
              <w:bottom w:w="100" w:type="dxa"/>
              <w:end w:w="110" w:type="dxa"/>
            </w:tcMar>
          </w:tcPr>
          <w:p>
            <w:pPr>
              <w:spacing w:after="0"/>
              <w:jc w:val="center"/>
            </w:pPr>
            <w:r>
              <w:rPr>
                <w:sz w:val="18"/>
              </w:rPr>
              <w:t>88.51%</w:t>
            </w:r>
          </w:p>
        </w:tc>
      </w:tr>
      <w:tr>
        <w:tc>
          <w:tcPr>
            <w:tcW w:type="dxa" w:w="1904"/>
            <w:vAlign w:val="center"/>
            <w:tcMar>
              <w:top w:w="100" w:type="dxa"/>
              <w:start w:w="110" w:type="dxa"/>
              <w:bottom w:w="100" w:type="dxa"/>
              <w:end w:w="110" w:type="dxa"/>
            </w:tcMar>
            <w:shd w:fill="EEF3F8"/>
          </w:tcPr>
          <w:p>
            <w:pPr>
              <w:spacing w:after="0"/>
              <w:jc w:val="left"/>
            </w:pPr>
            <w:r>
              <w:rPr>
                <w:sz w:val="18"/>
              </w:rPr>
              <w:t>OpenNeuro AD vs CN</w:t>
            </w:r>
          </w:p>
        </w:tc>
        <w:tc>
          <w:tcPr>
            <w:tcW w:type="dxa" w:w="1904"/>
            <w:vAlign w:val="center"/>
            <w:tcMar>
              <w:top w:w="100" w:type="dxa"/>
              <w:start w:w="110" w:type="dxa"/>
              <w:bottom w:w="100" w:type="dxa"/>
              <w:end w:w="110" w:type="dxa"/>
            </w:tcMar>
            <w:shd w:fill="EEF3F8"/>
          </w:tcPr>
          <w:p>
            <w:pPr>
              <w:spacing w:after="0"/>
              <w:jc w:val="left"/>
            </w:pPr>
            <w:r>
              <w:rPr>
                <w:sz w:val="18"/>
              </w:rPr>
              <w:t>Subject-level test</w:t>
            </w:r>
          </w:p>
        </w:tc>
        <w:tc>
          <w:tcPr>
            <w:tcW w:type="dxa" w:w="1904"/>
            <w:vAlign w:val="center"/>
            <w:tcMar>
              <w:top w:w="100" w:type="dxa"/>
              <w:start w:w="110" w:type="dxa"/>
              <w:bottom w:w="100" w:type="dxa"/>
              <w:end w:w="110" w:type="dxa"/>
            </w:tcMar>
            <w:shd w:fill="EEF3F8"/>
          </w:tcPr>
          <w:p>
            <w:pPr>
              <w:spacing w:after="0"/>
              <w:jc w:val="center"/>
            </w:pPr>
            <w:r>
              <w:rPr>
                <w:sz w:val="18"/>
              </w:rPr>
              <w:t>85.71%</w:t>
            </w:r>
          </w:p>
        </w:tc>
        <w:tc>
          <w:tcPr>
            <w:tcW w:type="dxa" w:w="1904"/>
            <w:vAlign w:val="center"/>
            <w:tcMar>
              <w:top w:w="100" w:type="dxa"/>
              <w:start w:w="110" w:type="dxa"/>
              <w:bottom w:w="100" w:type="dxa"/>
              <w:end w:w="110" w:type="dxa"/>
            </w:tcMar>
            <w:shd w:fill="EEF3F8"/>
          </w:tcPr>
          <w:p>
            <w:pPr>
              <w:spacing w:after="0"/>
              <w:jc w:val="center"/>
            </w:pPr>
            <w:r>
              <w:rPr>
                <w:sz w:val="18"/>
              </w:rPr>
              <w:t>84.44%</w:t>
            </w:r>
          </w:p>
        </w:tc>
        <w:tc>
          <w:tcPr>
            <w:tcW w:type="dxa" w:w="1904"/>
            <w:vAlign w:val="center"/>
            <w:tcMar>
              <w:top w:w="100" w:type="dxa"/>
              <w:start w:w="110" w:type="dxa"/>
              <w:bottom w:w="100" w:type="dxa"/>
              <w:end w:w="110" w:type="dxa"/>
            </w:tcMar>
            <w:shd w:fill="EEF3F8"/>
          </w:tcPr>
          <w:p>
            <w:pPr>
              <w:spacing w:after="0"/>
              <w:jc w:val="center"/>
            </w:pPr>
            <w:r>
              <w:rPr>
                <w:sz w:val="18"/>
              </w:rPr>
              <w:t>83.33%</w:t>
            </w:r>
          </w:p>
        </w:tc>
      </w:tr>
      <w:tr>
        <w:tc>
          <w:tcPr>
            <w:tcW w:type="dxa" w:w="1904"/>
            <w:vAlign w:val="center"/>
            <w:tcMar>
              <w:top w:w="100" w:type="dxa"/>
              <w:start w:w="110" w:type="dxa"/>
              <w:bottom w:w="100" w:type="dxa"/>
              <w:end w:w="110" w:type="dxa"/>
            </w:tcMar>
          </w:tcPr>
          <w:p>
            <w:pPr>
              <w:spacing w:after="0"/>
              <w:jc w:val="left"/>
            </w:pPr>
            <w:r>
              <w:rPr>
                <w:sz w:val="18"/>
              </w:rPr>
              <w:t>OpenNeuro FTD vs CN</w:t>
            </w:r>
          </w:p>
        </w:tc>
        <w:tc>
          <w:tcPr>
            <w:tcW w:type="dxa" w:w="1904"/>
            <w:vAlign w:val="center"/>
            <w:tcMar>
              <w:top w:w="100" w:type="dxa"/>
              <w:start w:w="110" w:type="dxa"/>
              <w:bottom w:w="100" w:type="dxa"/>
              <w:end w:w="110" w:type="dxa"/>
            </w:tcMar>
          </w:tcPr>
          <w:p>
            <w:pPr>
              <w:spacing w:after="0"/>
              <w:jc w:val="left"/>
            </w:pPr>
            <w:r>
              <w:rPr>
                <w:sz w:val="18"/>
              </w:rPr>
              <w:t>Fixed-split test</w:t>
            </w:r>
          </w:p>
        </w:tc>
        <w:tc>
          <w:tcPr>
            <w:tcW w:type="dxa" w:w="1904"/>
            <w:vAlign w:val="center"/>
            <w:tcMar>
              <w:top w:w="100" w:type="dxa"/>
              <w:start w:w="110" w:type="dxa"/>
              <w:bottom w:w="100" w:type="dxa"/>
              <w:end w:w="110" w:type="dxa"/>
            </w:tcMar>
          </w:tcPr>
          <w:p>
            <w:pPr>
              <w:spacing w:after="0"/>
              <w:jc w:val="center"/>
            </w:pPr>
            <w:r>
              <w:rPr>
                <w:sz w:val="18"/>
              </w:rPr>
              <w:t>92.74%</w:t>
            </w:r>
          </w:p>
        </w:tc>
        <w:tc>
          <w:tcPr>
            <w:tcW w:type="dxa" w:w="1904"/>
            <w:vAlign w:val="center"/>
            <w:tcMar>
              <w:top w:w="100" w:type="dxa"/>
              <w:start w:w="110" w:type="dxa"/>
              <w:bottom w:w="100" w:type="dxa"/>
              <w:end w:w="110" w:type="dxa"/>
            </w:tcMar>
          </w:tcPr>
          <w:p>
            <w:pPr>
              <w:spacing w:after="0"/>
              <w:jc w:val="center"/>
            </w:pPr>
            <w:r>
              <w:rPr>
                <w:sz w:val="18"/>
              </w:rPr>
              <w:t>92.71%</w:t>
            </w:r>
          </w:p>
        </w:tc>
        <w:tc>
          <w:tcPr>
            <w:tcW w:type="dxa" w:w="1904"/>
            <w:vAlign w:val="center"/>
            <w:tcMar>
              <w:top w:w="100" w:type="dxa"/>
              <w:start w:w="110" w:type="dxa"/>
              <w:bottom w:w="100" w:type="dxa"/>
              <w:end w:w="110" w:type="dxa"/>
            </w:tcMar>
          </w:tcPr>
          <w:p>
            <w:pPr>
              <w:spacing w:after="0"/>
              <w:jc w:val="center"/>
            </w:pPr>
            <w:r>
              <w:rPr>
                <w:sz w:val="18"/>
              </w:rPr>
              <w:t>98.01%</w:t>
            </w:r>
          </w:p>
        </w:tc>
      </w:tr>
      <w:tr>
        <w:tc>
          <w:tcPr>
            <w:tcW w:type="dxa" w:w="1904"/>
            <w:vAlign w:val="center"/>
            <w:tcMar>
              <w:top w:w="100" w:type="dxa"/>
              <w:start w:w="110" w:type="dxa"/>
              <w:bottom w:w="100" w:type="dxa"/>
              <w:end w:w="110" w:type="dxa"/>
            </w:tcMar>
            <w:shd w:fill="EEF3F8"/>
          </w:tcPr>
          <w:p>
            <w:pPr>
              <w:spacing w:after="0"/>
              <w:jc w:val="left"/>
            </w:pPr>
            <w:r>
              <w:rPr>
                <w:sz w:val="18"/>
              </w:rPr>
              <w:t>OpenNeuro FTD vs CN</w:t>
            </w:r>
          </w:p>
        </w:tc>
        <w:tc>
          <w:tcPr>
            <w:tcW w:type="dxa" w:w="1904"/>
            <w:vAlign w:val="center"/>
            <w:tcMar>
              <w:top w:w="100" w:type="dxa"/>
              <w:start w:w="110" w:type="dxa"/>
              <w:bottom w:w="100" w:type="dxa"/>
              <w:end w:w="110" w:type="dxa"/>
            </w:tcMar>
            <w:shd w:fill="EEF3F8"/>
          </w:tcPr>
          <w:p>
            <w:pPr>
              <w:spacing w:after="0"/>
              <w:jc w:val="left"/>
            </w:pPr>
            <w:r>
              <w:rPr>
                <w:sz w:val="18"/>
              </w:rPr>
              <w:t>Subject-level test</w:t>
            </w:r>
          </w:p>
        </w:tc>
        <w:tc>
          <w:tcPr>
            <w:tcW w:type="dxa" w:w="1904"/>
            <w:vAlign w:val="center"/>
            <w:tcMar>
              <w:top w:w="100" w:type="dxa"/>
              <w:start w:w="110" w:type="dxa"/>
              <w:bottom w:w="100" w:type="dxa"/>
              <w:end w:w="110" w:type="dxa"/>
            </w:tcMar>
            <w:shd w:fill="EEF3F8"/>
          </w:tcPr>
          <w:p>
            <w:pPr>
              <w:spacing w:after="0"/>
              <w:jc w:val="center"/>
            </w:pPr>
            <w:r>
              <w:rPr>
                <w:sz w:val="18"/>
              </w:rPr>
              <w:t>100.00%</w:t>
            </w:r>
          </w:p>
        </w:tc>
        <w:tc>
          <w:tcPr>
            <w:tcW w:type="dxa" w:w="1904"/>
            <w:vAlign w:val="center"/>
            <w:tcMar>
              <w:top w:w="100" w:type="dxa"/>
              <w:start w:w="110" w:type="dxa"/>
              <w:bottom w:w="100" w:type="dxa"/>
              <w:end w:w="110" w:type="dxa"/>
            </w:tcMar>
            <w:shd w:fill="EEF3F8"/>
          </w:tcPr>
          <w:p>
            <w:pPr>
              <w:spacing w:after="0"/>
              <w:jc w:val="center"/>
            </w:pPr>
            <w:r>
              <w:rPr>
                <w:sz w:val="18"/>
              </w:rPr>
              <w:t>100.00%</w:t>
            </w:r>
          </w:p>
        </w:tc>
        <w:tc>
          <w:tcPr>
            <w:tcW w:type="dxa" w:w="1904"/>
            <w:vAlign w:val="center"/>
            <w:tcMar>
              <w:top w:w="100" w:type="dxa"/>
              <w:start w:w="110" w:type="dxa"/>
              <w:bottom w:w="100" w:type="dxa"/>
              <w:end w:w="110" w:type="dxa"/>
            </w:tcMar>
            <w:shd w:fill="EEF3F8"/>
          </w:tcPr>
          <w:p>
            <w:pPr>
              <w:spacing w:after="0"/>
              <w:jc w:val="center"/>
            </w:pPr>
            <w:r>
              <w:rPr>
                <w:sz w:val="18"/>
              </w:rPr>
              <w:t>100.00%</w:t>
            </w:r>
          </w:p>
        </w:tc>
      </w:tr>
    </w:tbl>
    <w:p>
      <w:r>
        <w:t>The OpenNeuro FTD versus CN result is based on only six test subjects, while the AD versus CN result is based on seven. Therefore, the apparently high subject-level results must be validated using multiple subject-level splits or cross-validation before any conclusion is made.</w:t>
      </w:r>
    </w:p>
    <w:p>
      <w:pPr>
        <w:pStyle w:val="Heading1"/>
      </w:pPr>
      <w:r>
        <w:t>4 Problems and Current Limitations</w:t>
      </w:r>
    </w:p>
    <w:p>
      <w:pPr>
        <w:pStyle w:val="ListBullet"/>
      </w:pPr>
      <w:r>
        <w:t>The public clinical datasets contain relatively few subjects, although preprocessing produces many highly correlated EEG windows.</w:t>
      </w:r>
    </w:p>
    <w:p>
      <w:pPr>
        <w:pStyle w:val="ListBullet"/>
      </w:pPr>
      <w:r>
        <w:t>Single fixed-split results are sensitive to which subjects are assigned to the test set.</w:t>
      </w:r>
    </w:p>
    <w:p>
      <w:pPr>
        <w:pStyle w:val="ListBullet"/>
      </w:pPr>
      <w:r>
        <w:t>Different datasets use different channels, sampling rates, reference schemes and recording conditions, which can introduce dataset-source bias.</w:t>
      </w:r>
    </w:p>
    <w:p>
      <w:pPr>
        <w:pStyle w:val="ListBullet"/>
      </w:pPr>
      <w:r>
        <w:t>Attention weights alone are not sufficient evidence of physiological importance; ablation experiments are required.</w:t>
      </w:r>
    </w:p>
    <w:p>
      <w:pPr>
        <w:pStyle w:val="ListBullet"/>
      </w:pPr>
      <w:r>
        <w:t>The current datasets do not yet use one fully standardised preprocessing procedure, so preprocessing sensitivity must be documented.</w:t>
      </w:r>
    </w:p>
    <w:p>
      <w:pPr>
        <w:pStyle w:val="Heading1"/>
      </w:pPr>
      <w:r>
        <w:t>5 Current Activities</w:t>
      </w:r>
    </w:p>
    <w:p>
      <w:pPr>
        <w:pStyle w:val="ListBullet"/>
      </w:pPr>
      <w:r>
        <w:t>Reviewing the completed AD versus CN and FTD versus CN baselines and documenting their limitations.</w:t>
      </w:r>
    </w:p>
    <w:p>
      <w:pPr>
        <w:pStyle w:val="ListBullet"/>
      </w:pPr>
      <w:r>
        <w:t>Preparing subject-level repeated evaluation so that mean performance and variability can be reported.</w:t>
      </w:r>
    </w:p>
    <w:p>
      <w:pPr>
        <w:pStyle w:val="ListBullet"/>
      </w:pPr>
      <w:r>
        <w:t>Designing the single-band preprocessing and experiment structure for Delta, Theta, Alpha, Beta and Gamma comparisons.</w:t>
      </w:r>
    </w:p>
    <w:p>
      <w:pPr>
        <w:pStyle w:val="ListBullet"/>
      </w:pPr>
      <w:r>
        <w:t>Refining the MultiBand-LEAD architecture and deciding how frequency-band representations should be fused.</w:t>
      </w:r>
    </w:p>
    <w:p>
      <w:pPr>
        <w:pStyle w:val="Heading1"/>
      </w:pPr>
      <w:r>
        <w:t>6 Work to Be Done</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203864"/>
            <w:tcMar>
              <w:top w:w="100" w:type="dxa"/>
              <w:start w:w="110" w:type="dxa"/>
              <w:bottom w:w="100" w:type="dxa"/>
              <w:end w:w="110" w:type="dxa"/>
            </w:tcMar>
          </w:tcPr>
          <w:p>
            <w:r>
              <w:rPr>
                <w:b/>
                <w:color w:val="FFFFFF"/>
              </w:rPr>
              <w:t>Stage</w:t>
            </w:r>
          </w:p>
        </w:tc>
        <w:tc>
          <w:tcPr>
            <w:tcW w:type="dxa" w:w="3173"/>
            <w:shd w:fill="203864"/>
            <w:tcMar>
              <w:top w:w="100" w:type="dxa"/>
              <w:start w:w="110" w:type="dxa"/>
              <w:bottom w:w="100" w:type="dxa"/>
              <w:end w:w="110" w:type="dxa"/>
            </w:tcMar>
          </w:tcPr>
          <w:p>
            <w:r>
              <w:rPr>
                <w:b/>
                <w:color w:val="FFFFFF"/>
              </w:rPr>
              <w:t>Planned work</w:t>
            </w:r>
          </w:p>
        </w:tc>
        <w:tc>
          <w:tcPr>
            <w:tcW w:type="dxa" w:w="3173"/>
            <w:shd w:fill="203864"/>
            <w:tcMar>
              <w:top w:w="100" w:type="dxa"/>
              <w:start w:w="110" w:type="dxa"/>
              <w:bottom w:w="100" w:type="dxa"/>
              <w:end w:w="110" w:type="dxa"/>
            </w:tcMar>
          </w:tcPr>
          <w:p>
            <w:r>
              <w:rPr>
                <w:b/>
                <w:color w:val="FFFFFF"/>
              </w:rPr>
              <w:t>Expected output</w:t>
            </w:r>
          </w:p>
        </w:tc>
      </w:tr>
      <w:tr>
        <w:tc>
          <w:tcPr>
            <w:tcW w:type="dxa" w:w="3173"/>
            <w:vAlign w:val="center"/>
            <w:tcMar>
              <w:top w:w="90" w:type="dxa"/>
              <w:start w:w="110" w:type="dxa"/>
              <w:bottom w:w="90" w:type="dxa"/>
              <w:end w:w="110" w:type="dxa"/>
            </w:tcMar>
          </w:tcPr>
          <w:p>
            <w:pPr>
              <w:spacing w:after="0"/>
            </w:pPr>
            <w:r>
              <w:rPr>
                <w:sz w:val="18"/>
              </w:rPr>
              <w:t>1 Baseline completion</w:t>
            </w:r>
          </w:p>
        </w:tc>
        <w:tc>
          <w:tcPr>
            <w:tcW w:type="dxa" w:w="3173"/>
            <w:vAlign w:val="center"/>
            <w:tcMar>
              <w:top w:w="90" w:type="dxa"/>
              <w:start w:w="110" w:type="dxa"/>
              <w:bottom w:w="90" w:type="dxa"/>
              <w:end w:w="110" w:type="dxa"/>
            </w:tcMar>
          </w:tcPr>
          <w:p>
            <w:pPr>
              <w:spacing w:after="0"/>
            </w:pPr>
            <w:r>
              <w:rPr>
                <w:sz w:val="18"/>
              </w:rPr>
              <w:t>Complete AD versus FTD and AD-FTD-CN three-class experiments.</w:t>
            </w:r>
          </w:p>
        </w:tc>
        <w:tc>
          <w:tcPr>
            <w:tcW w:type="dxa" w:w="3173"/>
            <w:vAlign w:val="center"/>
            <w:tcMar>
              <w:top w:w="90" w:type="dxa"/>
              <w:start w:w="110" w:type="dxa"/>
              <w:bottom w:w="90" w:type="dxa"/>
              <w:end w:w="110" w:type="dxa"/>
            </w:tcMar>
          </w:tcPr>
          <w:p>
            <w:pPr>
              <w:spacing w:after="0"/>
            </w:pPr>
            <w:r>
              <w:rPr>
                <w:sz w:val="18"/>
              </w:rPr>
              <w:t>A complete set of disease-classification baselines.</w:t>
            </w:r>
          </w:p>
        </w:tc>
      </w:tr>
      <w:tr>
        <w:tc>
          <w:tcPr>
            <w:tcW w:type="dxa" w:w="3173"/>
            <w:vAlign w:val="center"/>
            <w:tcMar>
              <w:top w:w="90" w:type="dxa"/>
              <w:start w:w="110" w:type="dxa"/>
              <w:bottom w:w="90" w:type="dxa"/>
              <w:end w:w="110" w:type="dxa"/>
            </w:tcMar>
            <w:shd w:fill="EEF3F8"/>
          </w:tcPr>
          <w:p>
            <w:pPr>
              <w:spacing w:after="0"/>
            </w:pPr>
            <w:r>
              <w:rPr>
                <w:sz w:val="18"/>
              </w:rPr>
              <w:t>2 Reliable evaluation</w:t>
            </w:r>
          </w:p>
        </w:tc>
        <w:tc>
          <w:tcPr>
            <w:tcW w:type="dxa" w:w="3173"/>
            <w:vAlign w:val="center"/>
            <w:tcMar>
              <w:top w:w="90" w:type="dxa"/>
              <w:start w:w="110" w:type="dxa"/>
              <w:bottom w:w="90" w:type="dxa"/>
              <w:end w:w="110" w:type="dxa"/>
            </w:tcMar>
            <w:shd w:fill="EEF3F8"/>
          </w:tcPr>
          <w:p>
            <w:pPr>
              <w:spacing w:after="0"/>
            </w:pPr>
            <w:r>
              <w:rPr>
                <w:sz w:val="18"/>
              </w:rPr>
              <w:t>Run repeated subject-level splits or five-fold cross-validation for the main tasks.</w:t>
            </w:r>
          </w:p>
        </w:tc>
        <w:tc>
          <w:tcPr>
            <w:tcW w:type="dxa" w:w="3173"/>
            <w:vAlign w:val="center"/>
            <w:tcMar>
              <w:top w:w="90" w:type="dxa"/>
              <w:start w:w="110" w:type="dxa"/>
              <w:bottom w:w="90" w:type="dxa"/>
              <w:end w:w="110" w:type="dxa"/>
            </w:tcMar>
            <w:shd w:fill="EEF3F8"/>
          </w:tcPr>
          <w:p>
            <w:pPr>
              <w:spacing w:after="0"/>
            </w:pPr>
            <w:r>
              <w:rPr>
                <w:sz w:val="18"/>
              </w:rPr>
              <w:t>Mean and standard deviation of patient-level metrics.</w:t>
            </w:r>
          </w:p>
        </w:tc>
      </w:tr>
      <w:tr>
        <w:tc>
          <w:tcPr>
            <w:tcW w:type="dxa" w:w="3173"/>
            <w:vAlign w:val="center"/>
            <w:tcMar>
              <w:top w:w="90" w:type="dxa"/>
              <w:start w:w="110" w:type="dxa"/>
              <w:bottom w:w="90" w:type="dxa"/>
              <w:end w:w="110" w:type="dxa"/>
            </w:tcMar>
          </w:tcPr>
          <w:p>
            <w:pPr>
              <w:spacing w:after="0"/>
            </w:pPr>
            <w:r>
              <w:rPr>
                <w:sz w:val="18"/>
              </w:rPr>
              <w:t>3 Single-band study</w:t>
            </w:r>
          </w:p>
        </w:tc>
        <w:tc>
          <w:tcPr>
            <w:tcW w:type="dxa" w:w="3173"/>
            <w:vAlign w:val="center"/>
            <w:tcMar>
              <w:top w:w="90" w:type="dxa"/>
              <w:start w:w="110" w:type="dxa"/>
              <w:bottom w:w="90" w:type="dxa"/>
              <w:end w:w="110" w:type="dxa"/>
            </w:tcMar>
          </w:tcPr>
          <w:p>
            <w:pPr>
              <w:spacing w:after="0"/>
            </w:pPr>
            <w:r>
              <w:rPr>
                <w:sz w:val="18"/>
              </w:rPr>
              <w:t>Train LEADv2 separately on Delta, Theta, Alpha, Beta and Gamma inputs.</w:t>
            </w:r>
          </w:p>
        </w:tc>
        <w:tc>
          <w:tcPr>
            <w:tcW w:type="dxa" w:w="3173"/>
            <w:vAlign w:val="center"/>
            <w:tcMar>
              <w:top w:w="90" w:type="dxa"/>
              <w:start w:w="110" w:type="dxa"/>
              <w:bottom w:w="90" w:type="dxa"/>
              <w:end w:w="110" w:type="dxa"/>
            </w:tcMar>
          </w:tcPr>
          <w:p>
            <w:pPr>
              <w:spacing w:after="0"/>
            </w:pPr>
            <w:r>
              <w:rPr>
                <w:sz w:val="18"/>
              </w:rPr>
              <w:t>Comparable performance for each frequency band.</w:t>
            </w:r>
          </w:p>
        </w:tc>
      </w:tr>
      <w:tr>
        <w:tc>
          <w:tcPr>
            <w:tcW w:type="dxa" w:w="3173"/>
            <w:vAlign w:val="center"/>
            <w:tcMar>
              <w:top w:w="90" w:type="dxa"/>
              <w:start w:w="110" w:type="dxa"/>
              <w:bottom w:w="90" w:type="dxa"/>
              <w:end w:w="110" w:type="dxa"/>
            </w:tcMar>
            <w:shd w:fill="EEF3F8"/>
          </w:tcPr>
          <w:p>
            <w:pPr>
              <w:spacing w:after="0"/>
            </w:pPr>
            <w:r>
              <w:rPr>
                <w:sz w:val="18"/>
              </w:rPr>
              <w:t>4 MultiBand-LEAD</w:t>
            </w:r>
          </w:p>
        </w:tc>
        <w:tc>
          <w:tcPr>
            <w:tcW w:type="dxa" w:w="3173"/>
            <w:vAlign w:val="center"/>
            <w:tcMar>
              <w:top w:w="90" w:type="dxa"/>
              <w:start w:w="110" w:type="dxa"/>
              <w:bottom w:w="90" w:type="dxa"/>
              <w:end w:w="110" w:type="dxa"/>
            </w:tcMar>
            <w:shd w:fill="EEF3F8"/>
          </w:tcPr>
          <w:p>
            <w:pPr>
              <w:spacing w:after="0"/>
            </w:pPr>
            <w:r>
              <w:rPr>
                <w:sz w:val="18"/>
              </w:rPr>
              <w:t>Implement a shared LEADv2 encoder with a learnable band-fusion module.</w:t>
            </w:r>
          </w:p>
        </w:tc>
        <w:tc>
          <w:tcPr>
            <w:tcW w:type="dxa" w:w="3173"/>
            <w:vAlign w:val="center"/>
            <w:tcMar>
              <w:top w:w="90" w:type="dxa"/>
              <w:start w:w="110" w:type="dxa"/>
              <w:bottom w:w="90" w:type="dxa"/>
              <w:end w:w="110" w:type="dxa"/>
            </w:tcMar>
            <w:shd w:fill="EEF3F8"/>
          </w:tcPr>
          <w:p>
            <w:pPr>
              <w:spacing w:after="0"/>
            </w:pPr>
            <w:r>
              <w:rPr>
                <w:sz w:val="18"/>
              </w:rPr>
              <w:t>Classification results and learned band contributions.</w:t>
            </w:r>
          </w:p>
        </w:tc>
      </w:tr>
      <w:tr>
        <w:tc>
          <w:tcPr>
            <w:tcW w:type="dxa" w:w="3173"/>
            <w:vAlign w:val="center"/>
            <w:tcMar>
              <w:top w:w="90" w:type="dxa"/>
              <w:start w:w="110" w:type="dxa"/>
              <w:bottom w:w="90" w:type="dxa"/>
              <w:end w:w="110" w:type="dxa"/>
            </w:tcMar>
          </w:tcPr>
          <w:p>
            <w:pPr>
              <w:spacing w:after="0"/>
            </w:pPr>
            <w:r>
              <w:rPr>
                <w:sz w:val="18"/>
              </w:rPr>
              <w:t>5 Interpretability</w:t>
            </w:r>
          </w:p>
        </w:tc>
        <w:tc>
          <w:tcPr>
            <w:tcW w:type="dxa" w:w="3173"/>
            <w:vAlign w:val="center"/>
            <w:tcMar>
              <w:top w:w="90" w:type="dxa"/>
              <w:start w:w="110" w:type="dxa"/>
              <w:bottom w:w="90" w:type="dxa"/>
              <w:end w:w="110" w:type="dxa"/>
            </w:tcMar>
          </w:tcPr>
          <w:p>
            <w:pPr>
              <w:spacing w:after="0"/>
            </w:pPr>
            <w:r>
              <w:rPr>
                <w:sz w:val="18"/>
              </w:rPr>
              <w:t>Perform leave-one-band-out, electrode masking and band-electrode ablation.</w:t>
            </w:r>
          </w:p>
        </w:tc>
        <w:tc>
          <w:tcPr>
            <w:tcW w:type="dxa" w:w="3173"/>
            <w:vAlign w:val="center"/>
            <w:tcMar>
              <w:top w:w="90" w:type="dxa"/>
              <w:start w:w="110" w:type="dxa"/>
              <w:bottom w:w="90" w:type="dxa"/>
              <w:end w:w="110" w:type="dxa"/>
            </w:tcMar>
          </w:tcPr>
          <w:p>
            <w:pPr>
              <w:spacing w:after="0"/>
            </w:pPr>
            <w:r>
              <w:rPr>
                <w:sz w:val="18"/>
              </w:rPr>
              <w:t>Evidence for important and stable EEG features.</w:t>
            </w:r>
          </w:p>
        </w:tc>
      </w:tr>
      <w:tr>
        <w:tc>
          <w:tcPr>
            <w:tcW w:type="dxa" w:w="3173"/>
            <w:vAlign w:val="center"/>
            <w:tcMar>
              <w:top w:w="90" w:type="dxa"/>
              <w:start w:w="110" w:type="dxa"/>
              <w:bottom w:w="90" w:type="dxa"/>
              <w:end w:w="110" w:type="dxa"/>
            </w:tcMar>
            <w:shd w:fill="EEF3F8"/>
          </w:tcPr>
          <w:p>
            <w:pPr>
              <w:spacing w:after="0"/>
            </w:pPr>
            <w:r>
              <w:rPr>
                <w:sz w:val="18"/>
              </w:rPr>
              <w:t>6 Robustness</w:t>
            </w:r>
          </w:p>
        </w:tc>
        <w:tc>
          <w:tcPr>
            <w:tcW w:type="dxa" w:w="3173"/>
            <w:vAlign w:val="center"/>
            <w:tcMar>
              <w:top w:w="90" w:type="dxa"/>
              <w:start w:w="110" w:type="dxa"/>
              <w:bottom w:w="90" w:type="dxa"/>
              <w:end w:w="110" w:type="dxa"/>
            </w:tcMar>
            <w:shd w:fill="EEF3F8"/>
          </w:tcPr>
          <w:p>
            <w:pPr>
              <w:spacing w:after="0"/>
            </w:pPr>
            <w:r>
              <w:rPr>
                <w:sz w:val="18"/>
              </w:rPr>
              <w:t>Measure the consistency of frequency-band and electrode rankings across folds and datasets.</w:t>
            </w:r>
          </w:p>
        </w:tc>
        <w:tc>
          <w:tcPr>
            <w:tcW w:type="dxa" w:w="3173"/>
            <w:vAlign w:val="center"/>
            <w:tcMar>
              <w:top w:w="90" w:type="dxa"/>
              <w:start w:w="110" w:type="dxa"/>
              <w:bottom w:w="90" w:type="dxa"/>
              <w:end w:w="110" w:type="dxa"/>
            </w:tcMar>
            <w:shd w:fill="EEF3F8"/>
          </w:tcPr>
          <w:p>
            <w:pPr>
              <w:spacing w:after="0"/>
            </w:pPr>
            <w:r>
              <w:rPr>
                <w:sz w:val="18"/>
              </w:rPr>
              <w:t>Cross-fold stability analysis.</w:t>
            </w:r>
          </w:p>
        </w:tc>
      </w:tr>
      <w:tr>
        <w:tc>
          <w:tcPr>
            <w:tcW w:type="dxa" w:w="3173"/>
            <w:vAlign w:val="center"/>
            <w:tcMar>
              <w:top w:w="90" w:type="dxa"/>
              <w:start w:w="110" w:type="dxa"/>
              <w:bottom w:w="90" w:type="dxa"/>
              <w:end w:w="110" w:type="dxa"/>
            </w:tcMar>
          </w:tcPr>
          <w:p>
            <w:pPr>
              <w:spacing w:after="0"/>
            </w:pPr>
            <w:r>
              <w:rPr>
                <w:sz w:val="18"/>
              </w:rPr>
              <w:t>7 External validation</w:t>
            </w:r>
          </w:p>
        </w:tc>
        <w:tc>
          <w:tcPr>
            <w:tcW w:type="dxa" w:w="3173"/>
            <w:vAlign w:val="center"/>
            <w:tcMar>
              <w:top w:w="90" w:type="dxa"/>
              <w:start w:w="110" w:type="dxa"/>
              <w:bottom w:w="90" w:type="dxa"/>
              <w:end w:w="110" w:type="dxa"/>
            </w:tcMar>
          </w:tcPr>
          <w:p>
            <w:pPr>
              <w:spacing w:after="0"/>
            </w:pPr>
            <w:r>
              <w:rPr>
                <w:sz w:val="18"/>
              </w:rPr>
              <w:t>Evaluate the final frozen model on hospital data without using it for model selection.</w:t>
            </w:r>
          </w:p>
        </w:tc>
        <w:tc>
          <w:tcPr>
            <w:tcW w:type="dxa" w:w="3173"/>
            <w:vAlign w:val="center"/>
            <w:tcMar>
              <w:top w:w="90" w:type="dxa"/>
              <w:start w:w="110" w:type="dxa"/>
              <w:bottom w:w="90" w:type="dxa"/>
              <w:end w:w="110" w:type="dxa"/>
            </w:tcMar>
          </w:tcPr>
          <w:p>
            <w:pPr>
              <w:spacing w:after="0"/>
            </w:pPr>
            <w:r>
              <w:rPr>
                <w:sz w:val="18"/>
              </w:rPr>
              <w:t>An independent assessment of transferability.</w:t>
            </w:r>
          </w:p>
        </w:tc>
      </w:tr>
      <w:tr>
        <w:tc>
          <w:tcPr>
            <w:tcW w:type="dxa" w:w="3173"/>
            <w:vAlign w:val="center"/>
            <w:tcMar>
              <w:top w:w="90" w:type="dxa"/>
              <w:start w:w="110" w:type="dxa"/>
              <w:bottom w:w="90" w:type="dxa"/>
              <w:end w:w="110" w:type="dxa"/>
            </w:tcMar>
            <w:shd w:fill="EEF3F8"/>
          </w:tcPr>
          <w:p>
            <w:pPr>
              <w:spacing w:after="0"/>
            </w:pPr>
            <w:r>
              <w:rPr>
                <w:sz w:val="18"/>
              </w:rPr>
              <w:t>8 Final reporting</w:t>
            </w:r>
          </w:p>
        </w:tc>
        <w:tc>
          <w:tcPr>
            <w:tcW w:type="dxa" w:w="3173"/>
            <w:vAlign w:val="center"/>
            <w:tcMar>
              <w:top w:w="90" w:type="dxa"/>
              <w:start w:w="110" w:type="dxa"/>
              <w:bottom w:w="90" w:type="dxa"/>
              <w:end w:w="110" w:type="dxa"/>
            </w:tcMar>
            <w:shd w:fill="EEF3F8"/>
          </w:tcPr>
          <w:p>
            <w:pPr>
              <w:spacing w:after="0"/>
            </w:pPr>
            <w:r>
              <w:rPr>
                <w:sz w:val="18"/>
              </w:rPr>
              <w:t>Complete the reproducibility guide, analysis, dissertation, presentation and poster.</w:t>
            </w:r>
          </w:p>
        </w:tc>
        <w:tc>
          <w:tcPr>
            <w:tcW w:type="dxa" w:w="3173"/>
            <w:vAlign w:val="center"/>
            <w:tcMar>
              <w:top w:w="90" w:type="dxa"/>
              <w:start w:w="110" w:type="dxa"/>
              <w:bottom w:w="90" w:type="dxa"/>
              <w:end w:w="110" w:type="dxa"/>
            </w:tcMar>
            <w:shd w:fill="EEF3F8"/>
          </w:tcPr>
          <w:p>
            <w:pPr>
              <w:spacing w:after="0"/>
            </w:pPr>
            <w:r>
              <w:rPr>
                <w:sz w:val="18"/>
              </w:rPr>
              <w:t>Final FYP deliverables.</w:t>
            </w:r>
          </w:p>
        </w:tc>
      </w:tr>
    </w:tbl>
    <w:p>
      <w:pPr>
        <w:pStyle w:val="Heading1"/>
      </w:pPr>
      <w:r>
        <w:t>7 Summary</w:t>
      </w:r>
    </w:p>
    <w:p>
      <w:r>
        <w:t>The project has progressed from environment setup and model reproduction to successful integration of three public EEG datasets. LEADv2 baselines have been obtained for Alzheimer disease, frontotemporal dementia and schizophrenia-related tasks. The next phase will focus on reliable subject-level evaluation and the implementation of MultiBand-LEAD, followed by systematic frequency-band and electrode ablation. Hospital data will be reserved for final external validation.</w:t>
      </w:r>
    </w:p>
    <w:sectPr w:rsidR="00FC693F" w:rsidRPr="0006063C" w:rsidSect="00034616">
      <w:footerReference w:type="default" r:id="rId9"/>
      <w:pgSz w:w="12240" w:h="15840"/>
      <w:pgMar w:top="1191" w:right="1361"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