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40"/>
        <w:jc w:val="center"/>
      </w:pPr>
      <w:r>
        <w:rPr>
          <w:rFonts w:ascii="Times New Roman" w:hAnsi="Times New Roman"/>
          <w:b w:val="0"/>
          <w:sz w:val="40"/>
        </w:rPr>
        <w:t>1st Stage Progress Report</w:t>
      </w:r>
    </w:p>
    <w:p>
      <w:pPr>
        <w:tabs>
          <w:tab w:pos="1531" w:val="left"/>
        </w:tabs>
        <w:spacing w:after="80"/>
      </w:pPr>
      <w:r>
        <w:rPr>
          <w:rFonts w:ascii="Times New Roman" w:hAnsi="Times New Roman"/>
          <w:sz w:val="23"/>
        </w:rPr>
        <w:t>Student</w:t>
      </w:r>
      <w:r>
        <w:rPr>
          <w:rFonts w:ascii="Times New Roman" w:hAnsi="Times New Roman"/>
          <w:sz w:val="23"/>
        </w:rPr>
        <w:tab/>
      </w:r>
      <w:r>
        <w:rPr>
          <w:rFonts w:ascii="Times New Roman" w:hAnsi="Times New Roman"/>
          <w:sz w:val="23"/>
        </w:rPr>
        <w:t>Hua Chunyang (23259906)</w:t>
      </w:r>
    </w:p>
    <w:p>
      <w:pPr>
        <w:tabs>
          <w:tab w:pos="1531" w:val="left"/>
        </w:tabs>
        <w:spacing w:after="80"/>
      </w:pPr>
      <w:r>
        <w:rPr>
          <w:rFonts w:ascii="Times New Roman" w:hAnsi="Times New Roman"/>
          <w:sz w:val="23"/>
        </w:rPr>
        <w:t>Supervisor</w:t>
      </w:r>
      <w:r>
        <w:rPr>
          <w:rFonts w:ascii="Times New Roman" w:hAnsi="Times New Roman"/>
          <w:sz w:val="23"/>
        </w:rPr>
        <w:tab/>
      </w:r>
      <w:r>
        <w:rPr>
          <w:rFonts w:ascii="Times New Roman" w:hAnsi="Times New Roman"/>
          <w:sz w:val="23"/>
        </w:rPr>
        <w:t>YUEN Pong Chi</w:t>
      </w:r>
    </w:p>
    <w:p>
      <w:pPr>
        <w:tabs>
          <w:tab w:pos="1531" w:val="left"/>
        </w:tabs>
        <w:spacing w:after="80"/>
      </w:pPr>
      <w:r>
        <w:rPr>
          <w:rFonts w:ascii="Times New Roman" w:hAnsi="Times New Roman"/>
          <w:sz w:val="23"/>
        </w:rPr>
        <w:t>Advisor</w:t>
      </w:r>
      <w:r>
        <w:rPr>
          <w:rFonts w:ascii="Times New Roman" w:hAnsi="Times New Roman"/>
          <w:sz w:val="23"/>
        </w:rPr>
        <w:tab/>
      </w:r>
      <w:r>
        <w:rPr>
          <w:rFonts w:ascii="Times New Roman" w:hAnsi="Times New Roman"/>
          <w:sz w:val="23"/>
        </w:rPr>
        <w:t>CHEN Cuiqun</w:t>
      </w:r>
    </w:p>
    <w:p>
      <w:pPr>
        <w:tabs>
          <w:tab w:pos="1531" w:val="left"/>
        </w:tabs>
        <w:spacing w:after="80"/>
      </w:pPr>
      <w:r>
        <w:rPr>
          <w:rFonts w:ascii="Times New Roman" w:hAnsi="Times New Roman"/>
          <w:sz w:val="23"/>
        </w:rPr>
        <w:t>Date</w:t>
      </w:r>
      <w:r>
        <w:rPr>
          <w:rFonts w:ascii="Times New Roman" w:hAnsi="Times New Roman"/>
          <w:sz w:val="23"/>
        </w:rPr>
        <w:tab/>
      </w:r>
      <w:r>
        <w:rPr>
          <w:rFonts w:ascii="Times New Roman" w:hAnsi="Times New Roman"/>
          <w:sz w:val="23"/>
        </w:rPr>
        <w:t>28 September 2026</w:t>
      </w:r>
    </w:p>
    <w:p>
      <w:pPr>
        <w:spacing w:after="80"/>
      </w:pPr>
    </w:p>
    <w:p>
      <w:r>
        <w:t>This report summarises the work completed so far and the remaining work for the Final Year Project. LEADv2 has been selected provisionally as the foundation model. After the first supervisory meeting, the research direction was clarified: electrode and frequency-band masking will be studied as EEG data augmentation. The experiments will then examine classification performance and the stability of the features identified across data splits and models.</w:t>
      </w:r>
    </w:p>
    <w:p>
      <w:pPr>
        <w:pStyle w:val="Heading1"/>
      </w:pPr>
      <w:r>
        <w:t>1 Project Objectives</w:t>
      </w:r>
    </w:p>
    <w:p>
      <w:r>
        <w:t>The project aims to improve EEG-based recognition of multiple diseases and to determine which electrodes and frequency bands contribute reliably to the predictions. LEADv2 provides the initial pretrained backbone. The proposed method will mask selected channels or frequency components during fine-tuning, encouraging the model to learn useful information from the remaining EEG signal.</w:t>
      </w:r>
    </w:p>
    <w:p>
      <w:pPr>
        <w:pStyle w:val="ListBullet"/>
      </w:pPr>
      <w:r>
        <w:t>Establish reproducible LEADv2 baselines on multiple public EEG disease datasets.</w:t>
      </w:r>
    </w:p>
    <w:p>
      <w:pPr>
        <w:pStyle w:val="ListBullet"/>
      </w:pPr>
      <w:r>
        <w:t>Design and test electrode masking and frequency-band masking as training-time data augmentation.</w:t>
      </w:r>
    </w:p>
    <w:p>
      <w:pPr>
        <w:pStyle w:val="ListBullet"/>
      </w:pPr>
      <w:r>
        <w:t>Measure the effect of masking on patient-level classification and analyse which electrodes and bands remain informative.</w:t>
      </w:r>
    </w:p>
    <w:p>
      <w:pPr>
        <w:pStyle w:val="ListBullet"/>
      </w:pPr>
      <w:r>
        <w:t>Evaluate feature stability across subject-level splits, disease tasks and, later, different model backbones.</w:t>
      </w:r>
    </w:p>
    <w:p>
      <w:pPr>
        <w:pStyle w:val="ListBullet"/>
      </w:pPr>
      <w:r>
        <w:t>Use hospital data only as a later external validation set after model development on public datasets.</w:t>
      </w:r>
    </w:p>
    <w:p>
      <w:pPr>
        <w:pStyle w:val="Heading1"/>
      </w:pPr>
      <w:r>
        <w:t>2 Proposed Approach and Changes to the Original Direction</w:t>
      </w:r>
    </w:p>
    <w:p>
      <w:r>
        <w:t>The initial model choice is LEADv2. At the first meeting, the supervisor and I agreed to focus the proposed method on mask-based augmentation of EEG electrodes and frequency bands. Random or structured masks will be applied during training, while matched experiments without masking will provide the comparison. Separate held-out ablation tests will assess the contribution of specific electrodes and bands; a training mask alone does not establish feature importance.</w:t>
      </w:r>
    </w:p>
    <w:p>
      <w:r>
        <w:t>The experimental workflow is to prepare public datasets, use subject-level train-validation-test splits, establish LEADv2 baselines, add electrode and band masking, and compare patient-level performance. Single-band and leave-one-band-out experiments will complement the masking study. Feature rankings will then be compared across folds and model backbones. LaBraM is a candidate for a later model-to-model comparison rather than a completed part of the current system.</w:t>
      </w:r>
    </w:p>
    <w:p>
      <w:r>
        <w:t>An open question is whether to use disease labels in one classifier or treat each disease as a separate optimization objective for an evolutionary search over electrode-band masks. The specific algorithm and model structure will be discussed at the second supervisory meeting.</w:t>
      </w:r>
    </w:p>
    <w:p>
      <w:pPr>
        <w:pStyle w:val="Heading1"/>
      </w:pPr>
      <w:r>
        <w:t>3 Work Completed</w:t>
      </w:r>
    </w:p>
    <w:p>
      <w:pPr>
        <w:pStyle w:val="Heading2"/>
      </w:pPr>
      <w:r>
        <w:t>3.1 Literature and project planning</w:t>
      </w:r>
    </w:p>
    <w:p>
      <w:pPr>
        <w:pStyle w:val="ListBullet"/>
      </w:pPr>
      <w:r>
        <w:t>Reviewed EEG disease-classification studies and organised the available datasets, diseases, frequency bands, electrodes and reported features.</w:t>
      </w:r>
    </w:p>
    <w:p>
      <w:pPr>
        <w:pStyle w:val="ListBullet"/>
      </w:pPr>
      <w:r>
        <w:t>Identified common limitations in existing work, including dataset-source bias, segment-level subject leakage and over-reliance on segment accuracy.</w:t>
      </w:r>
    </w:p>
    <w:p>
      <w:pPr>
        <w:pStyle w:val="ListBullet"/>
      </w:pPr>
      <w:r>
        <w:t>Provisionally selected LEADv2 as the foundation model and, after the first supervisory meeting, confirmed electrode and frequency-band masking as the research direction.</w:t>
      </w:r>
    </w:p>
    <w:p>
      <w:pPr>
        <w:pStyle w:val="Heading2"/>
      </w:pPr>
      <w:r>
        <w:t>3.2 LEADv2 reproduction and implementation</w:t>
      </w:r>
    </w:p>
    <w:p>
      <w:pPr>
        <w:pStyle w:val="ListBullet"/>
      </w:pPr>
      <w:r>
        <w:t>Created the LEAD virtual environment, resolved package-version conflicts and downloaded the P-Base pretrained checkpoint.</w:t>
      </w:r>
    </w:p>
    <w:p>
      <w:pPr>
        <w:pStyle w:val="ListBullet"/>
      </w:pPr>
      <w:r>
        <w:t>Reproduced the LEADv2 fine-tuning workflow and corrected compatibility issues in the custom group sampler.</w:t>
      </w:r>
    </w:p>
    <w:p>
      <w:pPr>
        <w:pStyle w:val="ListBullet"/>
      </w:pPr>
      <w:r>
        <w:t>Verified preprocessing, pretrained-weight loading, GPU training, subject-level voting and result generation.</w:t>
      </w:r>
    </w:p>
    <w:p>
      <w:pPr>
        <w:pStyle w:val="Heading2"/>
      </w:pPr>
      <w:r>
        <w:t>3.3 Public dataset integration</w:t>
      </w:r>
    </w:p>
    <w:p>
      <w:r>
        <w:t>Three public datasets have been used so far: APAVA for Alzheimer disease classification, RepOD for schizophrenia classification, and OpenNeuro ds004504 for Alzheimer disease and frontotemporal dementia classification.</w:t>
      </w:r>
    </w:p>
    <w:p>
      <w:pPr>
        <w:pStyle w:val="ListBullet"/>
      </w:pPr>
      <w:r>
        <w:t>APAVA: completed five-run LEADv2 evaluation.</w:t>
      </w:r>
    </w:p>
    <w:p>
      <w:pPr>
        <w:pStyle w:val="ListBullet"/>
      </w:pPr>
      <w:r>
        <w:t>RepOD: implemented preprocessing and a custom loader, then completed five Monte Carlo runs.</w:t>
      </w:r>
    </w:p>
    <w:p>
      <w:pPr>
        <w:pStyle w:val="ListBullet"/>
      </w:pPr>
      <w:r>
        <w:t>OpenNeuro ds004504: processed 88 subjects into 121,825 windows with 19 channels and three sampling scales of 200, 100 and 50 Hz.</w:t>
      </w:r>
    </w:p>
    <w:p>
      <w:pPr>
        <w:pStyle w:val="ListBullet"/>
      </w:pPr>
      <w:r>
        <w:t>Implemented and registered ADFTDRSLoader with subject-level splits for AD versus CN, FTD versus CN, AD versus FTD and three-class classification.</w:t>
      </w:r>
    </w:p>
    <w:p>
      <w:pPr>
        <w:pStyle w:val="Heading2"/>
      </w:pPr>
      <w:r>
        <w:t>3.4 Current experimental results</w:t>
      </w:r>
    </w:p>
    <w:p>
      <w:r>
        <w:t>The table summarises five-run LEADv2 evaluations on APAVA and RepOD, together with single fixed-split results on OpenNeuro. These preliminary results demonstrate the data-to-model pipeline but are baselines rather than final performance claims.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4"/>
        <w:gridCol w:w="1904"/>
        <w:gridCol w:w="1904"/>
        <w:gridCol w:w="1904"/>
        <w:gridCol w:w="1904"/>
      </w:tblGrid>
      <w:tr>
        <w:trPr>
          <w:tblHeader w:val="true"/>
          <w:cantSplit/>
        </w:trPr>
        <w:tc>
          <w:tcPr>
            <w:tcW w:type="dxa" w:w="1904"/>
            <w:shd w:fill="203864"/>
            <w:vAlign w:val="center"/>
            <w:tcMar>
              <w:top w:w="100" w:type="dxa"/>
              <w:start w:w="110" w:type="dxa"/>
              <w:bottom w:w="100" w:type="dxa"/>
              <w:end w:w="110" w:type="dxa"/>
            </w:tcMar>
          </w:tcPr>
          <w:p>
            <w:r>
              <w:rPr>
                <w:b/>
                <w:color w:val="FFFFFF"/>
              </w:rPr>
              <w:t>Dataset and task</w:t>
            </w:r>
          </w:p>
        </w:tc>
        <w:tc>
          <w:tcPr>
            <w:tcW w:type="dxa" w:w="1904"/>
            <w:shd w:fill="203864"/>
            <w:vAlign w:val="center"/>
            <w:tcMar>
              <w:top w:w="100" w:type="dxa"/>
              <w:start w:w="110" w:type="dxa"/>
              <w:bottom w:w="100" w:type="dxa"/>
              <w:end w:w="110" w:type="dxa"/>
            </w:tcMar>
          </w:tcPr>
          <w:p>
            <w:r>
              <w:rPr>
                <w:b/>
                <w:color w:val="FFFFFF"/>
              </w:rPr>
              <w:t>Evaluation</w:t>
            </w:r>
          </w:p>
        </w:tc>
        <w:tc>
          <w:tcPr>
            <w:tcW w:type="dxa" w:w="1904"/>
            <w:shd w:fill="203864"/>
            <w:vAlign w:val="center"/>
            <w:tcMar>
              <w:top w:w="100" w:type="dxa"/>
              <w:start w:w="110" w:type="dxa"/>
              <w:bottom w:w="100" w:type="dxa"/>
              <w:end w:w="110" w:type="dxa"/>
            </w:tcMar>
          </w:tcPr>
          <w:p>
            <w:r>
              <w:rPr>
                <w:b/>
                <w:color w:val="FFFFFF"/>
              </w:rPr>
              <w:t>Accuracy</w:t>
            </w:r>
          </w:p>
        </w:tc>
        <w:tc>
          <w:tcPr>
            <w:tcW w:type="dxa" w:w="1904"/>
            <w:shd w:fill="203864"/>
            <w:vAlign w:val="center"/>
            <w:tcMar>
              <w:top w:w="100" w:type="dxa"/>
              <w:start w:w="110" w:type="dxa"/>
              <w:bottom w:w="100" w:type="dxa"/>
              <w:end w:w="110" w:type="dxa"/>
            </w:tcMar>
          </w:tcPr>
          <w:p>
            <w:r>
              <w:rPr>
                <w:b/>
                <w:color w:val="FFFFFF"/>
              </w:rPr>
              <w:t>F1</w:t>
            </w:r>
          </w:p>
        </w:tc>
        <w:tc>
          <w:tcPr>
            <w:tcW w:type="dxa" w:w="1904"/>
            <w:shd w:fill="203864"/>
            <w:vAlign w:val="center"/>
            <w:tcMar>
              <w:top w:w="100" w:type="dxa"/>
              <w:start w:w="110" w:type="dxa"/>
              <w:bottom w:w="100" w:type="dxa"/>
              <w:end w:w="110" w:type="dxa"/>
            </w:tcMar>
          </w:tcPr>
          <w:p>
            <w:r>
              <w:rPr>
                <w:b/>
                <w:color w:val="FFFFFF"/>
              </w:rPr>
              <w:t>AUROC</w:t>
            </w:r>
          </w:p>
        </w:tc>
      </w:tr>
      <w:tr>
        <w:trPr>
          <w:cantSplit/>
        </w:trPr>
        <w:tc>
          <w:tcPr>
            <w:tcW w:type="dxa" w:w="1904"/>
            <w:vAlign w:val="center"/>
            <w:tcMar>
              <w:top w:w="100" w:type="dxa"/>
              <w:start w:w="110" w:type="dxa"/>
              <w:bottom w:w="100" w:type="dxa"/>
              <w:end w:w="110" w:type="dxa"/>
            </w:tcMar>
          </w:tcPr>
          <w:p>
            <w:pPr>
              <w:spacing w:after="0"/>
              <w:jc w:val="left"/>
            </w:pPr>
            <w:r>
              <w:rPr>
                <w:sz w:val="18"/>
              </w:rPr>
              <w:t>APAVA AD vs CN</w:t>
            </w:r>
          </w:p>
        </w:tc>
        <w:tc>
          <w:tcPr>
            <w:tcW w:type="dxa" w:w="1904"/>
            <w:vAlign w:val="center"/>
            <w:tcMar>
              <w:top w:w="100" w:type="dxa"/>
              <w:start w:w="110" w:type="dxa"/>
              <w:bottom w:w="100" w:type="dxa"/>
              <w:end w:w="110" w:type="dxa"/>
            </w:tcMar>
          </w:tcPr>
          <w:p>
            <w:pPr>
              <w:spacing w:after="0"/>
              <w:jc w:val="left"/>
            </w:pPr>
            <w:r>
              <w:rPr>
                <w:sz w:val="18"/>
              </w:rPr>
              <w:t>Window-level, 5 runs</w:t>
            </w:r>
          </w:p>
        </w:tc>
        <w:tc>
          <w:tcPr>
            <w:tcW w:type="dxa" w:w="1904"/>
            <w:vAlign w:val="center"/>
            <w:tcMar>
              <w:top w:w="100" w:type="dxa"/>
              <w:start w:w="110" w:type="dxa"/>
              <w:bottom w:w="100" w:type="dxa"/>
              <w:end w:w="110" w:type="dxa"/>
            </w:tcMar>
          </w:tcPr>
          <w:p>
            <w:pPr>
              <w:spacing w:after="0"/>
              <w:jc w:val="center"/>
            </w:pPr>
            <w:r>
              <w:rPr>
                <w:sz w:val="18"/>
              </w:rPr>
              <w:t>83.04 +/- 4.54%</w:t>
            </w:r>
          </w:p>
        </w:tc>
        <w:tc>
          <w:tcPr>
            <w:tcW w:type="dxa" w:w="1904"/>
            <w:vAlign w:val="center"/>
            <w:tcMar>
              <w:top w:w="100" w:type="dxa"/>
              <w:start w:w="110" w:type="dxa"/>
              <w:bottom w:w="100" w:type="dxa"/>
              <w:end w:w="110" w:type="dxa"/>
            </w:tcMar>
          </w:tcPr>
          <w:p>
            <w:pPr>
              <w:spacing w:after="0"/>
              <w:jc w:val="center"/>
            </w:pPr>
            <w:r>
              <w:rPr>
                <w:sz w:val="18"/>
              </w:rPr>
              <w:t>82.42 +/- 4.41%</w:t>
            </w:r>
          </w:p>
        </w:tc>
        <w:tc>
          <w:tcPr>
            <w:tcW w:type="dxa" w:w="1904"/>
            <w:vAlign w:val="center"/>
            <w:tcMar>
              <w:top w:w="100" w:type="dxa"/>
              <w:start w:w="110" w:type="dxa"/>
              <w:bottom w:w="100" w:type="dxa"/>
              <w:end w:w="110" w:type="dxa"/>
            </w:tcMar>
          </w:tcPr>
          <w:p>
            <w:pPr>
              <w:spacing w:after="0"/>
              <w:jc w:val="center"/>
            </w:pPr>
            <w:r>
              <w:rPr>
                <w:sz w:val="18"/>
              </w:rPr>
              <w:t>91.90 +/- 4.21%</w:t>
            </w:r>
          </w:p>
        </w:tc>
      </w:tr>
      <w:tr>
        <w:trPr>
          <w:cantSplit/>
        </w:trPr>
        <w:tc>
          <w:tcPr>
            <w:tcW w:type="dxa" w:w="1904"/>
            <w:vAlign w:val="center"/>
            <w:tcMar>
              <w:top w:w="100" w:type="dxa"/>
              <w:start w:w="110" w:type="dxa"/>
              <w:bottom w:w="100" w:type="dxa"/>
              <w:end w:w="110" w:type="dxa"/>
            </w:tcMar>
            <w:shd w:fill="EEF3F8"/>
          </w:tcPr>
          <w:p>
            <w:pPr>
              <w:spacing w:after="0"/>
              <w:jc w:val="left"/>
            </w:pPr>
            <w:r>
              <w:rPr>
                <w:sz w:val="18"/>
              </w:rPr>
              <w:t>APAVA AD vs CN</w:t>
            </w:r>
          </w:p>
        </w:tc>
        <w:tc>
          <w:tcPr>
            <w:tcW w:type="dxa" w:w="1904"/>
            <w:vAlign w:val="center"/>
            <w:tcMar>
              <w:top w:w="100" w:type="dxa"/>
              <w:start w:w="110" w:type="dxa"/>
              <w:bottom w:w="100" w:type="dxa"/>
              <w:end w:w="110" w:type="dxa"/>
            </w:tcMar>
            <w:shd w:fill="EEF3F8"/>
          </w:tcPr>
          <w:p>
            <w:pPr>
              <w:spacing w:after="0"/>
              <w:jc w:val="left"/>
            </w:pPr>
            <w:r>
              <w:rPr>
                <w:sz w:val="18"/>
              </w:rPr>
              <w:t>Subject-level, 5 runs</w:t>
            </w:r>
          </w:p>
        </w:tc>
        <w:tc>
          <w:tcPr>
            <w:tcW w:type="dxa" w:w="1904"/>
            <w:vAlign w:val="center"/>
            <w:tcMar>
              <w:top w:w="100" w:type="dxa"/>
              <w:start w:w="110" w:type="dxa"/>
              <w:bottom w:w="100" w:type="dxa"/>
              <w:end w:w="110" w:type="dxa"/>
            </w:tcMar>
            <w:shd w:fill="EEF3F8"/>
          </w:tcPr>
          <w:p>
            <w:pPr>
              <w:spacing w:after="0"/>
              <w:jc w:val="center"/>
            </w:pPr>
            <w:r>
              <w:rPr>
                <w:sz w:val="18"/>
              </w:rPr>
              <w:t>90.00 +/- 12.25%</w:t>
            </w:r>
          </w:p>
        </w:tc>
        <w:tc>
          <w:tcPr>
            <w:tcW w:type="dxa" w:w="1904"/>
            <w:vAlign w:val="center"/>
            <w:tcMar>
              <w:top w:w="100" w:type="dxa"/>
              <w:start w:w="110" w:type="dxa"/>
              <w:bottom w:w="100" w:type="dxa"/>
              <w:end w:w="110" w:type="dxa"/>
            </w:tcMar>
            <w:shd w:fill="EEF3F8"/>
          </w:tcPr>
          <w:p>
            <w:pPr>
              <w:spacing w:after="0"/>
              <w:jc w:val="center"/>
            </w:pPr>
            <w:r>
              <w:rPr>
                <w:sz w:val="18"/>
              </w:rPr>
              <w:t>89.33 +/- 13.06%</w:t>
            </w:r>
          </w:p>
        </w:tc>
        <w:tc>
          <w:tcPr>
            <w:tcW w:type="dxa" w:w="1904"/>
            <w:vAlign w:val="center"/>
            <w:tcMar>
              <w:top w:w="100" w:type="dxa"/>
              <w:start w:w="110" w:type="dxa"/>
              <w:bottom w:w="100" w:type="dxa"/>
              <w:end w:w="110" w:type="dxa"/>
            </w:tcMar>
            <w:shd w:fill="EEF3F8"/>
          </w:tcPr>
          <w:p>
            <w:pPr>
              <w:spacing w:after="0"/>
              <w:jc w:val="center"/>
            </w:pPr>
            <w:r>
              <w:rPr>
                <w:sz w:val="18"/>
              </w:rPr>
              <w:t>90.00 +/- 12.25%</w:t>
            </w:r>
          </w:p>
        </w:tc>
      </w:tr>
      <w:tr>
        <w:trPr>
          <w:cantSplit/>
        </w:trPr>
        <w:tc>
          <w:tcPr>
            <w:tcW w:type="dxa" w:w="1904"/>
            <w:vAlign w:val="center"/>
            <w:tcMar>
              <w:top w:w="100" w:type="dxa"/>
              <w:start w:w="110" w:type="dxa"/>
              <w:bottom w:w="100" w:type="dxa"/>
              <w:end w:w="110" w:type="dxa"/>
            </w:tcMar>
          </w:tcPr>
          <w:p>
            <w:pPr>
              <w:spacing w:after="0"/>
              <w:jc w:val="left"/>
            </w:pPr>
            <w:r>
              <w:rPr>
                <w:sz w:val="18"/>
              </w:rPr>
              <w:t>RepOD schizophrenia vs CN</w:t>
            </w:r>
          </w:p>
        </w:tc>
        <w:tc>
          <w:tcPr>
            <w:tcW w:type="dxa" w:w="1904"/>
            <w:vAlign w:val="center"/>
            <w:tcMar>
              <w:top w:w="100" w:type="dxa"/>
              <w:start w:w="110" w:type="dxa"/>
              <w:bottom w:w="100" w:type="dxa"/>
              <w:end w:w="110" w:type="dxa"/>
            </w:tcMar>
          </w:tcPr>
          <w:p>
            <w:pPr>
              <w:spacing w:after="0"/>
              <w:jc w:val="left"/>
            </w:pPr>
            <w:r>
              <w:rPr>
                <w:sz w:val="18"/>
              </w:rPr>
              <w:t>Window-level, 5 runs</w:t>
            </w:r>
          </w:p>
        </w:tc>
        <w:tc>
          <w:tcPr>
            <w:tcW w:type="dxa" w:w="1904"/>
            <w:vAlign w:val="center"/>
            <w:tcMar>
              <w:top w:w="100" w:type="dxa"/>
              <w:start w:w="110" w:type="dxa"/>
              <w:bottom w:w="100" w:type="dxa"/>
              <w:end w:w="110" w:type="dxa"/>
            </w:tcMar>
          </w:tcPr>
          <w:p>
            <w:pPr>
              <w:spacing w:after="0"/>
              <w:jc w:val="center"/>
            </w:pPr>
            <w:r>
              <w:rPr>
                <w:sz w:val="18"/>
              </w:rPr>
              <w:t>61.36 +/- 5.08%</w:t>
            </w:r>
          </w:p>
        </w:tc>
        <w:tc>
          <w:tcPr>
            <w:tcW w:type="dxa" w:w="1904"/>
            <w:vAlign w:val="center"/>
            <w:tcMar>
              <w:top w:w="100" w:type="dxa"/>
              <w:start w:w="110" w:type="dxa"/>
              <w:bottom w:w="100" w:type="dxa"/>
              <w:end w:w="110" w:type="dxa"/>
            </w:tcMar>
          </w:tcPr>
          <w:p>
            <w:pPr>
              <w:spacing w:after="0"/>
              <w:jc w:val="center"/>
            </w:pPr>
            <w:r>
              <w:rPr>
                <w:sz w:val="18"/>
              </w:rPr>
              <w:t>58.03 +/- 6.90%</w:t>
            </w:r>
          </w:p>
        </w:tc>
        <w:tc>
          <w:tcPr>
            <w:tcW w:type="dxa" w:w="1904"/>
            <w:vAlign w:val="center"/>
            <w:tcMar>
              <w:top w:w="100" w:type="dxa"/>
              <w:start w:w="110" w:type="dxa"/>
              <w:bottom w:w="100" w:type="dxa"/>
              <w:end w:w="110" w:type="dxa"/>
            </w:tcMar>
          </w:tcPr>
          <w:p>
            <w:pPr>
              <w:spacing w:after="0"/>
              <w:jc w:val="center"/>
            </w:pPr>
            <w:r>
              <w:rPr>
                <w:sz w:val="18"/>
              </w:rPr>
              <w:t>64.89 +/- 8.48%</w:t>
            </w:r>
          </w:p>
        </w:tc>
      </w:tr>
      <w:tr>
        <w:trPr>
          <w:cantSplit/>
        </w:trPr>
        <w:tc>
          <w:tcPr>
            <w:tcW w:type="dxa" w:w="1904"/>
            <w:vAlign w:val="center"/>
            <w:tcMar>
              <w:top w:w="100" w:type="dxa"/>
              <w:start w:w="110" w:type="dxa"/>
              <w:bottom w:w="100" w:type="dxa"/>
              <w:end w:w="110" w:type="dxa"/>
            </w:tcMar>
            <w:shd w:fill="EEF3F8"/>
          </w:tcPr>
          <w:p>
            <w:pPr>
              <w:spacing w:after="0"/>
              <w:jc w:val="left"/>
            </w:pPr>
            <w:r>
              <w:rPr>
                <w:sz w:val="18"/>
              </w:rPr>
              <w:t>RepOD schizophrenia vs CN</w:t>
            </w:r>
          </w:p>
        </w:tc>
        <w:tc>
          <w:tcPr>
            <w:tcW w:type="dxa" w:w="1904"/>
            <w:vAlign w:val="center"/>
            <w:tcMar>
              <w:top w:w="100" w:type="dxa"/>
              <w:start w:w="110" w:type="dxa"/>
              <w:bottom w:w="100" w:type="dxa"/>
              <w:end w:w="110" w:type="dxa"/>
            </w:tcMar>
            <w:shd w:fill="EEF3F8"/>
          </w:tcPr>
          <w:p>
            <w:pPr>
              <w:spacing w:after="0"/>
              <w:jc w:val="left"/>
            </w:pPr>
            <w:r>
              <w:rPr>
                <w:sz w:val="18"/>
              </w:rPr>
              <w:t>Subject-level, 5 runs</w:t>
            </w:r>
          </w:p>
        </w:tc>
        <w:tc>
          <w:tcPr>
            <w:tcW w:type="dxa" w:w="1904"/>
            <w:vAlign w:val="center"/>
            <w:tcMar>
              <w:top w:w="100" w:type="dxa"/>
              <w:start w:w="110" w:type="dxa"/>
              <w:bottom w:w="100" w:type="dxa"/>
              <w:end w:w="110" w:type="dxa"/>
            </w:tcMar>
            <w:shd w:fill="EEF3F8"/>
          </w:tcPr>
          <w:p>
            <w:pPr>
              <w:spacing w:after="0"/>
              <w:jc w:val="center"/>
            </w:pPr>
            <w:r>
              <w:rPr>
                <w:sz w:val="18"/>
              </w:rPr>
              <w:t>56.67 +/- 8.16%</w:t>
            </w:r>
          </w:p>
        </w:tc>
        <w:tc>
          <w:tcPr>
            <w:tcW w:type="dxa" w:w="1904"/>
            <w:vAlign w:val="center"/>
            <w:tcMar>
              <w:top w:w="100" w:type="dxa"/>
              <w:start w:w="110" w:type="dxa"/>
              <w:bottom w:w="100" w:type="dxa"/>
              <w:end w:w="110" w:type="dxa"/>
            </w:tcMar>
            <w:shd w:fill="EEF3F8"/>
          </w:tcPr>
          <w:p>
            <w:pPr>
              <w:spacing w:after="0"/>
              <w:jc w:val="center"/>
            </w:pPr>
            <w:r>
              <w:rPr>
                <w:sz w:val="18"/>
              </w:rPr>
              <w:t>51.10 +/- 10.85%</w:t>
            </w:r>
          </w:p>
        </w:tc>
        <w:tc>
          <w:tcPr>
            <w:tcW w:type="dxa" w:w="1904"/>
            <w:vAlign w:val="center"/>
            <w:tcMar>
              <w:top w:w="100" w:type="dxa"/>
              <w:start w:w="110" w:type="dxa"/>
              <w:bottom w:w="100" w:type="dxa"/>
              <w:end w:w="110" w:type="dxa"/>
            </w:tcMar>
            <w:shd w:fill="EEF3F8"/>
          </w:tcPr>
          <w:p>
            <w:pPr>
              <w:spacing w:after="0"/>
              <w:jc w:val="center"/>
            </w:pPr>
            <w:r>
              <w:rPr>
                <w:sz w:val="18"/>
              </w:rPr>
              <w:t>56.67 +/- 8.16%</w:t>
            </w:r>
          </w:p>
        </w:tc>
      </w:tr>
      <w:tr>
        <w:trPr>
          <w:cantSplit/>
        </w:trPr>
        <w:tc>
          <w:tcPr>
            <w:tcW w:type="dxa" w:w="1904"/>
            <w:vAlign w:val="center"/>
            <w:tcMar>
              <w:top w:w="100" w:type="dxa"/>
              <w:start w:w="110" w:type="dxa"/>
              <w:bottom w:w="100" w:type="dxa"/>
              <w:end w:w="110" w:type="dxa"/>
            </w:tcMar>
          </w:tcPr>
          <w:p>
            <w:pPr>
              <w:spacing w:after="0"/>
              <w:jc w:val="left"/>
            </w:pPr>
            <w:r>
              <w:rPr>
                <w:sz w:val="18"/>
              </w:rPr>
              <w:t>OpenNeuro AD vs CN</w:t>
            </w:r>
          </w:p>
        </w:tc>
        <w:tc>
          <w:tcPr>
            <w:tcW w:type="dxa" w:w="1904"/>
            <w:vAlign w:val="center"/>
            <w:tcMar>
              <w:top w:w="100" w:type="dxa"/>
              <w:start w:w="110" w:type="dxa"/>
              <w:bottom w:w="100" w:type="dxa"/>
              <w:end w:w="110" w:type="dxa"/>
            </w:tcMar>
          </w:tcPr>
          <w:p>
            <w:pPr>
              <w:spacing w:after="0"/>
              <w:jc w:val="left"/>
            </w:pPr>
            <w:r>
              <w:rPr>
                <w:sz w:val="18"/>
              </w:rPr>
              <w:t>Window-level, 1 split</w:t>
            </w:r>
          </w:p>
        </w:tc>
        <w:tc>
          <w:tcPr>
            <w:tcW w:type="dxa" w:w="1904"/>
            <w:vAlign w:val="center"/>
            <w:tcMar>
              <w:top w:w="100" w:type="dxa"/>
              <w:start w:w="110" w:type="dxa"/>
              <w:bottom w:w="100" w:type="dxa"/>
              <w:end w:w="110" w:type="dxa"/>
            </w:tcMar>
          </w:tcPr>
          <w:p>
            <w:pPr>
              <w:spacing w:after="0"/>
              <w:jc w:val="center"/>
            </w:pPr>
            <w:r>
              <w:rPr>
                <w:sz w:val="18"/>
              </w:rPr>
              <w:t>78.91%</w:t>
            </w:r>
          </w:p>
        </w:tc>
        <w:tc>
          <w:tcPr>
            <w:tcW w:type="dxa" w:w="1904"/>
            <w:vAlign w:val="center"/>
            <w:tcMar>
              <w:top w:w="100" w:type="dxa"/>
              <w:start w:w="110" w:type="dxa"/>
              <w:bottom w:w="100" w:type="dxa"/>
              <w:end w:w="110" w:type="dxa"/>
            </w:tcMar>
          </w:tcPr>
          <w:p>
            <w:pPr>
              <w:spacing w:after="0"/>
              <w:jc w:val="center"/>
            </w:pPr>
            <w:r>
              <w:rPr>
                <w:sz w:val="18"/>
              </w:rPr>
              <w:t>78.35%</w:t>
            </w:r>
          </w:p>
        </w:tc>
        <w:tc>
          <w:tcPr>
            <w:tcW w:type="dxa" w:w="1904"/>
            <w:vAlign w:val="center"/>
            <w:tcMar>
              <w:top w:w="100" w:type="dxa"/>
              <w:start w:w="110" w:type="dxa"/>
              <w:bottom w:w="100" w:type="dxa"/>
              <w:end w:w="110" w:type="dxa"/>
            </w:tcMar>
          </w:tcPr>
          <w:p>
            <w:pPr>
              <w:spacing w:after="0"/>
              <w:jc w:val="center"/>
            </w:pPr>
            <w:r>
              <w:rPr>
                <w:sz w:val="18"/>
              </w:rPr>
              <w:t>88.51%</w:t>
            </w:r>
          </w:p>
        </w:tc>
      </w:tr>
      <w:tr>
        <w:trPr>
          <w:cantSplit/>
        </w:trPr>
        <w:tc>
          <w:tcPr>
            <w:tcW w:type="dxa" w:w="1904"/>
            <w:vAlign w:val="center"/>
            <w:tcMar>
              <w:top w:w="100" w:type="dxa"/>
              <w:start w:w="110" w:type="dxa"/>
              <w:bottom w:w="100" w:type="dxa"/>
              <w:end w:w="110" w:type="dxa"/>
            </w:tcMar>
            <w:shd w:fill="EEF3F8"/>
          </w:tcPr>
          <w:p>
            <w:pPr>
              <w:spacing w:after="0"/>
              <w:jc w:val="left"/>
            </w:pPr>
            <w:r>
              <w:rPr>
                <w:sz w:val="18"/>
              </w:rPr>
              <w:t>OpenNeuro AD vs CN</w:t>
            </w:r>
          </w:p>
        </w:tc>
        <w:tc>
          <w:tcPr>
            <w:tcW w:type="dxa" w:w="1904"/>
            <w:vAlign w:val="center"/>
            <w:tcMar>
              <w:top w:w="100" w:type="dxa"/>
              <w:start w:w="110" w:type="dxa"/>
              <w:bottom w:w="100" w:type="dxa"/>
              <w:end w:w="110" w:type="dxa"/>
            </w:tcMar>
            <w:shd w:fill="EEF3F8"/>
          </w:tcPr>
          <w:p>
            <w:pPr>
              <w:spacing w:after="0"/>
              <w:jc w:val="left"/>
            </w:pPr>
            <w:r>
              <w:rPr>
                <w:sz w:val="18"/>
              </w:rPr>
              <w:t>Subject-level, 1 split</w:t>
            </w:r>
          </w:p>
        </w:tc>
        <w:tc>
          <w:tcPr>
            <w:tcW w:type="dxa" w:w="1904"/>
            <w:vAlign w:val="center"/>
            <w:tcMar>
              <w:top w:w="100" w:type="dxa"/>
              <w:start w:w="110" w:type="dxa"/>
              <w:bottom w:w="100" w:type="dxa"/>
              <w:end w:w="110" w:type="dxa"/>
            </w:tcMar>
            <w:shd w:fill="EEF3F8"/>
          </w:tcPr>
          <w:p>
            <w:pPr>
              <w:spacing w:after="0"/>
              <w:jc w:val="center"/>
            </w:pPr>
            <w:r>
              <w:rPr>
                <w:sz w:val="18"/>
              </w:rPr>
              <w:t>85.71%</w:t>
            </w:r>
          </w:p>
        </w:tc>
        <w:tc>
          <w:tcPr>
            <w:tcW w:type="dxa" w:w="1904"/>
            <w:vAlign w:val="center"/>
            <w:tcMar>
              <w:top w:w="100" w:type="dxa"/>
              <w:start w:w="110" w:type="dxa"/>
              <w:bottom w:w="100" w:type="dxa"/>
              <w:end w:w="110" w:type="dxa"/>
            </w:tcMar>
            <w:shd w:fill="EEF3F8"/>
          </w:tcPr>
          <w:p>
            <w:pPr>
              <w:spacing w:after="0"/>
              <w:jc w:val="center"/>
            </w:pPr>
            <w:r>
              <w:rPr>
                <w:sz w:val="18"/>
              </w:rPr>
              <w:t>84.44%</w:t>
            </w:r>
          </w:p>
        </w:tc>
        <w:tc>
          <w:tcPr>
            <w:tcW w:type="dxa" w:w="1904"/>
            <w:vAlign w:val="center"/>
            <w:tcMar>
              <w:top w:w="100" w:type="dxa"/>
              <w:start w:w="110" w:type="dxa"/>
              <w:bottom w:w="100" w:type="dxa"/>
              <w:end w:w="110" w:type="dxa"/>
            </w:tcMar>
            <w:shd w:fill="EEF3F8"/>
          </w:tcPr>
          <w:p>
            <w:pPr>
              <w:spacing w:after="0"/>
              <w:jc w:val="center"/>
            </w:pPr>
            <w:r>
              <w:rPr>
                <w:sz w:val="18"/>
              </w:rPr>
              <w:t>83.33%</w:t>
            </w:r>
          </w:p>
        </w:tc>
      </w:tr>
      <w:tr>
        <w:trPr>
          <w:cantSplit/>
        </w:trPr>
        <w:tc>
          <w:tcPr>
            <w:tcW w:type="dxa" w:w="1904"/>
            <w:vAlign w:val="center"/>
            <w:tcMar>
              <w:top w:w="100" w:type="dxa"/>
              <w:start w:w="110" w:type="dxa"/>
              <w:bottom w:w="100" w:type="dxa"/>
              <w:end w:w="110" w:type="dxa"/>
            </w:tcMar>
          </w:tcPr>
          <w:p>
            <w:pPr>
              <w:spacing w:after="0"/>
              <w:jc w:val="left"/>
            </w:pPr>
            <w:r>
              <w:rPr>
                <w:sz w:val="18"/>
              </w:rPr>
              <w:t>OpenNeuro FTD vs CN</w:t>
            </w:r>
          </w:p>
        </w:tc>
        <w:tc>
          <w:tcPr>
            <w:tcW w:type="dxa" w:w="1904"/>
            <w:vAlign w:val="center"/>
            <w:tcMar>
              <w:top w:w="100" w:type="dxa"/>
              <w:start w:w="110" w:type="dxa"/>
              <w:bottom w:w="100" w:type="dxa"/>
              <w:end w:w="110" w:type="dxa"/>
            </w:tcMar>
          </w:tcPr>
          <w:p>
            <w:pPr>
              <w:spacing w:after="0"/>
              <w:jc w:val="left"/>
            </w:pPr>
            <w:r>
              <w:rPr>
                <w:sz w:val="18"/>
              </w:rPr>
              <w:t>Window-level, 1 split</w:t>
            </w:r>
          </w:p>
        </w:tc>
        <w:tc>
          <w:tcPr>
            <w:tcW w:type="dxa" w:w="1904"/>
            <w:vAlign w:val="center"/>
            <w:tcMar>
              <w:top w:w="100" w:type="dxa"/>
              <w:start w:w="110" w:type="dxa"/>
              <w:bottom w:w="100" w:type="dxa"/>
              <w:end w:w="110" w:type="dxa"/>
            </w:tcMar>
          </w:tcPr>
          <w:p>
            <w:pPr>
              <w:spacing w:after="0"/>
              <w:jc w:val="center"/>
            </w:pPr>
            <w:r>
              <w:rPr>
                <w:sz w:val="18"/>
              </w:rPr>
              <w:t>92.74%</w:t>
            </w:r>
          </w:p>
        </w:tc>
        <w:tc>
          <w:tcPr>
            <w:tcW w:type="dxa" w:w="1904"/>
            <w:vAlign w:val="center"/>
            <w:tcMar>
              <w:top w:w="100" w:type="dxa"/>
              <w:start w:w="110" w:type="dxa"/>
              <w:bottom w:w="100" w:type="dxa"/>
              <w:end w:w="110" w:type="dxa"/>
            </w:tcMar>
          </w:tcPr>
          <w:p>
            <w:pPr>
              <w:spacing w:after="0"/>
              <w:jc w:val="center"/>
            </w:pPr>
            <w:r>
              <w:rPr>
                <w:sz w:val="18"/>
              </w:rPr>
              <w:t>92.71%</w:t>
            </w:r>
          </w:p>
        </w:tc>
        <w:tc>
          <w:tcPr>
            <w:tcW w:type="dxa" w:w="1904"/>
            <w:vAlign w:val="center"/>
            <w:tcMar>
              <w:top w:w="100" w:type="dxa"/>
              <w:start w:w="110" w:type="dxa"/>
              <w:bottom w:w="100" w:type="dxa"/>
              <w:end w:w="110" w:type="dxa"/>
            </w:tcMar>
          </w:tcPr>
          <w:p>
            <w:pPr>
              <w:spacing w:after="0"/>
              <w:jc w:val="center"/>
            </w:pPr>
            <w:r>
              <w:rPr>
                <w:sz w:val="18"/>
              </w:rPr>
              <w:t>98.01%</w:t>
            </w:r>
          </w:p>
        </w:tc>
      </w:tr>
      <w:tr>
        <w:trPr>
          <w:cantSplit/>
        </w:trPr>
        <w:tc>
          <w:tcPr>
            <w:tcW w:type="dxa" w:w="1904"/>
            <w:vAlign w:val="center"/>
            <w:tcMar>
              <w:top w:w="100" w:type="dxa"/>
              <w:start w:w="110" w:type="dxa"/>
              <w:bottom w:w="100" w:type="dxa"/>
              <w:end w:w="110" w:type="dxa"/>
            </w:tcMar>
            <w:shd w:fill="EEF3F8"/>
          </w:tcPr>
          <w:p>
            <w:pPr>
              <w:spacing w:after="0"/>
              <w:jc w:val="left"/>
            </w:pPr>
            <w:r>
              <w:rPr>
                <w:sz w:val="18"/>
              </w:rPr>
              <w:t>OpenNeuro FTD vs CN</w:t>
            </w:r>
          </w:p>
        </w:tc>
        <w:tc>
          <w:tcPr>
            <w:tcW w:type="dxa" w:w="1904"/>
            <w:vAlign w:val="center"/>
            <w:tcMar>
              <w:top w:w="100" w:type="dxa"/>
              <w:start w:w="110" w:type="dxa"/>
              <w:bottom w:w="100" w:type="dxa"/>
              <w:end w:w="110" w:type="dxa"/>
            </w:tcMar>
            <w:shd w:fill="EEF3F8"/>
          </w:tcPr>
          <w:p>
            <w:pPr>
              <w:spacing w:after="0"/>
              <w:jc w:val="left"/>
            </w:pPr>
            <w:r>
              <w:rPr>
                <w:sz w:val="18"/>
              </w:rPr>
              <w:t>Subject-level, 1 split</w:t>
            </w:r>
          </w:p>
        </w:tc>
        <w:tc>
          <w:tcPr>
            <w:tcW w:type="dxa" w:w="1904"/>
            <w:vAlign w:val="center"/>
            <w:tcMar>
              <w:top w:w="100" w:type="dxa"/>
              <w:start w:w="110" w:type="dxa"/>
              <w:bottom w:w="100" w:type="dxa"/>
              <w:end w:w="110" w:type="dxa"/>
            </w:tcMar>
            <w:shd w:fill="EEF3F8"/>
          </w:tcPr>
          <w:p>
            <w:pPr>
              <w:spacing w:after="0"/>
              <w:jc w:val="center"/>
            </w:pPr>
            <w:r>
              <w:rPr>
                <w:sz w:val="18"/>
              </w:rPr>
              <w:t>100.00%</w:t>
            </w:r>
          </w:p>
        </w:tc>
        <w:tc>
          <w:tcPr>
            <w:tcW w:type="dxa" w:w="1904"/>
            <w:vAlign w:val="center"/>
            <w:tcMar>
              <w:top w:w="100" w:type="dxa"/>
              <w:start w:w="110" w:type="dxa"/>
              <w:bottom w:w="100" w:type="dxa"/>
              <w:end w:w="110" w:type="dxa"/>
            </w:tcMar>
            <w:shd w:fill="EEF3F8"/>
          </w:tcPr>
          <w:p>
            <w:pPr>
              <w:spacing w:after="0"/>
              <w:jc w:val="center"/>
            </w:pPr>
            <w:r>
              <w:rPr>
                <w:sz w:val="18"/>
              </w:rPr>
              <w:t>100.00%</w:t>
            </w:r>
          </w:p>
        </w:tc>
        <w:tc>
          <w:tcPr>
            <w:tcW w:type="dxa" w:w="1904"/>
            <w:vAlign w:val="center"/>
            <w:tcMar>
              <w:top w:w="100" w:type="dxa"/>
              <w:start w:w="110" w:type="dxa"/>
              <w:bottom w:w="100" w:type="dxa"/>
              <w:end w:w="110" w:type="dxa"/>
            </w:tcMar>
            <w:shd w:fill="EEF3F8"/>
          </w:tcPr>
          <w:p>
            <w:pPr>
              <w:spacing w:after="0"/>
              <w:jc w:val="center"/>
            </w:pPr>
            <w:r>
              <w:rPr>
                <w:sz w:val="18"/>
              </w:rPr>
              <w:t>100.00%</w:t>
            </w:r>
          </w:p>
        </w:tc>
      </w:tr>
    </w:tbl>
    <w:p>
      <w:r>
        <w:t>APAVA and RepOD values are mean +/- standard deviation over five runs, not verified five-fold cross-validation. OpenNeuro uses one fixed split (AD vs CN: seven test subjects; FTD vs CN: six). Subject-level results use majority voting, and the single-split OpenNeuro scores require repeated validation.</w:t>
      </w:r>
    </w:p>
    <w:p>
      <w:pPr>
        <w:pStyle w:val="Heading1"/>
      </w:pPr>
      <w:r>
        <w:t>4 Problems and Current Limitations</w:t>
      </w:r>
    </w:p>
    <w:p>
      <w:pPr>
        <w:pStyle w:val="ListBullet"/>
      </w:pPr>
      <w:r>
        <w:t>The public clinical datasets contain relatively few subjects, although preprocessing produces many highly correlated EEG windows.</w:t>
      </w:r>
    </w:p>
    <w:p>
      <w:pPr>
        <w:pStyle w:val="ListBullet"/>
      </w:pPr>
      <w:r>
        <w:t>Single fixed-split results are sensitive to which subjects are assigned to the test set.</w:t>
      </w:r>
    </w:p>
    <w:p>
      <w:pPr>
        <w:pStyle w:val="ListBullet"/>
      </w:pPr>
      <w:r>
        <w:t>Different datasets use different channels, sampling rates, reference schemes and recording conditions, which can introduce dataset-source bias.</w:t>
      </w:r>
    </w:p>
    <w:p>
      <w:pPr>
        <w:pStyle w:val="ListBullet"/>
      </w:pPr>
      <w:r>
        <w:t>Training-time masking may improve robustness, but it does not by itself prove that a masked feature is clinically important; held-out ablation and repeated evaluation are needed.</w:t>
      </w:r>
    </w:p>
    <w:p>
      <w:pPr>
        <w:pStyle w:val="ListBullet"/>
      </w:pPr>
      <w:r>
        <w:t>The current datasets do not yet use one fully standardised preprocessing procedure, so preprocessing sensitivity must be documented.</w:t>
      </w:r>
    </w:p>
    <w:p>
      <w:pPr>
        <w:pStyle w:val="ListBullet"/>
      </w:pPr>
      <w:r>
        <w:t>The disease-label versus disease-specific multi-objective formulation is still undecided, and an evolutionary search may add substantial computation.</w:t>
      </w:r>
    </w:p>
    <w:p>
      <w:pPr>
        <w:pStyle w:val="Heading1"/>
      </w:pPr>
      <w:r>
        <w:t>5 Current Activities</w:t>
      </w:r>
    </w:p>
    <w:p>
      <w:pPr>
        <w:pStyle w:val="ListBullet"/>
      </w:pPr>
      <w:r>
        <w:t>Reviewing the completed AD versus CN and FTD versus CN baselines and documenting their limitations.</w:t>
      </w:r>
    </w:p>
    <w:p>
      <w:pPr>
        <w:pStyle w:val="ListBullet"/>
      </w:pPr>
      <w:r>
        <w:t>Preparing subject-level repeated evaluation so that mean performance and variability can be reported.</w:t>
      </w:r>
    </w:p>
    <w:p>
      <w:pPr>
        <w:pStyle w:val="ListBullet"/>
      </w:pPr>
      <w:r>
        <w:t>Designing electrode and frequency-band masks, including the masking ratio, band definitions and unmasked control experiments.</w:t>
      </w:r>
    </w:p>
    <w:p>
      <w:pPr>
        <w:pStyle w:val="ListBullet"/>
      </w:pPr>
      <w:r>
        <w:t>Planning how to measure feature stability across splits and how to compare LEADv2 with a second pretrained model such as LaBraM.</w:t>
      </w:r>
    </w:p>
    <w:p>
      <w:pPr>
        <w:pStyle w:val="ListBullet"/>
      </w:pPr>
      <w:r>
        <w:t>Assessing whether diseases should be class labels or separate optimization objectives for an evolutionary feature-selection method.</w:t>
      </w:r>
    </w:p>
    <w:p>
      <w:r>
        <w:br w:type="page"/>
      </w:r>
    </w:p>
    <w:p>
      <w:pPr>
        <w:pStyle w:val="Heading1"/>
      </w:pPr>
      <w:r>
        <w:t>6 Work to Be Done</w:t>
      </w:r>
    </w:p>
    <w:p>
      <w:pPr>
        <w:pStyle w:val="ListBullet"/>
      </w:pPr>
      <w:r>
        <w:t>Complete the remaining disease-classification baselines and repeat the main experiments with subject-level data splits.</w:t>
      </w:r>
    </w:p>
    <w:p>
      <w:pPr>
        <w:pStyle w:val="ListBullet"/>
      </w:pPr>
      <w:r>
        <w:t>Implement electrode and frequency-band masking in LEADv2, and compare the results with the unmasked model.</w:t>
      </w:r>
    </w:p>
    <w:p>
      <w:pPr>
        <w:pStyle w:val="ListBullet"/>
      </w:pPr>
      <w:r>
        <w:t>Test which electrodes and bands matter most, and check whether the findings remain stable across splits, diseases and models.</w:t>
      </w:r>
    </w:p>
    <w:p>
      <w:pPr>
        <w:pStyle w:val="ListBullet"/>
      </w:pPr>
      <w:r>
        <w:t>Evaluate LaBraM and other suitable EEG models using the same datasets and evaluation protocol.</w:t>
      </w:r>
    </w:p>
    <w:p>
      <w:pPr>
        <w:pStyle w:val="ListBullet"/>
      </w:pPr>
      <w:r>
        <w:t>At the second supervisory meeting, discuss the specific algorithm and model architecture, including whether diseases should be class labels or separate optimization objectives and whether an evolutionary search is appropriate.</w:t>
      </w:r>
    </w:p>
    <w:p>
      <w:pPr>
        <w:pStyle w:val="ListBullet"/>
      </w:pPr>
      <w:r>
        <w:t>Finally, validate the selected approach on hospital data and complete the final report and presentation.</w:t>
      </w:r>
    </w:p>
    <w:p>
      <w:pPr>
        <w:pStyle w:val="Heading1"/>
      </w:pPr>
      <w:r>
        <w:t>7 Summary</w:t>
      </w:r>
    </w:p>
    <w:p>
      <w:r>
        <w:t>The project has progressed from environment setup and model reproduction to successful integration of three public EEG datasets. LEADv2 baselines have been obtained for Alzheimer disease, frontotemporal dementia and schizophrenia-related tasks. Following the first supervisory meeting, the proposed method now centers on electrode and frequency-band masking for data augmentation, with feature stability assessed experimentally. The next phase will test this method on repeated subject-level splits, compare LEADv2 with another backbone such as LaBraM, and decide whether a disease-label or evolutionary multi-objective formulation is appropriate. Hospital data will be reserved for final external validation.</w:t>
      </w:r>
    </w:p>
    <w:sectPr w:rsidR="00FC693F" w:rsidRPr="0006063C" w:rsidSect="00034616">
      <w:footerReference w:type="default" r:id="rId9"/>
      <w:pgSz w:w="12240" w:h="15840"/>
      <w:pgMar w:top="1191" w:right="136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Bdr>
        <w:top w:val="single" w:sz="6" w:space="8" w:color="B6BDC5"/>
      </w:pBdr>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