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dm6kkl9s2b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Histórico da Classificação dos Seres Vivos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Aristóteles: usava da classificação artificial, usando características superficiais para organizar os seres vivos.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Carl von Linné: utiliza da classificação natural, usando ancestralidade e diversas características para organização dos seres.</w:t>
        <w:br w:type="textWrapping"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yvesdrffx9m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Categorias Taxonômicas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Fundamento organizacional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86150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Englobando os reinos, ainda existe a divisão de Domínio, onde comumente encontra-se os domínios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Eukarya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(plantas, animais, fungos e protistas), Bacteria (correspondente ao reino Monera) 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Archaea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(reino de bactérias termófilas, bastante discutido).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Monera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unicelulares e procariontes, como bactérias e cianobactérias.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Protista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uni ou pluricelulares e eucariontes, como protozoários e algas.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Fungi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unicelulares ou pluricelulares, eucariontes e heterótrofos, como cogumelos e leveduras.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Metaphyta (ou Plantae)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pluricelulares, eucariotos e autótrofos, como a samambaia e o pinheiro.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Metazoa (ou Animalia)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pluricelulares, eucariotos e heterótrofos, como o ser humano.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df0hcl1bbmm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Cladogênese e Anagênese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Anagênese: teoria que acredita na mudança gradual dos seres vivos, ao longo de milhares de gerações.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Cladogênese: teoria que acredita que, ao longo de gerações, grupos modificados do organismo ancestral vão se formando.</w:t>
        <w:br w:type="textWrapping"/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07sb03y288m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Cladogramas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tu029a310dq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Espécie e Nomenclatura Biológica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Espécie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Organismos com singularidade bioquímica e genética, que reproduzem entre si e geram descendentes férteis.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Nomenclatura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1: O nome da espécie deve sempre ser escrito em latim.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2: O nome da espécie é sempre binomial, caracterizando o gênero e o epíteto específico.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3: O gênero sempre deve ser escrito com letra maiúscula e o epíteto específico sempre deve ser escrito com letra minúscula.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4: O nome da espécie sempre deve ser destacado do texto, seja com negrito, 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itálico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ou </w:t>
      </w: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sublinhado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Exemplos: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Homo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sapiens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Canis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lupus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Wuchereria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bancrofti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Aedes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333333"/>
          <w:sz w:val="24"/>
          <w:szCs w:val="24"/>
          <w:u w:val="single"/>
          <w:rtl w:val="0"/>
        </w:rPr>
        <w:t xml:space="preserve">aegypti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epbln281swn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Chaves Dicotômicas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Posicionamento de organismos, geralmente oferecendo duas possibilidades, a partir da classificação dos mesmos frente a uma característica.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Conceitos Importantes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Plesiomorfia: tipo de caracter primitivo, presente nos primeiros grupos de uma árvore filogenética. Ex: ausência de coluna vertebral em vertebrados.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Apomorfia: tipo de caráter recente ou derivado de um caráter primitivo. Ex: asa em aves.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Sinapomorfia: tipo de caráter que define um grupo monofilético.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