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lgs1ohqkta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Histórico da Genética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Genética: ramo da biologia que realiza o estudo da hereditariedade.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genética interfere em outras áreas de estudo, tais como: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Evolução;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Taxonomia;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Biotecnologia;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Ecologia;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Fisiologia;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Embriologia.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Breve histórico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1865, o monge agostiniano Gregor Mendel, publicou seus trabalhos sobre hereditariedade realizados com ervilhas-de-cheiro;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1900, redescoberta e reconhecimento dos trabalhos de Mendel;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1901, Thomas Morgan testa o mendelismo em moscas-de-frutas (Drosophila) e descobre o linkage ou ligação gênica;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1940 a 1950, avanços na genética molecular;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1960, elucidação da expressão gênica.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nuw21ug95h6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Gregor Mendel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Monge austríaco que estudou física e química na Universidade de Viena.</w:t>
        <w:br w:type="textWrapping"/>
        <w:t xml:space="preserve">Novamente no mosteiro, estudou a herança de características de ervilhas de jardim.</w:t>
        <w:br w:type="textWrapping"/>
        <w:t xml:space="preserve">Cunhou a publicação fundamental da genética clássica em 1865.</w:t>
        <w:br w:type="textWrapping"/>
        <w:t xml:space="preserve">Reconhecimento de seus trabalhos se deu somente em 1900, após sua morte (em 1884).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