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gblbm8au6i9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Abiogênese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Teoria de que a vida se origine da matéria bruta de forma espontânea.</w:t>
        <w:br w:type="textWrapping"/>
        <w:t xml:space="preserve">- Segundo a mesma, a matéria bruta, com o devido princípio ativo, pode gerar vida.</w:t>
        <w:br w:type="textWrapping"/>
        <w:t xml:space="preserve">- Exemplo mais comum, é o de que farrapos de camisa com migalhas de pão geram ratos.</w:t>
        <w:br w:type="textWrapping"/>
        <w:t xml:space="preserve">- Teoria pouco fundamentada nos princípios da metodologia científica.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i3cfw9r5nl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Biogênese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Teoria que propõe que todo ser vivo é originado a partir de outro ser vivo, ou seja, uma espécie advém de outra.</w:t>
        <w:br w:type="textWrapping"/>
        <w:t xml:space="preserve">- Fundamenta-se nos princípios da metodologia científica.</w:t>
        <w:br w:type="textWrapping"/>
        <w:t xml:space="preserve">- Um dos primeiros influenciadores da Biogênese foi o naturalista e escritor francês Conde de Buffon.</w:t>
        <w:br w:type="textWrapping"/>
        <w:t xml:space="preserve">- Influenciou Charles Darwin.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