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g8d1lh3zuvh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Visão Geral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Filo Nematoda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- Vermes cilíndricos</w:t>
        <w:br w:type="textWrapping"/>
        <w:t xml:space="preserve">Novidades evolutivas</w:t>
        <w:br w:type="textWrapping"/>
        <w:t xml:space="preserve">- Presença de cavidade corpórea (pseudoceloma)</w:t>
        <w:br w:type="textWrapping"/>
        <w:t xml:space="preserve">- Enterozoários completos</w:t>
        <w:br w:type="textWrapping"/>
        <w:t xml:space="preserve">- Encontram-se, na taxonomia atual, no clado Ecdysozoa, devido a secreção de uma cutícula colagenosa</w:t>
        <w:br w:type="textWrapping"/>
        <w:t xml:space="preserve">- Possuem dimorfismo sexual, sendo encontrado uma espícula sexual</w:t>
        <w:br w:type="textWrapping"/>
        <w:t xml:space="preserve"> </w:t>
      </w:r>
    </w:p>
    <w:p w:rsidR="00000000" w:rsidDel="00000000" w:rsidP="00000000" w:rsidRDefault="00000000" w:rsidRPr="00000000" w14:paraId="00000004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tfpk49m7l6o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Fisiologia dos Nematelmintos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Nutrição</w:t>
        <w:br w:type="textWrapping"/>
        <w:t xml:space="preserve">Podem ser carnívoros, fitófagos ou parasitas de plantas e animais.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Motor</w:t>
        <w:br w:type="textWrapping"/>
        <w:t xml:space="preserve">Possuem somente musculatura longitudinal.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Excretor</w:t>
        <w:br w:type="textWrapping"/>
        <w:t xml:space="preserve">Renetes ou glândulas renoides, também conhecidos como tubos em H, que recolhem excretas do pseudoceloma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Nervoso</w:t>
        <w:br w:type="textWrapping"/>
        <w:t xml:space="preserve">Anel nervoso faringeano e nervos longitudinais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Reprodutor</w:t>
        <w:br w:type="textWrapping"/>
        <w:t xml:space="preserve">Fecundação interna e desenvolvimento indireto (larvas rabditoides e filarioides)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Sistemas Respiratorio e Circulatório</w:t>
        <w:br w:type="textWrapping"/>
        <w:t xml:space="preserve">Ausentes</w:t>
        <w:br w:type="textWrapping"/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rhzplw6b1e4p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Ascaridíase e Ancilostomíase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Ascaridíase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etiológico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ind w:left="600" w:firstLine="0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Ascaris lumbricoides.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Vetor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há.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 de ação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Intestino delgado.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Lesões, hemorragias e necroses intestinais, hepáticas e pulmonares, enfraquecimento e reações imunológicas.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Profilaxia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Saneamento básico, higiene pessoal e alimentar.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Ciclo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184400" cy="261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Disponível em: http://images.slideplayer.com.br/1/67532/slides/slide_19.jpg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Ancilostomíase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Agente etiológico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ind w:left="600" w:firstLine="0"/>
        <w:rPr>
          <w:i w:val="1"/>
          <w:color w:val="333333"/>
          <w:sz w:val="24"/>
          <w:szCs w:val="24"/>
        </w:rPr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Necator americanos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ou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Ancylostoma duodenale.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Vetor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 há.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Local de ação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Intestino delgado.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Sintomas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Lesões, hemorragias e necroses intestinais, enfraquecimento.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Profilaxia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Saneamento básico, higiene pessoal e alimentar.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Ciclo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95700" cy="2886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dxjokqvoagfc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Filariose, Oxiúros e Bicho Geográfico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Enterobíase ou Oxiúros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Causado pelo agente etiológico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Enterobius vermiculares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não possui vetor e age no intestino e região anal. O sintoma de prurido anal está ligado ao ciclo oral-fecal.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Filariose ou Elefantíase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Causado pelo agente etiológico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Wuchereria bancrofti,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possui como vetor o inseto Culex e age no sistema linfático, obstruindo canais e vasos, causando edemas. A medida profilática mais importante é o controle do vetor.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Bicho geográfico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Infecção do agente etiológico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Ancylostoma braziliensis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por penetração ativa.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Tricocefalíase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Doença causada pelo agente etiológico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Trichuris trichiura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Oncocercose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Doença causada pela espécie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Onchocerca volvolus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tem o borrachudo (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Simulium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) como vetor. Causa nódulos cefálicos, torácicos ou nas nádegas.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bc8x7e4gne9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Triquinose, Tricocefalíase e Oncocercose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Triquinose</w:t>
        <w:br w:type="textWrapping"/>
        <w:t xml:space="preserve">Agente etiológico: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Trichinella spiralis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Transmissão: ingestão de cistos em alimentos</w:t>
        <w:br w:type="textWrapping"/>
        <w:t xml:space="preserve">Sintomas: cistos podem calcificar-se e serem letais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Tricocefalíase</w:t>
        <w:br w:type="textWrapping"/>
        <w:t xml:space="preserve">Agente etiológico: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Trichuris trichiura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Transmissão: ingestão de ovos em alimentos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Oncocercose</w:t>
        <w:br w:type="textWrapping"/>
        <w:t xml:space="preserve">Agente etiológico: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Onchocerca volvolus</w:t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Vetor e hospedeiro intermediário: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Simulium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(borrachudo)</w:t>
        <w:br w:type="textWrapping"/>
        <w:t xml:space="preserve">Sintomas: nódulos cefálicos, torácicos ou nas nádegas.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