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y4b1wms0vgk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Função</w:t>
        <w:br w:type="textWrapping"/>
        <w:t xml:space="preserve">Comando do movimento, organizado pela integração do: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 muscular: responsável pelas contrações e geração de energia</w:t>
        <w:br w:type="textWrapping"/>
        <w:t xml:space="preserve">Sistema ósseo: responsável por alavancar os grupos musculares; e</w:t>
        <w:br w:type="textWrapping"/>
        <w:t xml:space="preserve">Sistema articular: responsável por criar os apoios onde movem-se os grupos musculares e ósseos.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Organização muscular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730500" cy="132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Tipos de articulação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Sinovial: permite maior mobilidade de movimento. Ex: entre úmero e ulna (ossos do braço).</w:t>
        <w:br w:type="textWrapping"/>
        <w:t xml:space="preserve">Semi-móvel: permite mobilidade intermediária. Ex: sínfise púbica.</w:t>
        <w:br w:type="textWrapping"/>
        <w:t xml:space="preserve">Fixa: permite pouca mobilidade. Ex: crânio.</w:t>
      </w:r>
    </w:p>
    <w:p w:rsidR="00000000" w:rsidDel="00000000" w:rsidP="00000000" w:rsidRDefault="00000000" w:rsidRPr="00000000" w14:paraId="00000008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vyqj1a23ajh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Tipos de Movimento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Grupos muculares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Agonistassta e antagonis: grupos de músculos que agem, durante o movimento, contraindo-se e relaxando-se, respectivamente.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Sinergistas e fixadores: grupos musculares que estabilizam músculos próximos a região em que há o movimento.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Tipos de movimento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Reflexo: movimento pouco voluntário, de baixa complexidade.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Rítmico: movimento de início e fim voluntários, de complexidade intermediária.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Voluntário: movimento bastante complexo e voluntário.</w:t>
      </w:r>
    </w:p>
    <w:p w:rsidR="00000000" w:rsidDel="00000000" w:rsidP="00000000" w:rsidRDefault="00000000" w:rsidRPr="00000000" w14:paraId="00000013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qrom8fig348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Controle Nervoso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Ideia</w:t>
        <w:br w:type="textWrapping"/>
        <w:t xml:space="preserve">Controlada pelos núcleos da base (encéfalo). Agem via tálamo e córtex sob vias motoras e não-motoras</w:t>
        <w:br w:type="textWrapping"/>
        <w:t xml:space="preserve">Planejamento</w:t>
        <w:br w:type="textWrapping"/>
        <w:t xml:space="preserve">Controlado pelo cerebelo (encéfalo). Participa da tática motora e da complexidade do movimento.</w:t>
        <w:br w:type="textWrapping"/>
        <w:t xml:space="preserve">Execução</w:t>
        <w:br w:type="textWrapping"/>
        <w:t xml:space="preserve">Controlada pela medula espinhal, responsável pelo envio de estímulos nervosos.</w:t>
        <w:br w:type="textWrapping"/>
        <w:t xml:space="preserve">Movimento</w:t>
        <w:br w:type="textWrapping"/>
        <w:t xml:space="preserve">Além da ação dos músculos, existe a percepção própria do movimento, através dos fusos neuromusculares (percepção de estiramento de fibras) e do órgão tendinoso de Golgi (percepção de tensão das fibras)</w:t>
      </w:r>
    </w:p>
    <w:p w:rsidR="00000000" w:rsidDel="00000000" w:rsidP="00000000" w:rsidRDefault="00000000" w:rsidRPr="00000000" w14:paraId="00000018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c12irmepb9l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Fisiologia do Esporte: Tipos de Fibras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Fibras de contração lenta ou oxidativas ou vermelhas (tipo I)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Dependem de respiração aeróbia como fonte de ATP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Possuem muitas mitocôndrias e mioglobina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Taxa de fadiga é lenta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Em abundância nos maratonistas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Fibras de contração rápida ou glicolíticas ou brancas (tipo IIb)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Dependem de respiração anaeróbia para obtenção de ATP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Possuem poucas mitocôndrias e mioglobina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Taxa de fadiga é rápida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Em abundância em atletas de corridas de 100m</w:t>
        <w:br w:type="textWrapping"/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qkk8ipkxpvn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Sistema Motor Comparado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diferenças de força muscular entre os animais dependem não só da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quantidade de músculos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mas também da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disposição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destes nos ossos e do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tipo de estímulo nervoso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mamíferos, as contrações agem em sincronia 1:1 entre impulsos nervosos. Alguns insetos, como mosquitos e vespas, possuem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 músculos assincrônicos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onde um impulso nervoso pode estimular mais de um fenômeno de contração.</w:t>
        <w:br w:type="textWrapping"/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9vz6c4k92uh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Problemas de Saúde Ligados ao Sistema Motor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Distensão e ruptura: lesão ou desligamento de fibras, respectivamente, por movimento brusco.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Tendinite: lesão por esforço repetitivo (L.E.R.), causando inflamação dos tendões.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Distrofia muscular: complicação hereditária e progressiva onde ocorre degeneração muscular.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Artrite: desgaste das cartilagens das articulações (artrose) ou doença autoimune nas membranas sinoviais (artrite reumatoide).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Bursite: inflamação de bolsa de articulação por L.E.R.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Ciática: pressão por, geralmente, prolapso de disco cartilaginoso no nervo isquiático.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Hérnia de disco: prolapso de discos intervertebrais.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Cifose, lordose e escoliose: desvios de coluna evidenciado por problemas posturais.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Osteoporose: maior desgaste que formação óssea, deixando ossos porosos e afilados.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Osteomalacia: carência de vitamina D em adultos, que prejudica a deposição de cálcio e fosfato nos ossos. Em crianças, é considerado como raquitismo.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