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lsi1sedj3k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Dogma Central da Biologia Molecular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Metabolismo celular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reações químicas da célula;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controlado pelo DNA celular;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reações químicas ocorrem no citoplasma;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Realizado por enzimas (proteínas com atividade catalítica).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Dogma Central da Biologia Molecular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771775" cy="847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u9g11ibqao4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Duplicação ou Replicação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Duplicação ou replicação de DNA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no período S da interfase celular;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dita semiconservativa, pois conserva uma das fitas do DNA original em DNA formado após a duplicação;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Enzimas envolvidas: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DNA girase: desfaz a estrutura em α-hélice do DNA;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DNA helicase: quebra as pontes de hidrogênio separando as duas fitas do DNA;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DNA polimerase: promove a formação da nova fita de DNA de acordo com a fita molde;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DNA ligase: promove a união entre os nucleotídeos da fita formada.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Sentido da replicação: orientação 5`→ 3`nas duas fitas do DNA original;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Durante a replicação é possível diferenciar a formação de uma fita líder (ou contínua) e uma fita retardatária (ou descontínua);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fita descontínua, cada segmento gerado é chamado de fragmentos de Okazaki.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19450" cy="1076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gwdaqditswv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Transcrição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síntese proteica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Etapas e locais nos eucariontes: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Transcrição: núcleo celular;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Tradução: citoplasma.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95675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Tabela de códons e aminoácidos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4781550" cy="3657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878xeussfyb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Splicing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 e características do Splicing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maturação do RNAm recém-formado na transcrição;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Consiste na remoção dos íntrons (regiões não codificantes de um gene) e união dos éxons (regiões codificantes de um gene);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apenas em eucariontes;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Spliceossomo: estrutura responsável pelo splicing.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29025" cy="4200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Splicing alternativo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Alternativas múltiplas de solda dos éxons permitindo a formação de mais de um tipo de polipeptídeo a partir de um único RNAm inicial.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62325" cy="312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gh6nel7c20k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Código Genético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trechos do DNA que contém informações sobre o indivíduo.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Genoma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 o total de genes presentes em uma célula.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Proteoma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proteínas presentes em uma célula a partir de processos de transcrição e tradução dos genes presentes em seu DNA.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usqsx1cfcmc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Tipos de RNA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 na célula: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Procariótica: citoplasma.</w:t>
        <w:br w:type="textWrapping"/>
        <w:t xml:space="preserve">Eucariótica: no interior do núcleo, do citoplasma, das mitocôndrias e cloroplastos.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Papéis biológicos: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 do controle do metabolismo a partir de informações do DNA.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RNA: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RNAm: RNA mensageiro</w:t>
        <w:br w:type="textWrapping"/>
        <w:t xml:space="preserve">RNAt: RNA transportador</w:t>
        <w:br w:type="textWrapping"/>
        <w:t xml:space="preserve">RNAr: RNA ribossômico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do RNA    :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Fita ou cadeia simples de ribonucleotídeos.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