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kptpqtaizprz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Introdução e Fator de Lorentz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Como em muitos problemas de relatividade utilizamos a relação à baixo, vamos nomear de fator de Lorentz ou fator gama.</w:t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933450" cy="60007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γ=1 para v≪c, aplicável para velocidades menores que 0,1c;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γ&gt;1 para v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Dessa forma a dilatação do tempo, vista na aula anterior, pode ser expressa como: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962025" cy="419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9pzgpn7hj60q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Contração do espaço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34"/>
          <w:szCs w:val="34"/>
        </w:rPr>
      </w:pPr>
      <w:r w:rsidDel="00000000" w:rsidR="00000000" w:rsidRPr="00000000">
        <w:rPr>
          <w:color w:val="333333"/>
          <w:sz w:val="34"/>
          <w:szCs w:val="34"/>
        </w:rPr>
        <w:drawing>
          <wp:inline distB="114300" distT="114300" distL="114300" distR="114300">
            <wp:extent cx="4711700" cy="2476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Para o referencial Rm:</w:t>
        <w:br w:type="textWrapping"/>
        <w:t xml:space="preserve">O túnel está em repouso, o comprimento do túnel nesse referencial é Lm (comprimento próprio), sendo que ele pode ser relacionado com a velocidade da nave v e o intervalo de tempo que ela demora para atravessa-lo nesse referencial ∆t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m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L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=v.∆t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m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18"/>
          <w:szCs w:val="18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Para o referencial Rr:</w:t>
        <w:br w:type="textWrapping"/>
        <w:t xml:space="preserve">Podemos calcular o comprimento do túnel LR utilizando o mesmo raciocínio anterior, mas atenção, o intervalo de tempo que a nave atravessa o túnel é ∆t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R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L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R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=v∙∆t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R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Utilizando a equação para o Rm e a dilatação tempo, conseguimos relacionar os comprimentos obtidos em cada referencial.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L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=v∙∆t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⇒L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Arial Unicode MS" w:cs="Arial Unicode MS" w:eastAsia="Arial Unicode MS" w:hAnsi="Arial Unicode MS"/>
          <w:color w:val="333333"/>
          <w:sz w:val="24"/>
          <w:szCs w:val="24"/>
          <w:rtl w:val="0"/>
        </w:rPr>
        <w:t xml:space="preserve">=v∙ γ∙∆t</w:t>
      </w:r>
      <w:r w:rsidDel="00000000" w:rsidR="00000000" w:rsidRPr="00000000">
        <w:rPr>
          <w:color w:val="333333"/>
          <w:sz w:val="18"/>
          <w:szCs w:val="18"/>
          <w:rtl w:val="0"/>
        </w:rPr>
        <w:t xml:space="preserve">R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18"/>
          <w:szCs w:val="18"/>
        </w:rPr>
      </w:pPr>
      <w:r w:rsidDel="00000000" w:rsidR="00000000" w:rsidRPr="00000000">
        <w:rPr>
          <w:color w:val="333333"/>
          <w:sz w:val="18"/>
          <w:szCs w:val="18"/>
        </w:rPr>
        <w:drawing>
          <wp:inline distB="114300" distT="114300" distL="114300" distR="114300">
            <wp:extent cx="2486025" cy="17907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Conclusão</w:t>
        <w:br w:type="textWrapping"/>
        <w:t xml:space="preserve">O comprimento dos objetos é menor para o referencial que está em movimento. Importante o comprimento próprio do objeto é obtido no referencial que ele está em repouso, portanto pode ser para um referencial fora da nave ou dentro da nave.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Exemplo:</w:t>
        <w:br w:type="textWrapping"/>
        <w:t xml:space="preserve">Exercício Resolvido</w:t>
        <w:br w:type="textWrapping"/>
        <w:t xml:space="preserve">Uma nave dirige-se horizontalmente com velocidade constante de 0,6c em relação a Terra. Em um dado instante a nave passa por um túnel de comprimento de 2000 m (comprimento próprio medido para um observador na Terra), qual o comprimento do túnel para os seus tripulantes?</w:t>
        <w:br w:type="textWrapping"/>
        <w:t xml:space="preserve">Figura que descreva a situação do exemplo;</w:t>
        <w:br w:type="textWrapping"/>
        <w:t xml:space="preserve">Cálculo do fator de Lorentz</w:t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571750" cy="10096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Cálculo do comprimento do túnel para Rr</w:t>
        <w:br w:type="textWrapping"/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133475" cy="904875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