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1csupnbd6hs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Contexto Histórico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Parte das ilhas britânicas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construção da nação irlandesa tem ligações com a chegada dos primeiros povos às ilhas britânicas, por volta de 8.000 a.C, além das correntes migratórias celtas, vikings e de outros grupos que formaram a cultura inglesa e de outros grupos.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inglês: por mais de sete séculos (século XII ao século XX), espalhando a cultura inglesa e o protestantismo;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1801-1922: parte do Reino Unido, da Grã-Bretanha e Irlanda;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Colonização: ingleses e escoceses ocuparam terras, para aumentar a presença na região e afirmar a soberania;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Religião: Reforma inglesa, com a expulsão dos católicos e deslocamento de colonos para para áreas cada vez menores;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Questões religiosas: conflitos entre católicos irlandeses e protestantes britânicos: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Colônias inglesas;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Supressão parlamentar (século XVIII/XIX): banimento da ala católica e aumento do desejo de separação;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Secessionismo e independência: Defesa da autonomia republicana. Nacionalistas (católicos), no norte, e unionistas (protestantes), no sul;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1922: independência (em 1937, formalização da República da Irlanda).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e7uw2qcl3cp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IRA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Grupo paramilitar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Formado em função do processo de independência em 1922, para acabar com o domínio inglês na região e da influência do protestantismo britânico. Separatismo e integração Norte/Sul.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Orientação católica;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Ligações políticas com o partido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Sinn Féin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(“nós próprios”, em gaélico);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Reintegração: separação da Irlanda do Norte do Reino Unido e união das duas Irlandas: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 igualdade religiosa: 75% da população da Irlanda do Norte (protestante);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Domingo Sangrento (1972);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Terrorismo (ação): aprox. 3500 mortes.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