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xexnl5hsasq8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Aspectos Naturais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Domínios das planícies e depressões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Os países platinos possuem em seus domínios extensas áreas sedimentares de planícies e depressões, formadas ao longo do Paleógeno e Neógeno (≤ 65 m.a.a.p.) e planaltos sedimentares mais antigos.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naturais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Influências climáticas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Corrente das Malvinas (fria);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Polar atlântica (mPa);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Massa Tropical continental (mTc);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 climáticos: subtropical, temperado, árido/semiárido;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Bacia Platina: drena grande parte das planícies e depressões da região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 da Prata;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 Paraguai;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 Paraná;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Rio Uruguai;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Domínios de vegetação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Árido/semiárido;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Estepes e pradarias;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Floresta subtropical/formações de Mata Atlântica.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iagmxrnnhvy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Aspectos Socioeconômicos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Países do Prata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países platinos recebem essa denominação por serem drenados por cursos d’água na bacia do Rio da Prata.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Argentina, Uruguai e Paraguai: áreas formadas pelo antigo Vice-Reino do Rio da Prata;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52 milhões de habitantes;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Predomínio de população urbana (≈ 85%).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socioeconômicas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Parque industrial: Grande Buenos Aires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Diversificado;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Âmbito da industrialização tardia;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Pecuária: Chaco, Pampas (grandes áreas p/ pecuária extensiva);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Agricultura: cereais, algodão, vinicultura;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Silvicultura: expansão no Uruguai e no Paraguai;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MERCOSUL.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owsg4kjqnw0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Mercosul e Unasul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Integração do Cone Sul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projetos que culminaram com o MERCOSUL e, posteriormente, a UNASUL, buscavam uma área de integração e circulação mais intensa de bens, serviços e pessoas.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Tarifa Externa Comum (TEC);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Livre comércio;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Circulação de pessoas;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1991: Argentina, Brasil, Paraguai e Uruguai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1995: entrada do bloco em vigor.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UNASUL: ampliação do MERCOSUL para a América do Sul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Objetivos já contemplados pelo MERCOSUL;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Iniciativa para a Integração Regional Sul-Americana (IIRSA).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