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f92rf4rg1x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Tigres Asiáticos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Por que um tigre?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expressão “Tigres Asiáticos” foi utilizada como analogia entre a força, a agilidade e a audácia típicas do comportamento de felídeos encontrados no sudeste do continente e o vigoroso crescimento econômico de algumas nações que, até os anos 1970, eram consideradas bastante empobrecidas.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Primeiros Tigres: Coreia do Sul, Taiwan, Cingapura e Hong Kong (que atualmente é parte da China).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Rápido crescimento econômico: alguns fatores contribuíram para esse processo: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Plataformas de exportação;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de infraestrutura;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mão-de-obra altamente qualificada;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Investimentos em educação, ciência e tecnologia;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japonesa: associada à ética de trabalho e ao modelo de Chaebol (inspirado nos zaibatsus japoneses) para a formação de grandes conglomerados;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Investimento Estrangeiro Direto: entrada de grande volume de recursos;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Bens duráveis, de maior valor agregado;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IDH: contribuiu para formar um mercado consumido, e foi resultado dos investimentos em formação mais as políticas sociais.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fimb3gtpkta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Novos Tigres Asiáticos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Seguindo os mais velhos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sucesso dos primeiros Tigres Asiáticos atraiu as atenções dos países vizinhos, que passaram a adotar reformas econômicas e estruturais capazes de atrair investimentos.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Tigres: Filipinas, Indonésia, Malásia, Tailândia, Vietnã;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Diversidade: origens étnicas, religião e processos históricos.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Territórios mais extensos do que os primeiros Tigres;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naturais, que reduzem a necessidade de importações;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mais populosos, com potencial para formar grandes mercados consumidores;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mais numerosa e barata;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Incentivos fiscais e leis mais flexíveis para atrair investidores;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 estrangeiro: especialmente do Japão, dos Estados Unidos e de algumas nações da União Europeia.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