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22mtsee862zf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Universidades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crescimento populacional e o desenvolvimento das atividades comerciais tornaram indispensável o aparecimento do ensino leigo, voltado para as necessidades do capitalismo;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Origem das universidades = corporações de professores e alunos que se reuniam para estudar;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principais universidades eram formadas por quatro faculdades: Artes, Direito, Medicina e Teologia;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ensino era em latim;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Principais universidades: Bolonha, Paris, Nápoles, Salermo, Oxford, Cambridge, Pádua e Toulouse.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1usfay8jn2sp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Arquitetura Gótica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catedrais góticas ficavam sediadas no setor urbano;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Eram ao mesmo tempo, igreja, escola e biblioteca;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Toda a população da cidade participava da construção das catedrais góticas;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arcos redondos cederam lugar aos arcos em formato ogival;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Grandes catedrais condicionando a percepção da inferioridade humana diante da grandiosidade de Deus;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Utilização de vitrais e esculturas com função pedagógica e evangelizadora numa sociedade com imensa maioria de iletrados.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uk89l7tz4jkw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Escolástica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Sistema filosófico de maior importância no período medieval;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filósofos escolásticos não acreditavam que a verdade pudesse ser atingida pela percepção sensorial;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filósofos escolásticos, sob grande influência cristã, consideravam até mesmo a razão insuficiente para se chegar ao conhecimento pleno;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escolástica foi uma tentativa de harmonizar a razão com a fé, porém com a primazia da fé sobre a razão;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Expoentes: Pedro Abelardo, Santo Abelardo Magno e São Tomás de Aquino.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