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sqecer5ht93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Cruzadas = reabertura do Mediterrâneo para o comércio cristão;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População europeia: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Guerras;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Epidemias;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Produção agrícola: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Atrelagem peitoral do arado nos animais;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Áreas de cultivo (derrubada de florestas + drenagem de pântanos);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Rotatividade das plantações.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Mercado interno;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Fim das invasões bárbaras = ↑ segurança.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6ddrgk5f2d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Características (Parte 1)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XI, XII e XIII;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Rotas comerciais: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 do Mediterrâneo;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 de Champagne;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Rota do Mar do Norte.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Feiras medievais;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Moedas + atividades bancárias (câmbio, empréstimos a juros e depósitos).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ostvpf80a7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Características (Parte 2)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Artesanato: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Corporações de ofício = associações de artesãos que exerciam a mesma atividade com os objetivos de controlar a produção e o mercado locais, evitando a concorrência.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Cidades (Renascimento Urbano):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Origem: fortalezas, castelos e feiras medievais;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Cidades francas = autonomia por meio de acordos financeiros;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Cidades comunais = autonomia através da luta armada.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Guildas (Hansas) = associações de cidades mercantis com o objetivo de defender os interesses comerciais das cidades de uma região: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 Liga Hanseática = associação de cidades norte-alemãs que controlou o comércio nas áreas banhadas pelos mares Báltico e do Norte.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Universidades;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Arquitetura gótica: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Altura elevada;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Arcos ogivais;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Vitrais.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