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5qtlhnbzwyt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 Gerais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 XVIII;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Regiões de exploração: Minas Gerais, Mato Grosso e Goiás;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Ouro de aluvião (ouro de superfície):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Nível técnico (técnicas rudimentares);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Rápido esgotamento das jazidas.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Formas de exploração: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Lavra: pequena empresa mineradora com mão de obra escrava;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Faiscação: garimpo individual.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s58iko6uen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Legislação e Instituições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Legislação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 Régia (1603): livre exploração mediante pagamento do quinto;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Regimento do Ouro (1702): regulamentava e disciplinava a distribuição e exploração das terras auríferas.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Instituições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Casas de fundição: órgãos que transformavam o ouro em barras timbradas e quintadas com os objetivos de extrair o quinto e evitar o contrabando;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Intendência das Minas: órgão responsável pela fiscalização.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sfbi8go68q8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Tributos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Quinto: 20% do ouro extraído deveriam ser remetidos à Metrópole;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Capitação: 17g de ouro por escravo em atividade ao ano;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Finta: 100 arrobas (1500 kg) anuais p/ toda a região das minas. Quantidade mínima de ouro que deveria ser enviada a Portugal ao ano;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Derrama: cobrança arbitrária do quinto atrasado (ou déficit em relação à finta) que deveria ser pago por toda a população, inclusive c/ bens pessoais.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075mb5pr6lt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Diamantes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extração: 1720;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Local: Distrito Diamantino (atual Diamantina-MG);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de exploração: estanco (monopólio da Coroa).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v8taaf99q0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Sociedade Colonial Mineradora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urbana;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escravista;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Possibilidade de mobilidade social: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Baixo investimento inicial dos garimpeiros;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riqueza móvel (ouro) suplantava a importância da riqueza imóvel (terra).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6srduacr74n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Consequências da Mineração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da imigração portuguesa para o Brasil (“corrida do ouro para as Minas”);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demográfico;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do mercado interno;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do comércio interno de escravos (do Nordeste p/ o Centro-Sul);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 da capital da Colônia de Salvador p/ o Rio de Janeiro (1763);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 do eixo econômico da Colônia: do Nordeste p/ o Centro-Sul;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Relativa urbanização (Villa Rica, Mariana, São João Del Rei, Sabará, Congonhas do Campo);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cultural: Barroco (escultura, arquitetura e música);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Interiorização da Colônia: penetração e povoamento do interior.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hcesgdd3e3a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Cultura Mineira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Literatura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Arcadismo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Cláudio Manuel da Costa</w:t>
        <w:br w:type="textWrapping"/>
        <w:t xml:space="preserve">&gt; Alvarenga Peixoto</w:t>
        <w:br w:type="textWrapping"/>
        <w:t xml:space="preserve">&gt; Tomás Antônio Gonzaga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Música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Música sacra (Barroco)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Padre José Maurício Nunes Garcia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Arquitetura e escultura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Barroco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Arte sacra</w:t>
        <w:br w:type="textWrapping"/>
        <w:t xml:space="preserve">&gt; Arquitetura = igrejas</w:t>
        <w:br w:type="textWrapping"/>
        <w:t xml:space="preserve">&gt; Escultura = destaque para Aleijadinho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098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47900" cy="2562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