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ojrxee5xdgp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Imigração Européia para o Brasil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 europeia (crise de superprodução com a 2ª Revolução Industrial);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Unificações da Itália e da Alemanha;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cafeeira;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escravismo;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Darwinismo social (“branqueamento” da população).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Sistema de parceria (1847)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Fazenda Ibicaba (SP);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Fazendeiro: senador Vergueiro;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livre dos imigrantes remunerados com parte da produção;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80 famílias oriundas da Alemanha e da Suíça;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Fracasso - fatores: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Maus-tratos;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Dívidas dos imigrantes;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 dos imigrantes.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