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v26qqkvq2v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Definição e Características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Política econômica dos Estados Modernos europeus.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Enriquecimento dos Estados Modernos por meio da acumulação primitiva de capitais.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Metalismo = riqueza de um país determinada pela capacidade de acumular metais preciosos;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Colonialismo (sistema colonial);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Monopólios (exemplo: pacto colonial);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Balança comercial favorável = exportações &gt; importações;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Protecionismo = ↑ tarifas alfandegárias para dificultar a entrada de produtos importados;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Intervencionismo estatal na economia.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s0bndi1qheu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Tipos de Mercantilismo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Colbertismo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Mercantilismo francês;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Jean Baptiste Colbert = ministro das finanças da França (rei Luís XIV);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Produção de artigos de luxo p/ exportação (tapeçaria e cristais);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 = balança comercial favorável.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Bulionismo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Mercantilismo espanhol;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Ênfase no metalismo (extrativismo metalista);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Descoberta de ouro e prata = México, Peru e Bolívia;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Consequência: “Revolução dos Preços” = ↑ 400% inflação na Europa.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Mercantilismo misto (comercial e industrial)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Inglaterra e Holanda;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Comércio internacional de mercadorias;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Corsários;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Indústria de tecidos;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Inglaterra = protecionismo (Atos de Navegação-1651).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