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m9mjxp121px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Patrimônio histórico  (</w:t>
      </w:r>
      <w:hyperlink r:id="rId6">
        <w:r w:rsidDel="00000000" w:rsidR="00000000" w:rsidRPr="00000000">
          <w:rPr>
            <w:color w:val="007bff"/>
            <w:sz w:val="24"/>
            <w:szCs w:val="24"/>
            <w:rtl w:val="0"/>
          </w:rPr>
          <w:t xml:space="preserve">Decreto-lei nº 25, de 30 de novembro de 1937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“O conjunto de bens móveis e imóveis existentes no País e cuja conservação seja de interesse público, quer por sua vinculação a fatos memoráveis da história do Brasil, quer por seu excepcional valor arqueológico ou etnográfico, bibliográfico ou artístico”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Patrimônio cultural (</w:t>
      </w:r>
      <w:hyperlink r:id="rId7">
        <w:r w:rsidDel="00000000" w:rsidR="00000000" w:rsidRPr="00000000">
          <w:rPr>
            <w:color w:val="007bff"/>
            <w:sz w:val="24"/>
            <w:szCs w:val="24"/>
            <w:rtl w:val="0"/>
          </w:rPr>
          <w:t xml:space="preserve">Artigo 216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da </w:t>
      </w:r>
      <w:hyperlink r:id="rId8">
        <w:r w:rsidDel="00000000" w:rsidR="00000000" w:rsidRPr="00000000">
          <w:rPr>
            <w:color w:val="007bff"/>
            <w:sz w:val="24"/>
            <w:szCs w:val="24"/>
            <w:rtl w:val="0"/>
          </w:rPr>
          <w:t xml:space="preserve">Constituição Federal de 1988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bens “de natureza material e imaterial, tomados individualmente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 em conjunto, portadores de referência à identidade, à ação,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à memória dos diferentes grupos formadores da sociedade brasileira”.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l8i2v8bnc0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Patrimônio Cultural Material e Imaterial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Patrimônio material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bens culturais classificados segundo sua natureza: arqueológico, paisagístico e etnográfico; histórico; belas artes; e das artes aplicadas.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bens tombados de natureza material podem ser imóveis como as cidades históricas, sítios arqueológicos e paisagísticos e bens individuais; ou móveis, como coleções arqueológicas, acervos museológicos, documentais, bibliográficos, arquivísticos, videográficos, fotográficos e cinematográficos.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Patrimônio imaterial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bens culturais de natureza imaterial dizem respeito àquelas práticas e domínios da vida social que se manifestam em saberes, ofícios e modos de fazer; celebrações; formas de expressão cênicas, plásticas, musicais ou lúdicas; e nos lugares (como mercados, feiras e santuários que abrigam práticas culturais coletivas)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hd w:fill="ffffff" w:val="clear"/>
        <w:spacing w:after="40" w:before="0" w:line="288" w:lineRule="auto"/>
        <w:rPr>
          <w:color w:val="007bff"/>
        </w:rPr>
      </w:pPr>
      <w:bookmarkStart w:colFirst="0" w:colLast="0" w:name="_xc44ybpavwg6" w:id="2"/>
      <w:bookmarkEnd w:id="2"/>
      <w:r w:rsidDel="00000000" w:rsidR="00000000" w:rsidRPr="00000000">
        <w:rPr>
          <w:color w:val="333333"/>
          <w:rtl w:val="0"/>
        </w:rPr>
        <w:t xml:space="preserve">Fonte: </w:t>
      </w:r>
      <w:hyperlink r:id="rId9">
        <w:r w:rsidDel="00000000" w:rsidR="00000000" w:rsidRPr="00000000">
          <w:rPr>
            <w:color w:val="007bff"/>
            <w:rtl w:val="0"/>
          </w:rPr>
          <w:t xml:space="preserve">http://portal.iphan.gov.br/pagina/detalhes/234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Tipos e exemplos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Saberes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Ofícios das baianas do acarajé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Modo de fazer bonecas karajá (TO)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Modo de fazer cuias do Baixo Amazonas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Lugares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Feira de Campina Grande - PB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Feira de Caruaru - PE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Celebrações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Ritual indígena Enawenê Nawê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Bumba-meu-boi do Maranhão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Círio de Nossa Senhora de Nazaré - Belém (PA)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Formas de expressão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Maracatu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Carimbó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Literatura de cordel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l.iphan.gov.br/pagina/detalhes/23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analto.gov.br/ccivil_03/decreto-lei/del0025.htm" TargetMode="External"/><Relationship Id="rId7" Type="http://schemas.openxmlformats.org/officeDocument/2006/relationships/hyperlink" Target="http://portal.iphan.gov.br/uploads/legislacao/constituicao_federal_art_216.pdf" TargetMode="External"/><Relationship Id="rId8" Type="http://schemas.openxmlformats.org/officeDocument/2006/relationships/hyperlink" Target="http://portal.iphan.gov.br/uploads/legislacao/constituicao_federal_art_2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