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q5m8hsdbnv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Revolta de Beckman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Caráter local;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XVII e XVIII;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os abusos do fiscalismo português;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pretendiam rompimento político c/ a Metrópole.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Revolta de Beckman (1684)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= Maranhão;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dos senhores de engenho c/ o monopólio do comércio de escravos negros pela Cia. Geral de Comércio do Maranhão;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c/ a Cia. de Jesus (contrária à escravidão indígena).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 = Manuel Beckman (senhor de engenho);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das autoridades portuguesas.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i7grak1wja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Guerra dos Emboabas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dos Emboabas (1708-1709)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= Minas Gerais;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 = disputa pelas recém-descobertas áreas mineradoras entre bandeirantes paulistas (vicentinos) e forasteiros (“emboabas”);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das autoridades metropolitanas.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da8ex2ok6yr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Guerra dos Mascates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dos Mascates (1710-1712)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= Pernambuco;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 = rivalidade entre Olinda (senhores de engenho) e Recife (comerciantes portugueses = “mascates”) devido à elevação de Recife à condição de vila, não se submetendo mais a autoridade da Câmara de Olinda;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da Metrópole;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dos comerciantes portugueses;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 presos;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Recife = elevada à capital de Pernambuco.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y233obpsybe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Revolta de Felipe dos Santos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Revolta de Felipe dos Santos (1720)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= Villa Rica (MG);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 = abusos do fiscalismo português: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a criação das Casas de Fundição;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 a cobrança do quinto.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Consequências: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das autoridades portuguesas;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líder do movimento, o minerador português Felipe dos Santos, foi enforcado em praça pública e esquartejado.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