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before="0" w:line="288" w:lineRule="auto"/>
        <w:rPr>
          <w:color w:val="333333"/>
          <w:sz w:val="34"/>
          <w:szCs w:val="34"/>
        </w:rPr>
      </w:pPr>
      <w:bookmarkStart w:colFirst="0" w:colLast="0" w:name="_93osdzcutk9e" w:id="0"/>
      <w:bookmarkEnd w:id="0"/>
      <w:r w:rsidDel="00000000" w:rsidR="00000000" w:rsidRPr="00000000">
        <w:rPr>
          <w:color w:val="333333"/>
          <w:sz w:val="34"/>
          <w:szCs w:val="34"/>
          <w:rtl w:val="0"/>
        </w:rPr>
        <w:t xml:space="preserve">Aula 1 - Derivados de Hidrocarbonetos</w:t>
      </w:r>
    </w:p>
    <w:p w:rsidR="00000000" w:rsidDel="00000000" w:rsidP="00000000" w:rsidRDefault="00000000" w:rsidRPr="00000000" w14:paraId="00000002">
      <w:pPr>
        <w:shd w:fill="ffffff" w:val="clear"/>
        <w:spacing w:after="240" w:lineRule="auto"/>
        <w:rPr>
          <w:color w:val="333333"/>
          <w:sz w:val="26"/>
          <w:szCs w:val="26"/>
        </w:rPr>
      </w:pPr>
      <w:r w:rsidDel="00000000" w:rsidR="00000000" w:rsidRPr="00000000">
        <w:rPr>
          <w:color w:val="333333"/>
          <w:sz w:val="26"/>
          <w:szCs w:val="26"/>
          <w:rtl w:val="0"/>
        </w:rPr>
        <w:t xml:space="preserve">Ácidos Sulfônicos </w:t>
      </w:r>
    </w:p>
    <w:p w:rsidR="00000000" w:rsidDel="00000000" w:rsidP="00000000" w:rsidRDefault="00000000" w:rsidRPr="00000000" w14:paraId="00000003">
      <w:pPr>
        <w:shd w:fill="ffffff" w:val="clear"/>
        <w:spacing w:after="240" w:lineRule="auto"/>
        <w:rPr>
          <w:color w:val="333333"/>
          <w:sz w:val="24"/>
          <w:szCs w:val="24"/>
        </w:rPr>
      </w:pPr>
      <w:r w:rsidDel="00000000" w:rsidR="00000000" w:rsidRPr="00000000">
        <w:rPr>
          <w:color w:val="333333"/>
          <w:sz w:val="24"/>
          <w:szCs w:val="24"/>
          <w:rtl w:val="0"/>
        </w:rPr>
        <w:t xml:space="preserve">Ácidos sulfônicos são compostos orgânicos derivados do ácido sulfúrico.</w:t>
      </w:r>
    </w:p>
    <w:p w:rsidR="00000000" w:rsidDel="00000000" w:rsidP="00000000" w:rsidRDefault="00000000" w:rsidRPr="00000000" w14:paraId="0000000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905250" cy="120015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052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240" w:lineRule="auto"/>
        <w:rPr>
          <w:color w:val="333333"/>
          <w:sz w:val="24"/>
          <w:szCs w:val="24"/>
        </w:rPr>
      </w:pPr>
      <w:r w:rsidDel="00000000" w:rsidR="00000000" w:rsidRPr="00000000">
        <w:rPr>
          <w:color w:val="333333"/>
          <w:sz w:val="24"/>
          <w:szCs w:val="24"/>
          <w:rtl w:val="0"/>
        </w:rPr>
        <w:t xml:space="preserve">Ácidos sulfônicos de cadeias longas e aromáticas são utilizados na fabricação de detergentes.</w:t>
      </w:r>
    </w:p>
    <w:p w:rsidR="00000000" w:rsidDel="00000000" w:rsidP="00000000" w:rsidRDefault="00000000" w:rsidRPr="00000000" w14:paraId="00000006">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7">
      <w:pPr>
        <w:shd w:fill="ffffff" w:val="clear"/>
        <w:spacing w:after="240" w:lineRule="auto"/>
        <w:rPr>
          <w:color w:val="333333"/>
          <w:sz w:val="26"/>
          <w:szCs w:val="26"/>
        </w:rPr>
      </w:pPr>
      <w:r w:rsidDel="00000000" w:rsidR="00000000" w:rsidRPr="00000000">
        <w:rPr>
          <w:color w:val="333333"/>
          <w:sz w:val="26"/>
          <w:szCs w:val="26"/>
          <w:rtl w:val="0"/>
        </w:rPr>
        <w:t xml:space="preserve">Nitrocompostos</w:t>
      </w:r>
    </w:p>
    <w:p w:rsidR="00000000" w:rsidDel="00000000" w:rsidP="00000000" w:rsidRDefault="00000000" w:rsidRPr="00000000" w14:paraId="00000008">
      <w:pPr>
        <w:shd w:fill="ffffff" w:val="clear"/>
        <w:spacing w:after="240" w:lineRule="auto"/>
        <w:rPr>
          <w:color w:val="333333"/>
          <w:sz w:val="24"/>
          <w:szCs w:val="24"/>
        </w:rPr>
      </w:pPr>
      <w:r w:rsidDel="00000000" w:rsidR="00000000" w:rsidRPr="00000000">
        <w:rPr>
          <w:color w:val="333333"/>
          <w:sz w:val="24"/>
          <w:szCs w:val="24"/>
          <w:rtl w:val="0"/>
        </w:rPr>
        <w:t xml:space="preserve">Os nitrocompostos são substâncias orgânicas que possuem um ou mais grupos –NO2 em suas estruturas.</w:t>
      </w:r>
    </w:p>
    <w:p w:rsidR="00000000" w:rsidDel="00000000" w:rsidP="00000000" w:rsidRDefault="00000000" w:rsidRPr="00000000" w14:paraId="00000009">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257550" cy="10858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575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B">
      <w:pPr>
        <w:shd w:fill="ffffff" w:val="clear"/>
        <w:spacing w:after="240" w:lineRule="auto"/>
        <w:rPr>
          <w:color w:val="333333"/>
          <w:sz w:val="26"/>
          <w:szCs w:val="26"/>
        </w:rPr>
      </w:pPr>
      <w:r w:rsidDel="00000000" w:rsidR="00000000" w:rsidRPr="00000000">
        <w:rPr>
          <w:color w:val="333333"/>
          <w:sz w:val="26"/>
          <w:szCs w:val="26"/>
          <w:rtl w:val="0"/>
        </w:rPr>
        <w:t xml:space="preserve">Haletos Orgânicos</w:t>
      </w:r>
    </w:p>
    <w:p w:rsidR="00000000" w:rsidDel="00000000" w:rsidP="00000000" w:rsidRDefault="00000000" w:rsidRPr="00000000" w14:paraId="0000000C">
      <w:pPr>
        <w:shd w:fill="ffffff" w:val="clear"/>
        <w:spacing w:after="240" w:lineRule="auto"/>
        <w:rPr>
          <w:color w:val="333333"/>
          <w:sz w:val="24"/>
          <w:szCs w:val="24"/>
        </w:rPr>
      </w:pPr>
      <w:r w:rsidDel="00000000" w:rsidR="00000000" w:rsidRPr="00000000">
        <w:rPr>
          <w:color w:val="333333"/>
          <w:sz w:val="24"/>
          <w:szCs w:val="24"/>
          <w:rtl w:val="0"/>
        </w:rPr>
        <w:t xml:space="preserve">Haletos orgânicos são substâncias derivadas dos compostos orgânicos pela troca de um ou mais hidrogênios por halogênios, F, Cl, Br , I.    </w:t>
      </w:r>
    </w:p>
    <w:p w:rsidR="00000000" w:rsidDel="00000000" w:rsidP="00000000" w:rsidRDefault="00000000" w:rsidRPr="00000000" w14:paraId="0000000D">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2438400" cy="1504950"/>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243840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40" w:lineRule="auto"/>
        <w:rPr>
          <w:color w:val="333333"/>
          <w:sz w:val="24"/>
          <w:szCs w:val="24"/>
        </w:rPr>
      </w:pPr>
      <w:r w:rsidDel="00000000" w:rsidR="00000000" w:rsidRPr="00000000">
        <w:rPr>
          <w:color w:val="333333"/>
          <w:sz w:val="24"/>
          <w:szCs w:val="24"/>
          <w:rtl w:val="0"/>
        </w:rPr>
        <w:t xml:space="preserve"> </w:t>
      </w:r>
    </w:p>
    <w:p w:rsidR="00000000" w:rsidDel="00000000" w:rsidP="00000000" w:rsidRDefault="00000000" w:rsidRPr="00000000" w14:paraId="0000000F">
      <w:pPr>
        <w:shd w:fill="ffffff" w:val="clear"/>
        <w:spacing w:after="240" w:lineRule="auto"/>
        <w:rPr>
          <w:color w:val="333333"/>
          <w:sz w:val="26"/>
          <w:szCs w:val="26"/>
        </w:rPr>
      </w:pPr>
      <w:r w:rsidDel="00000000" w:rsidR="00000000" w:rsidRPr="00000000">
        <w:rPr>
          <w:color w:val="333333"/>
          <w:sz w:val="26"/>
          <w:szCs w:val="26"/>
          <w:rtl w:val="0"/>
        </w:rPr>
        <w:t xml:space="preserve">Haletos Orgânicos em nosso cotidiano</w:t>
      </w:r>
    </w:p>
    <w:p w:rsidR="00000000" w:rsidDel="00000000" w:rsidP="00000000" w:rsidRDefault="00000000" w:rsidRPr="00000000" w14:paraId="00000010">
      <w:pPr>
        <w:shd w:fill="ffffff" w:val="clear"/>
        <w:spacing w:after="240" w:lineRule="auto"/>
        <w:rPr>
          <w:color w:val="333333"/>
          <w:sz w:val="24"/>
          <w:szCs w:val="24"/>
        </w:rPr>
      </w:pPr>
      <w:r w:rsidDel="00000000" w:rsidR="00000000" w:rsidRPr="00000000">
        <w:rPr>
          <w:color w:val="333333"/>
          <w:sz w:val="24"/>
          <w:szCs w:val="24"/>
          <w:rtl w:val="0"/>
        </w:rPr>
        <w:t xml:space="preserve">Clorofórmio (CHCl3 - triclorometano) começou a ser usado como anestésico em 1847 na Inglaterra e, com o tempo, foi gradativamente abandonado, devido à sua toxidez;</w:t>
      </w:r>
    </w:p>
    <w:p w:rsidR="00000000" w:rsidDel="00000000" w:rsidP="00000000" w:rsidRDefault="00000000" w:rsidRPr="00000000" w14:paraId="00000011">
      <w:pPr>
        <w:shd w:fill="ffffff" w:val="clear"/>
        <w:spacing w:after="240" w:lineRule="auto"/>
        <w:rPr>
          <w:color w:val="333333"/>
          <w:sz w:val="24"/>
          <w:szCs w:val="24"/>
        </w:rPr>
      </w:pPr>
      <w:r w:rsidDel="00000000" w:rsidR="00000000" w:rsidRPr="00000000">
        <w:rPr>
          <w:color w:val="333333"/>
          <w:sz w:val="24"/>
          <w:szCs w:val="24"/>
          <w:rtl w:val="0"/>
        </w:rPr>
        <w:t xml:space="preserve">Os freons (CCl3F, CCl2F2 etc.) foram introduzidos na década de 1930, como gases de refrigeração e, na década de 1960, como propelentes para aerossóis de perfumes e inseticidas; posteriormente, verificou-se que os freons prejudicavam a camada de ozônio, o que levou vários acordos internacionais a determinar a redução progressiva de sua produção;</w:t>
      </w:r>
    </w:p>
    <w:p w:rsidR="00000000" w:rsidDel="00000000" w:rsidP="00000000" w:rsidRDefault="00000000" w:rsidRPr="00000000" w14:paraId="00000012">
      <w:pPr>
        <w:shd w:fill="ffffff" w:val="clear"/>
        <w:spacing w:after="240" w:lineRule="auto"/>
        <w:rPr>
          <w:color w:val="333333"/>
          <w:sz w:val="24"/>
          <w:szCs w:val="24"/>
        </w:rPr>
      </w:pPr>
      <w:r w:rsidDel="00000000" w:rsidR="00000000" w:rsidRPr="00000000">
        <w:rPr>
          <w:color w:val="333333"/>
          <w:sz w:val="24"/>
          <w:szCs w:val="24"/>
          <w:rtl w:val="0"/>
        </w:rPr>
        <w:t xml:space="preserve">O inseticida DDT (C14H9Cl5) foi vital na Segunda Guerra Mundial. Com ele foi possível debelar um surto de tifo em Nápoles, em 1944, quando as forças aliadas invadiram a Itália. Após a constatação de que o DDT se acumula em tecidos gordurosos dos organismos humanos e dos animais, prejudicando órgãos como o fígado, a sua produção foi proibida em muitos países.</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shd w:fill="ffffff" w:val="clear"/>
        <w:spacing w:after="80" w:before="0" w:line="288" w:lineRule="auto"/>
        <w:rPr>
          <w:color w:val="333333"/>
          <w:sz w:val="34"/>
          <w:szCs w:val="34"/>
        </w:rPr>
      </w:pPr>
      <w:bookmarkStart w:colFirst="0" w:colLast="0" w:name="_eeeskatqomsf" w:id="1"/>
      <w:bookmarkEnd w:id="1"/>
      <w:r w:rsidDel="00000000" w:rsidR="00000000" w:rsidRPr="00000000">
        <w:rPr>
          <w:color w:val="333333"/>
          <w:sz w:val="34"/>
          <w:szCs w:val="34"/>
          <w:rtl w:val="0"/>
        </w:rPr>
        <w:t xml:space="preserve">Aula 2 - Revisão / Funções Mistas</w:t>
      </w:r>
    </w:p>
    <w:p w:rsidR="00000000" w:rsidDel="00000000" w:rsidP="00000000" w:rsidRDefault="00000000" w:rsidRPr="00000000" w14:paraId="00000015">
      <w:pPr>
        <w:shd w:fill="ffffff" w:val="clear"/>
        <w:spacing w:after="240" w:lineRule="auto"/>
        <w:rPr>
          <w:color w:val="333333"/>
          <w:sz w:val="24"/>
          <w:szCs w:val="24"/>
        </w:rPr>
      </w:pPr>
      <w:r w:rsidDel="00000000" w:rsidR="00000000" w:rsidRPr="00000000">
        <w:rPr>
          <w:color w:val="333333"/>
          <w:sz w:val="24"/>
          <w:szCs w:val="24"/>
          <w:rtl w:val="0"/>
        </w:rPr>
        <w:t xml:space="preserve">São compostos orgânicos que apresentam duas ou mais funções orgânicas diferentes entre si.</w:t>
      </w:r>
    </w:p>
    <w:p w:rsidR="00000000" w:rsidDel="00000000" w:rsidP="00000000" w:rsidRDefault="00000000" w:rsidRPr="00000000" w14:paraId="00000016">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419475" cy="2143125"/>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4194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after="240" w:lineRule="auto"/>
        <w:rPr>
          <w:color w:val="333333"/>
          <w:sz w:val="24"/>
          <w:szCs w:val="24"/>
        </w:rPr>
      </w:pPr>
      <w:r w:rsidDel="00000000" w:rsidR="00000000" w:rsidRPr="00000000">
        <w:rPr>
          <w:color w:val="333333"/>
          <w:sz w:val="24"/>
          <w:szCs w:val="24"/>
          <w:rtl w:val="0"/>
        </w:rPr>
        <w:t xml:space="preserve">Evidentemente, nesses casos a nomenclatura IUPAC torna-se mais complexa.</w:t>
      </w:r>
    </w:p>
    <w:p w:rsidR="00000000" w:rsidDel="00000000" w:rsidP="00000000" w:rsidRDefault="00000000" w:rsidRPr="00000000" w14:paraId="00000018">
      <w:pPr>
        <w:shd w:fill="ffffff" w:val="clear"/>
        <w:spacing w:after="240" w:lineRule="auto"/>
        <w:rPr>
          <w:color w:val="333333"/>
          <w:sz w:val="24"/>
          <w:szCs w:val="24"/>
        </w:rPr>
      </w:pPr>
      <w:r w:rsidDel="00000000" w:rsidR="00000000" w:rsidRPr="00000000">
        <w:rPr>
          <w:color w:val="333333"/>
          <w:sz w:val="24"/>
          <w:szCs w:val="24"/>
          <w:rtl w:val="0"/>
        </w:rPr>
        <w:t xml:space="preserve">Uma das funções presentes é considerada a função principal. Desse modo, considera-se:</w:t>
      </w:r>
    </w:p>
    <w:p w:rsidR="00000000" w:rsidDel="00000000" w:rsidP="00000000" w:rsidRDefault="00000000" w:rsidRPr="00000000" w14:paraId="00000019">
      <w:pPr>
        <w:numPr>
          <w:ilvl w:val="0"/>
          <w:numId w:val="1"/>
        </w:numPr>
        <w:spacing w:after="0" w:afterAutospacing="0" w:lineRule="auto"/>
        <w:ind w:left="720" w:hanging="360"/>
      </w:pPr>
      <w:r w:rsidDel="00000000" w:rsidR="00000000" w:rsidRPr="00000000">
        <w:rPr>
          <w:color w:val="333333"/>
          <w:sz w:val="24"/>
          <w:szCs w:val="24"/>
          <w:rtl w:val="0"/>
        </w:rPr>
        <w:t xml:space="preserve">como cadeia principal a mais longa que inclui essa função principal;</w:t>
      </w:r>
    </w:p>
    <w:p w:rsidR="00000000" w:rsidDel="00000000" w:rsidP="00000000" w:rsidRDefault="00000000" w:rsidRPr="00000000" w14:paraId="0000001A">
      <w:pPr>
        <w:numPr>
          <w:ilvl w:val="0"/>
          <w:numId w:val="1"/>
        </w:numPr>
        <w:spacing w:after="0" w:afterAutospacing="0" w:lineRule="auto"/>
        <w:ind w:left="720" w:hanging="360"/>
      </w:pPr>
      <w:r w:rsidDel="00000000" w:rsidR="00000000" w:rsidRPr="00000000">
        <w:rPr>
          <w:color w:val="333333"/>
          <w:sz w:val="24"/>
          <w:szCs w:val="24"/>
          <w:rtl w:val="0"/>
        </w:rPr>
        <w:t xml:space="preserve">como numeração da cadeia principal a que atribui o menor número possível a essa função principal;</w:t>
      </w:r>
    </w:p>
    <w:p w:rsidR="00000000" w:rsidDel="00000000" w:rsidP="00000000" w:rsidRDefault="00000000" w:rsidRPr="00000000" w14:paraId="0000001B">
      <w:pPr>
        <w:numPr>
          <w:ilvl w:val="0"/>
          <w:numId w:val="1"/>
        </w:numPr>
        <w:spacing w:after="240" w:lineRule="auto"/>
        <w:ind w:left="720" w:hanging="360"/>
      </w:pPr>
      <w:r w:rsidDel="00000000" w:rsidR="00000000" w:rsidRPr="00000000">
        <w:rPr>
          <w:color w:val="333333"/>
          <w:sz w:val="24"/>
          <w:szCs w:val="24"/>
          <w:rtl w:val="0"/>
        </w:rPr>
        <w:t xml:space="preserve">que a terminação do nome do composto deve obedecer a essa função principal.</w:t>
      </w:r>
    </w:p>
    <w:p w:rsidR="00000000" w:rsidDel="00000000" w:rsidP="00000000" w:rsidRDefault="00000000" w:rsidRPr="00000000" w14:paraId="0000001C">
      <w:pPr>
        <w:shd w:fill="ffffff" w:val="clear"/>
        <w:spacing w:after="240" w:lineRule="auto"/>
        <w:rPr>
          <w:color w:val="333333"/>
          <w:sz w:val="24"/>
          <w:szCs w:val="24"/>
        </w:rPr>
      </w:pPr>
      <w:r w:rsidDel="00000000" w:rsidR="00000000" w:rsidRPr="00000000">
        <w:rPr>
          <w:color w:val="333333"/>
          <w:sz w:val="24"/>
          <w:szCs w:val="24"/>
          <w:rtl w:val="0"/>
        </w:rPr>
        <w:t xml:space="preserve">(As demais funções serão consideradas secundárias, isto é, apenas como ramificações da cadeia em que está a função principal.)</w:t>
      </w:r>
    </w:p>
    <w:p w:rsidR="00000000" w:rsidDel="00000000" w:rsidP="00000000" w:rsidRDefault="00000000" w:rsidRPr="00000000" w14:paraId="0000001D">
      <w:pPr>
        <w:shd w:fill="ffffff" w:val="clear"/>
        <w:spacing w:after="240" w:lineRule="auto"/>
        <w:rPr>
          <w:color w:val="333333"/>
          <w:sz w:val="24"/>
          <w:szCs w:val="24"/>
        </w:rPr>
      </w:pPr>
      <w:r w:rsidDel="00000000" w:rsidR="00000000" w:rsidRPr="00000000">
        <w:rPr>
          <w:color w:val="333333"/>
          <w:sz w:val="24"/>
          <w:szCs w:val="24"/>
          <w:rtl w:val="0"/>
        </w:rPr>
        <w:t xml:space="preserve">Ordem de preferência para escolha da cadeia principal segundo as regras da IUPAC</w:t>
      </w:r>
    </w:p>
    <w:p w:rsidR="00000000" w:rsidDel="00000000" w:rsidP="00000000" w:rsidRDefault="00000000" w:rsidRPr="00000000" w14:paraId="0000001E">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4314825" cy="304800"/>
            <wp:effectExtent b="0" l="0" r="0" t="0"/>
            <wp:docPr id="1"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314825"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240" w:lineRule="auto"/>
        <w:rPr>
          <w:color w:val="333333"/>
          <w:sz w:val="24"/>
          <w:szCs w:val="24"/>
        </w:rPr>
      </w:pPr>
      <w:r w:rsidDel="00000000" w:rsidR="00000000" w:rsidRPr="00000000">
        <w:rPr>
          <w:color w:val="333333"/>
          <w:sz w:val="24"/>
          <w:szCs w:val="24"/>
          <w:rtl w:val="0"/>
        </w:rPr>
        <w:t xml:space="preserve">Exemplo:</w:t>
      </w:r>
    </w:p>
    <w:p w:rsidR="00000000" w:rsidDel="00000000" w:rsidP="00000000" w:rsidRDefault="00000000" w:rsidRPr="00000000" w14:paraId="00000020">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1990725" cy="154305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1990725"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hd w:fill="ffffff" w:val="clear"/>
        <w:spacing w:after="80" w:before="0" w:line="288" w:lineRule="auto"/>
        <w:rPr>
          <w:color w:val="333333"/>
          <w:sz w:val="34"/>
          <w:szCs w:val="34"/>
        </w:rPr>
      </w:pPr>
      <w:bookmarkStart w:colFirst="0" w:colLast="0" w:name="_4wei65qa5lly" w:id="2"/>
      <w:bookmarkEnd w:id="2"/>
      <w:r w:rsidDel="00000000" w:rsidR="00000000" w:rsidRPr="00000000">
        <w:rPr>
          <w:color w:val="333333"/>
          <w:sz w:val="34"/>
          <w:szCs w:val="34"/>
          <w:rtl w:val="0"/>
        </w:rPr>
        <w:t xml:space="preserve">Aula 3 - Haletos de Ácido</w:t>
      </w:r>
    </w:p>
    <w:p w:rsidR="00000000" w:rsidDel="00000000" w:rsidP="00000000" w:rsidRDefault="00000000" w:rsidRPr="00000000" w14:paraId="00000023">
      <w:pPr>
        <w:shd w:fill="ffffff" w:val="clear"/>
        <w:spacing w:after="240" w:lineRule="auto"/>
        <w:rPr>
          <w:color w:val="333333"/>
          <w:sz w:val="24"/>
          <w:szCs w:val="24"/>
        </w:rPr>
      </w:pPr>
      <w:r w:rsidDel="00000000" w:rsidR="00000000" w:rsidRPr="00000000">
        <w:rPr>
          <w:color w:val="333333"/>
          <w:sz w:val="24"/>
          <w:szCs w:val="24"/>
          <w:rtl w:val="0"/>
        </w:rPr>
        <w:t xml:space="preserve">São derivados de ácidos carboxílicos formados pela substituição do grupo OH (hidroxila) da carboxíla por um átomo de halogênio (família VIIA). Seus nomes são formados pelo nome do halogênio, seguida pelo nome do radical acila.</w:t>
      </w:r>
    </w:p>
    <w:p w:rsidR="00000000" w:rsidDel="00000000" w:rsidP="00000000" w:rsidRDefault="00000000" w:rsidRPr="00000000" w14:paraId="00000024">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324225" cy="1152525"/>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3242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80" w:before="0" w:line="288" w:lineRule="auto"/>
        <w:rPr>
          <w:color w:val="333333"/>
          <w:sz w:val="34"/>
          <w:szCs w:val="34"/>
        </w:rPr>
      </w:pPr>
      <w:bookmarkStart w:colFirst="0" w:colLast="0" w:name="_fg2ynepuxfvk" w:id="3"/>
      <w:bookmarkEnd w:id="3"/>
      <w:r w:rsidDel="00000000" w:rsidR="00000000" w:rsidRPr="00000000">
        <w:rPr>
          <w:color w:val="333333"/>
          <w:sz w:val="34"/>
          <w:szCs w:val="34"/>
          <w:rtl w:val="0"/>
        </w:rPr>
        <w:t xml:space="preserve">Aula 4 - Compostos de Grignard</w:t>
      </w:r>
    </w:p>
    <w:p w:rsidR="00000000" w:rsidDel="00000000" w:rsidP="00000000" w:rsidRDefault="00000000" w:rsidRPr="00000000" w14:paraId="00000027">
      <w:pPr>
        <w:shd w:fill="ffffff" w:val="clear"/>
        <w:spacing w:after="240" w:lineRule="auto"/>
        <w:rPr>
          <w:color w:val="333333"/>
          <w:sz w:val="24"/>
          <w:szCs w:val="24"/>
        </w:rPr>
      </w:pPr>
      <w:r w:rsidDel="00000000" w:rsidR="00000000" w:rsidRPr="00000000">
        <w:rPr>
          <w:color w:val="333333"/>
          <w:sz w:val="24"/>
          <w:szCs w:val="24"/>
          <w:rtl w:val="0"/>
        </w:rPr>
        <w:t xml:space="preserve">Também chamados de compostos organometálicos, são substâncias orgânicas que possuem um ou mais átomos de metais em suas estruturas, sendo que estes estão ligados diretamente a átomos de carbono.</w:t>
      </w:r>
    </w:p>
    <w:p w:rsidR="00000000" w:rsidDel="00000000" w:rsidP="00000000" w:rsidRDefault="00000000" w:rsidRPr="00000000" w14:paraId="00000028">
      <w:pPr>
        <w:shd w:fill="ffffff" w:val="clear"/>
        <w:spacing w:after="240" w:lineRule="auto"/>
        <w:rPr>
          <w:color w:val="333333"/>
          <w:sz w:val="24"/>
          <w:szCs w:val="24"/>
        </w:rPr>
      </w:pPr>
      <w:r w:rsidDel="00000000" w:rsidR="00000000" w:rsidRPr="00000000">
        <w:rPr>
          <w:color w:val="333333"/>
          <w:sz w:val="24"/>
          <w:szCs w:val="24"/>
        </w:rPr>
        <w:drawing>
          <wp:inline distB="114300" distT="114300" distL="114300" distR="114300">
            <wp:extent cx="3571875" cy="75247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5718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rPr>
          <w:color w:val="333333"/>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