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 realizados a lo largo de los dos primeros hitos hasta la llegada del hito 3.</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el desarrollo de “Rector Simuleitor” aun no estábamos familiarizados con el concepto de trabajar en ramas individuales pero conforme avanzamos el proyecto entendíamos cada vez más el concepto.</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como funcionaban las ramas y que era una forma más eficiente de trabajar sin truncar nuestros avances entre nosotros</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