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797CB" w14:textId="77777777" w:rsidR="004D3891" w:rsidRPr="004D3891" w:rsidRDefault="004D3891" w:rsidP="004D3891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4D389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Аналитический отчет: Факторы ценообразования на рынке недвижимости Мельбурна</w:t>
      </w:r>
    </w:p>
    <w:p w14:paraId="30071AAB" w14:textId="77777777" w:rsidR="004D3891" w:rsidRPr="004D3891" w:rsidRDefault="004D3891" w:rsidP="004D389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D389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Обзор исследования</w:t>
      </w:r>
    </w:p>
    <w:p w14:paraId="1B96D662" w14:textId="77777777" w:rsidR="004D3891" w:rsidRPr="004D3891" w:rsidRDefault="004D3891" w:rsidP="004D38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D3891">
        <w:rPr>
          <w:rFonts w:ascii="Segoe UI" w:eastAsia="Times New Roman" w:hAnsi="Segoe UI" w:cs="Segoe UI"/>
          <w:color w:val="0F1115"/>
          <w:sz w:val="24"/>
          <w:szCs w:val="24"/>
        </w:rPr>
        <w:t>На основе анализа 13,580 объектов недвижимости были проверены 7 ключевых гипотез о факторах, влияющих на цену. Исследование выявило значительные различия в степени влияния различных характеристик на стоимость недвижимости.</w:t>
      </w:r>
    </w:p>
    <w:p w14:paraId="04AB334A" w14:textId="77777777" w:rsidR="004D3891" w:rsidRPr="004D3891" w:rsidRDefault="004D3891" w:rsidP="004D389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D389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Результаты проверки гипотез</w:t>
      </w:r>
    </w:p>
    <w:p w14:paraId="36DB4E83" w14:textId="77777777" w:rsidR="004D3891" w:rsidRPr="004D3891" w:rsidRDefault="004D3891" w:rsidP="004D389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D389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Подтвержденные гипотезы (сильное влияние):</w:t>
      </w:r>
    </w:p>
    <w:p w14:paraId="165FCD03" w14:textId="1615886F" w:rsidR="004D3891" w:rsidRPr="007A5397" w:rsidRDefault="004D3891" w:rsidP="007A5397">
      <w:pPr>
        <w:pStyle w:val="a4"/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A539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Регион расположения</w:t>
      </w:r>
      <w:r w:rsidRPr="007A5397">
        <w:rPr>
          <w:rFonts w:ascii="Segoe UI" w:eastAsia="Times New Roman" w:hAnsi="Segoe UI" w:cs="Segoe UI"/>
          <w:color w:val="0F1115"/>
          <w:sz w:val="24"/>
          <w:szCs w:val="24"/>
        </w:rPr>
        <w:br/>
        <w:t>Самый значимый фактор ценообразования. Наблюдается четкая региональная стратификация цен:</w:t>
      </w:r>
    </w:p>
    <w:p w14:paraId="0F24E944" w14:textId="3DCE9387" w:rsidR="007A5397" w:rsidRPr="007A5397" w:rsidRDefault="007A5397" w:rsidP="007A5397">
      <w:pPr>
        <w:shd w:val="clear" w:color="auto" w:fill="FFFFFF"/>
        <w:spacing w:before="240" w:after="24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noProof/>
          <w:color w:val="0F1115"/>
          <w:sz w:val="24"/>
          <w:szCs w:val="24"/>
        </w:rPr>
        <w:drawing>
          <wp:inline distT="0" distB="0" distL="0" distR="0" wp14:anchorId="38FE7FC7" wp14:editId="01DB1F66">
            <wp:extent cx="5940425" cy="25342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A243" w14:textId="77777777" w:rsidR="004D3891" w:rsidRPr="004D3891" w:rsidRDefault="004D3891" w:rsidP="004D389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4D3891">
        <w:rPr>
          <w:rFonts w:ascii="Segoe UI" w:eastAsia="Times New Roman" w:hAnsi="Segoe UI" w:cs="Segoe UI"/>
          <w:color w:val="0F1115"/>
          <w:sz w:val="24"/>
          <w:szCs w:val="24"/>
        </w:rPr>
        <w:t>Southern</w:t>
      </w:r>
      <w:proofErr w:type="spellEnd"/>
      <w:r w:rsidRPr="004D3891">
        <w:rPr>
          <w:rFonts w:ascii="Segoe UI" w:eastAsia="Times New Roman" w:hAnsi="Segoe UI" w:cs="Segoe UI"/>
          <w:color w:val="0F1115"/>
          <w:sz w:val="24"/>
          <w:szCs w:val="24"/>
        </w:rPr>
        <w:t xml:space="preserve"> Metropolitan: 1,372,963 $ (максимум)</w:t>
      </w:r>
    </w:p>
    <w:p w14:paraId="2185CAB2" w14:textId="77777777" w:rsidR="004D3891" w:rsidRPr="004D3891" w:rsidRDefault="004D3891" w:rsidP="004D389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D3891">
        <w:rPr>
          <w:rFonts w:ascii="Segoe UI" w:eastAsia="Times New Roman" w:hAnsi="Segoe UI" w:cs="Segoe UI"/>
          <w:color w:val="0F1115"/>
          <w:sz w:val="24"/>
          <w:szCs w:val="24"/>
        </w:rPr>
        <w:t>Eastern Metropolitan: 1,104,080 $</w:t>
      </w:r>
    </w:p>
    <w:p w14:paraId="24BDC6F0" w14:textId="77777777" w:rsidR="004D3891" w:rsidRPr="004D3891" w:rsidRDefault="004D3891" w:rsidP="004D389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D3891">
        <w:rPr>
          <w:rFonts w:ascii="Segoe UI" w:eastAsia="Times New Roman" w:hAnsi="Segoe UI" w:cs="Segoe UI"/>
          <w:color w:val="0F1115"/>
          <w:sz w:val="24"/>
          <w:szCs w:val="24"/>
        </w:rPr>
        <w:t>Western Victoria: 397,523 $ (минимум)</w:t>
      </w:r>
      <w:r w:rsidRPr="004D3891">
        <w:rPr>
          <w:rFonts w:ascii="Segoe UI" w:eastAsia="Times New Roman" w:hAnsi="Segoe UI" w:cs="Segoe UI"/>
          <w:color w:val="0F1115"/>
          <w:sz w:val="24"/>
          <w:szCs w:val="24"/>
        </w:rPr>
        <w:br/>
        <w:t>Разница между самым дорогим и самым дешевым регионом составляет 975,440 $ (в 3.5 раза)</w:t>
      </w:r>
    </w:p>
    <w:p w14:paraId="1F85A87A" w14:textId="713A4BF2" w:rsidR="004D3891" w:rsidRPr="007A5397" w:rsidRDefault="004D3891" w:rsidP="007A5397">
      <w:pPr>
        <w:pStyle w:val="a4"/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A539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Тип недвижимости</w:t>
      </w:r>
      <w:r w:rsidRPr="007A5397">
        <w:rPr>
          <w:rFonts w:ascii="Segoe UI" w:eastAsia="Times New Roman" w:hAnsi="Segoe UI" w:cs="Segoe UI"/>
          <w:color w:val="0F1115"/>
          <w:sz w:val="24"/>
          <w:szCs w:val="24"/>
        </w:rPr>
        <w:br/>
        <w:t>Второй по значимости фактор:</w:t>
      </w:r>
    </w:p>
    <w:p w14:paraId="75F5C959" w14:textId="577F282A" w:rsidR="007A5397" w:rsidRPr="007A5397" w:rsidRDefault="007A5397" w:rsidP="007A5397">
      <w:pPr>
        <w:shd w:val="clear" w:color="auto" w:fill="FFFFFF"/>
        <w:spacing w:before="240" w:after="24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noProof/>
          <w:color w:val="0F1115"/>
          <w:sz w:val="24"/>
          <w:szCs w:val="24"/>
        </w:rPr>
        <w:lastRenderedPageBreak/>
        <w:drawing>
          <wp:inline distT="0" distB="0" distL="0" distR="0" wp14:anchorId="4434B617" wp14:editId="23FFA364">
            <wp:extent cx="5940425" cy="23425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0824" w14:textId="77777777" w:rsidR="004D3891" w:rsidRPr="004D3891" w:rsidRDefault="004D3891" w:rsidP="004D389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D3891">
        <w:rPr>
          <w:rFonts w:ascii="Segoe UI" w:eastAsia="Times New Roman" w:hAnsi="Segoe UI" w:cs="Segoe UI"/>
          <w:color w:val="0F1115"/>
          <w:sz w:val="24"/>
          <w:szCs w:val="24"/>
        </w:rPr>
        <w:t>Тип h: 1,242,665 $ (самый дорогой)</w:t>
      </w:r>
    </w:p>
    <w:p w14:paraId="544E3348" w14:textId="77777777" w:rsidR="004D3891" w:rsidRPr="004D3891" w:rsidRDefault="004D3891" w:rsidP="004D389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D3891">
        <w:rPr>
          <w:rFonts w:ascii="Segoe UI" w:eastAsia="Times New Roman" w:hAnsi="Segoe UI" w:cs="Segoe UI"/>
          <w:color w:val="0F1115"/>
          <w:sz w:val="24"/>
          <w:szCs w:val="24"/>
        </w:rPr>
        <w:t>Тип t: 933,735 $</w:t>
      </w:r>
    </w:p>
    <w:p w14:paraId="571221B4" w14:textId="77777777" w:rsidR="004D3891" w:rsidRPr="004D3891" w:rsidRDefault="004D3891" w:rsidP="004D389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D3891">
        <w:rPr>
          <w:rFonts w:ascii="Segoe UI" w:eastAsia="Times New Roman" w:hAnsi="Segoe UI" w:cs="Segoe UI"/>
          <w:color w:val="0F1115"/>
          <w:sz w:val="24"/>
          <w:szCs w:val="24"/>
        </w:rPr>
        <w:t>Тип u: 605,128 $ (самый дешевый)</w:t>
      </w:r>
      <w:r w:rsidRPr="004D3891">
        <w:rPr>
          <w:rFonts w:ascii="Segoe UI" w:eastAsia="Times New Roman" w:hAnsi="Segoe UI" w:cs="Segoe UI"/>
          <w:color w:val="0F1115"/>
          <w:sz w:val="24"/>
          <w:szCs w:val="24"/>
        </w:rPr>
        <w:br/>
        <w:t>Разница между типами достигает 2 раз</w:t>
      </w:r>
    </w:p>
    <w:p w14:paraId="2D535239" w14:textId="7086263A" w:rsidR="007A5397" w:rsidRPr="007A5397" w:rsidRDefault="004D3891" w:rsidP="007A5397">
      <w:pPr>
        <w:pStyle w:val="a4"/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7A539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Количество комнат</w:t>
      </w:r>
    </w:p>
    <w:p w14:paraId="6DA3DA58" w14:textId="2552F314" w:rsidR="004D3891" w:rsidRPr="007A5397" w:rsidRDefault="007A5397" w:rsidP="007A5397">
      <w:pPr>
        <w:shd w:val="clear" w:color="auto" w:fill="FFFFFF"/>
        <w:spacing w:before="240" w:after="24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noProof/>
          <w:color w:val="0F1115"/>
          <w:sz w:val="24"/>
          <w:szCs w:val="24"/>
        </w:rPr>
        <w:drawing>
          <wp:inline distT="0" distB="0" distL="0" distR="0" wp14:anchorId="7A43FFF5" wp14:editId="467AE255">
            <wp:extent cx="5940425" cy="23399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891" w:rsidRPr="007A5397">
        <w:rPr>
          <w:rFonts w:ascii="Segoe UI" w:eastAsia="Times New Roman" w:hAnsi="Segoe UI" w:cs="Segoe UI"/>
          <w:color w:val="0F1115"/>
          <w:sz w:val="24"/>
          <w:szCs w:val="24"/>
        </w:rPr>
        <w:br/>
        <w:t>Умеренное влияние с корреляцией 0.497</w:t>
      </w:r>
      <w:r w:rsidR="004D3891" w:rsidRPr="007A5397">
        <w:rPr>
          <w:rFonts w:ascii="Segoe UI" w:eastAsia="Times New Roman" w:hAnsi="Segoe UI" w:cs="Segoe UI"/>
          <w:color w:val="0F1115"/>
          <w:sz w:val="24"/>
          <w:szCs w:val="24"/>
        </w:rPr>
        <w:br/>
        <w:t>Наблюдается положительная зависимость: с ростом количества комнат цена увеличивается</w:t>
      </w:r>
    </w:p>
    <w:p w14:paraId="41FC47A6" w14:textId="77777777" w:rsidR="004D3891" w:rsidRPr="004D3891" w:rsidRDefault="004D3891" w:rsidP="004D389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D389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Частично подтвержденные гипотезы (слабое влияние):</w:t>
      </w:r>
    </w:p>
    <w:p w14:paraId="6D71EFFD" w14:textId="47109F97" w:rsidR="007A5397" w:rsidRPr="007A5397" w:rsidRDefault="004D3891" w:rsidP="007A5397">
      <w:pPr>
        <w:pStyle w:val="a4"/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7A539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Количество ванных комнат</w:t>
      </w:r>
    </w:p>
    <w:p w14:paraId="06557184" w14:textId="68505DFE" w:rsidR="004D3891" w:rsidRPr="007A5397" w:rsidRDefault="007A5397" w:rsidP="007A5397">
      <w:pPr>
        <w:shd w:val="clear" w:color="auto" w:fill="FFFFFF"/>
        <w:spacing w:before="240" w:after="24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noProof/>
          <w:color w:val="0F1115"/>
          <w:sz w:val="24"/>
          <w:szCs w:val="24"/>
        </w:rPr>
        <w:lastRenderedPageBreak/>
        <w:drawing>
          <wp:inline distT="0" distB="0" distL="0" distR="0" wp14:anchorId="6E32BFFF" wp14:editId="7886BB9E">
            <wp:extent cx="5940425" cy="19488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891" w:rsidRPr="007A5397">
        <w:rPr>
          <w:rFonts w:ascii="Segoe UI" w:eastAsia="Times New Roman" w:hAnsi="Segoe UI" w:cs="Segoe UI"/>
          <w:color w:val="0F1115"/>
          <w:sz w:val="24"/>
          <w:szCs w:val="24"/>
        </w:rPr>
        <w:br/>
        <w:t>Корреляция 0.467 - слабее, чем у общего количества комнат</w:t>
      </w:r>
      <w:r w:rsidR="004D3891" w:rsidRPr="007A5397">
        <w:rPr>
          <w:rFonts w:ascii="Segoe UI" w:eastAsia="Times New Roman" w:hAnsi="Segoe UI" w:cs="Segoe UI"/>
          <w:color w:val="0F1115"/>
          <w:sz w:val="24"/>
          <w:szCs w:val="24"/>
        </w:rPr>
        <w:br/>
        <w:t>Влияние присутствует, но менее выраженное</w:t>
      </w:r>
    </w:p>
    <w:p w14:paraId="0991DF63" w14:textId="3C33865F" w:rsidR="007A5397" w:rsidRPr="007A5397" w:rsidRDefault="004D3891" w:rsidP="007A5397">
      <w:pPr>
        <w:pStyle w:val="a4"/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7A539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Расстояние до центра</w:t>
      </w:r>
    </w:p>
    <w:p w14:paraId="16F09000" w14:textId="6E6A1B5C" w:rsidR="004D3891" w:rsidRPr="007A5397" w:rsidRDefault="00685DCB" w:rsidP="007A5397">
      <w:pPr>
        <w:shd w:val="clear" w:color="auto" w:fill="FFFFFF"/>
        <w:spacing w:before="240" w:after="24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noProof/>
          <w:color w:val="0F1115"/>
          <w:sz w:val="24"/>
          <w:szCs w:val="24"/>
        </w:rPr>
        <w:drawing>
          <wp:inline distT="0" distB="0" distL="0" distR="0" wp14:anchorId="77A893C0" wp14:editId="5069A4A2">
            <wp:extent cx="5940425" cy="234251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891" w:rsidRPr="007A5397">
        <w:rPr>
          <w:rFonts w:ascii="Segoe UI" w:eastAsia="Times New Roman" w:hAnsi="Segoe UI" w:cs="Segoe UI"/>
          <w:color w:val="0F1115"/>
          <w:sz w:val="24"/>
          <w:szCs w:val="24"/>
        </w:rPr>
        <w:br/>
        <w:t>Слабая отрицательная корреляция -0.163</w:t>
      </w:r>
      <w:r w:rsidR="004D3891" w:rsidRPr="007A5397">
        <w:rPr>
          <w:rFonts w:ascii="Segoe UI" w:eastAsia="Times New Roman" w:hAnsi="Segoe UI" w:cs="Segoe UI"/>
          <w:color w:val="0F1115"/>
          <w:sz w:val="24"/>
          <w:szCs w:val="24"/>
        </w:rPr>
        <w:br/>
        <w:t>Близость к центру увеличивает цену, но эффект незначительный</w:t>
      </w:r>
    </w:p>
    <w:p w14:paraId="25D10893" w14:textId="77777777" w:rsidR="004D3891" w:rsidRPr="004D3891" w:rsidRDefault="004D3891" w:rsidP="004D389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D389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Опровергнутые гипотезы (незначимое влияние):</w:t>
      </w:r>
    </w:p>
    <w:p w14:paraId="5F42A832" w14:textId="5172EDD2" w:rsidR="004D3891" w:rsidRPr="00685DCB" w:rsidRDefault="004D3891" w:rsidP="00685DCB">
      <w:pPr>
        <w:pStyle w:val="a4"/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85D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Наличие парковочных мест</w:t>
      </w:r>
      <w:r w:rsidRPr="00685DCB">
        <w:rPr>
          <w:rFonts w:ascii="Segoe UI" w:eastAsia="Times New Roman" w:hAnsi="Segoe UI" w:cs="Segoe UI"/>
          <w:color w:val="0F1115"/>
          <w:sz w:val="24"/>
          <w:szCs w:val="24"/>
        </w:rPr>
        <w:br/>
        <w:t>Практически нулевое влияние:</w:t>
      </w:r>
    </w:p>
    <w:p w14:paraId="79948302" w14:textId="681C3985" w:rsidR="00685DCB" w:rsidRPr="00685DCB" w:rsidRDefault="00685DCB" w:rsidP="00685DCB">
      <w:pPr>
        <w:shd w:val="clear" w:color="auto" w:fill="FFFFFF"/>
        <w:spacing w:before="240" w:after="24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noProof/>
          <w:color w:val="0F1115"/>
          <w:sz w:val="24"/>
          <w:szCs w:val="24"/>
        </w:rPr>
        <w:drawing>
          <wp:inline distT="0" distB="0" distL="0" distR="0" wp14:anchorId="1DD78BB2" wp14:editId="2F82A9D0">
            <wp:extent cx="5940425" cy="18681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7A3B" w14:textId="77777777" w:rsidR="004D3891" w:rsidRPr="004D3891" w:rsidRDefault="004D3891" w:rsidP="004D389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D3891">
        <w:rPr>
          <w:rFonts w:ascii="Segoe UI" w:eastAsia="Times New Roman" w:hAnsi="Segoe UI" w:cs="Segoe UI"/>
          <w:color w:val="0F1115"/>
          <w:sz w:val="24"/>
          <w:szCs w:val="24"/>
        </w:rPr>
        <w:t>С парковкой: 1,074,444 $</w:t>
      </w:r>
    </w:p>
    <w:p w14:paraId="53CCEAC5" w14:textId="77777777" w:rsidR="004D3891" w:rsidRPr="004D3891" w:rsidRDefault="004D3891" w:rsidP="004D389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D3891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Без парковки: 1,079,988 $</w:t>
      </w:r>
      <w:r w:rsidRPr="004D3891">
        <w:rPr>
          <w:rFonts w:ascii="Segoe UI" w:eastAsia="Times New Roman" w:hAnsi="Segoe UI" w:cs="Segoe UI"/>
          <w:color w:val="0F1115"/>
          <w:sz w:val="24"/>
          <w:szCs w:val="24"/>
        </w:rPr>
        <w:br/>
        <w:t>Разница: -5,544 $ (-0.5%) - статистически незначимо</w:t>
      </w:r>
    </w:p>
    <w:p w14:paraId="5A5CAF51" w14:textId="30BEAC24" w:rsidR="00685DCB" w:rsidRPr="00685DCB" w:rsidRDefault="004D3891" w:rsidP="00685DCB">
      <w:pPr>
        <w:pStyle w:val="a4"/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85DC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Год постройки</w:t>
      </w:r>
    </w:p>
    <w:p w14:paraId="77577063" w14:textId="1E79BF7C" w:rsidR="004D3891" w:rsidRPr="00685DCB" w:rsidRDefault="00685DCB" w:rsidP="00685DCB">
      <w:pPr>
        <w:shd w:val="clear" w:color="auto" w:fill="FFFFFF"/>
        <w:spacing w:before="240" w:after="24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noProof/>
          <w:color w:val="0F1115"/>
          <w:sz w:val="24"/>
          <w:szCs w:val="24"/>
        </w:rPr>
        <w:drawing>
          <wp:inline distT="0" distB="0" distL="0" distR="0" wp14:anchorId="3FB3AF45" wp14:editId="7B33316A">
            <wp:extent cx="5940425" cy="19500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891" w:rsidRPr="00685DCB">
        <w:rPr>
          <w:rFonts w:ascii="Segoe UI" w:eastAsia="Times New Roman" w:hAnsi="Segoe UI" w:cs="Segoe UI"/>
          <w:color w:val="0F1115"/>
          <w:sz w:val="24"/>
          <w:szCs w:val="24"/>
        </w:rPr>
        <w:br/>
        <w:t>Отрицательная корреляция -0.332</w:t>
      </w:r>
      <w:r w:rsidR="004D3891" w:rsidRPr="00685DCB">
        <w:rPr>
          <w:rFonts w:ascii="Segoe UI" w:eastAsia="Times New Roman" w:hAnsi="Segoe UI" w:cs="Segoe UI"/>
          <w:color w:val="0F1115"/>
          <w:sz w:val="24"/>
          <w:szCs w:val="24"/>
        </w:rPr>
        <w:br/>
        <w:t>Старые дома в среднем дороже новых:</w:t>
      </w:r>
    </w:p>
    <w:p w14:paraId="707F8A96" w14:textId="77777777" w:rsidR="004D3891" w:rsidRPr="004D3891" w:rsidRDefault="004D3891" w:rsidP="004D389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D3891">
        <w:rPr>
          <w:rFonts w:ascii="Segoe UI" w:eastAsia="Times New Roman" w:hAnsi="Segoe UI" w:cs="Segoe UI"/>
          <w:color w:val="0F1115"/>
          <w:sz w:val="24"/>
          <w:szCs w:val="24"/>
        </w:rPr>
        <w:t>Дома 1860-х: 3,029,375 $ (максимум)</w:t>
      </w:r>
    </w:p>
    <w:p w14:paraId="67F489CF" w14:textId="77777777" w:rsidR="004D3891" w:rsidRPr="004D3891" w:rsidRDefault="004D3891" w:rsidP="004D389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D3891">
        <w:rPr>
          <w:rFonts w:ascii="Segoe UI" w:eastAsia="Times New Roman" w:hAnsi="Segoe UI" w:cs="Segoe UI"/>
          <w:color w:val="0F1115"/>
          <w:sz w:val="24"/>
          <w:szCs w:val="24"/>
        </w:rPr>
        <w:t>Дома 1970-х: 746,629 $ (минимум)</w:t>
      </w:r>
      <w:r w:rsidRPr="004D3891">
        <w:rPr>
          <w:rFonts w:ascii="Segoe UI" w:eastAsia="Times New Roman" w:hAnsi="Segoe UI" w:cs="Segoe UI"/>
          <w:color w:val="0F1115"/>
          <w:sz w:val="24"/>
          <w:szCs w:val="24"/>
        </w:rPr>
        <w:br/>
        <w:t>Новостройки не являются премиальным сегментом</w:t>
      </w:r>
    </w:p>
    <w:p w14:paraId="6CCD5B71" w14:textId="77777777" w:rsidR="004D3891" w:rsidRDefault="004D3891" w:rsidP="004D3891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Заключение</w:t>
      </w:r>
    </w:p>
    <w:p w14:paraId="1D39E3E1" w14:textId="77777777" w:rsidR="004D3891" w:rsidRDefault="004D3891" w:rsidP="004D3891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Исследование демонстрирует, что рынок недвижимости Мельбурна характеризуется выраженной региональной дифференциацией цен. Традиционные факторы, такие как наличие парковки и год постройки, оказывают незначительное влияние на стоимость объектов, в то время как географическое расположение и тип недвижимости являются определяющими.</w:t>
      </w:r>
    </w:p>
    <w:p w14:paraId="7F8AABE2" w14:textId="77777777" w:rsidR="004D3891" w:rsidRPr="007A5397" w:rsidRDefault="004D3891">
      <w:pPr>
        <w:rPr>
          <w:lang w:val="en-US"/>
        </w:rPr>
      </w:pPr>
    </w:p>
    <w:sectPr w:rsidR="004D3891" w:rsidRPr="007A53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EC5B5E"/>
    <w:multiLevelType w:val="multilevel"/>
    <w:tmpl w:val="D1F0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817FF6"/>
    <w:multiLevelType w:val="multilevel"/>
    <w:tmpl w:val="89D0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1F0396"/>
    <w:multiLevelType w:val="hybridMultilevel"/>
    <w:tmpl w:val="AAD89962"/>
    <w:lvl w:ilvl="0" w:tplc="6E9CE2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DF5C36"/>
    <w:multiLevelType w:val="multilevel"/>
    <w:tmpl w:val="A1E0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09795C"/>
    <w:multiLevelType w:val="multilevel"/>
    <w:tmpl w:val="0104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91"/>
    <w:rsid w:val="004D3891"/>
    <w:rsid w:val="00685DCB"/>
    <w:rsid w:val="007A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DFB1F"/>
  <w15:chartTrackingRefBased/>
  <w15:docId w15:val="{2D13CCDB-2308-416D-93CC-189EE2B45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ru-RU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Mangal"/>
    </w:rPr>
  </w:style>
  <w:style w:type="paragraph" w:styleId="1">
    <w:name w:val="heading 1"/>
    <w:basedOn w:val="a"/>
    <w:link w:val="10"/>
    <w:uiPriority w:val="9"/>
    <w:qFormat/>
    <w:rsid w:val="004D38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D38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4D38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38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4D389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4D389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a"/>
    <w:rsid w:val="004D38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4D3891"/>
    <w:rPr>
      <w:b/>
      <w:bCs/>
    </w:rPr>
  </w:style>
  <w:style w:type="paragraph" w:styleId="a4">
    <w:name w:val="List Paragraph"/>
    <w:basedOn w:val="a"/>
    <w:uiPriority w:val="34"/>
    <w:qFormat/>
    <w:rsid w:val="007A53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1104</TotalTime>
  <Pages>4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Шамшурин</dc:creator>
  <cp:keywords/>
  <dc:description/>
  <cp:lastModifiedBy>Игорь Шамшурин</cp:lastModifiedBy>
  <cp:revision>2</cp:revision>
  <dcterms:created xsi:type="dcterms:W3CDTF">2025-11-09T12:39:00Z</dcterms:created>
  <dcterms:modified xsi:type="dcterms:W3CDTF">2025-11-10T07:03:00Z</dcterms:modified>
</cp:coreProperties>
</file>