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EBE8" w14:textId="77777777" w:rsidR="007D03C5" w:rsidRPr="007D03C5" w:rsidRDefault="007D03C5" w:rsidP="007D03C5">
      <w:pPr>
        <w:rPr>
          <w:b/>
          <w:bCs/>
        </w:rPr>
      </w:pPr>
      <w:r w:rsidRPr="007D03C5">
        <w:rPr>
          <w:b/>
          <w:bCs/>
        </w:rPr>
        <w:t>W8 – Reflexão sobre o percurso do grupo à luz de Kandel et al. (2012)</w:t>
      </w:r>
    </w:p>
    <w:p w14:paraId="54201971" w14:textId="1BF6617D" w:rsidR="007D03C5" w:rsidRPr="007D03C5" w:rsidRDefault="007D03C5" w:rsidP="007D03C5">
      <w:r w:rsidRPr="007D03C5">
        <w:rPr>
          <w:b/>
          <w:bCs/>
        </w:rPr>
        <w:t>Grupo</w:t>
      </w:r>
      <w:r>
        <w:rPr>
          <w:b/>
          <w:bCs/>
        </w:rPr>
        <w:t xml:space="preserve"> 6</w:t>
      </w:r>
    </w:p>
    <w:p w14:paraId="6E7CEF1F" w14:textId="77777777" w:rsidR="007D03C5" w:rsidRPr="007D03C5" w:rsidRDefault="007D03C5" w:rsidP="007D03C5">
      <w:pPr>
        <w:rPr>
          <w:b/>
          <w:bCs/>
        </w:rPr>
      </w:pPr>
      <w:r w:rsidRPr="007D03C5">
        <w:rPr>
          <w:b/>
          <w:bCs/>
        </w:rPr>
        <w:t>1. Como chegámos ao dataset final</w:t>
      </w:r>
    </w:p>
    <w:p w14:paraId="34CBD861" w14:textId="7EA9795D" w:rsidR="007D03C5" w:rsidRDefault="007D03C5" w:rsidP="007D03C5">
      <w:pPr>
        <w:jc w:val="both"/>
      </w:pPr>
      <w:r w:rsidRPr="007D03C5">
        <w:t>O trabalho com os dados seguiu etapas muito próximas das descritas por Kandel et al. (2012). A fase inicial foi dedicada à descoberta das fontes (INE, PORDATA, Censos), que exigiu interpretar definições distintas e clarificar conceitos. Depois, entrámos na fase mais longa</w:t>
      </w:r>
      <w:r>
        <w:t xml:space="preserve"> com</w:t>
      </w:r>
      <w:r w:rsidRPr="007D03C5">
        <w:t xml:space="preserve"> transformação e limpeza, onde normalizámos formatos, grafias e tipos de dados</w:t>
      </w:r>
      <w:r>
        <w:t xml:space="preserve">, </w:t>
      </w:r>
      <w:r w:rsidRPr="007D03C5">
        <w:t xml:space="preserve">confirmando que o </w:t>
      </w:r>
      <w:proofErr w:type="spellStart"/>
      <w:r w:rsidRPr="007D03C5">
        <w:rPr>
          <w:i/>
          <w:iCs/>
        </w:rPr>
        <w:t>wrangling</w:t>
      </w:r>
      <w:proofErr w:type="spellEnd"/>
      <w:r w:rsidRPr="007D03C5">
        <w:t xml:space="preserve"> é a parte mais demorada de todo o processo.</w:t>
      </w:r>
    </w:p>
    <w:p w14:paraId="3FE2D134" w14:textId="34920638" w:rsidR="007D03C5" w:rsidRPr="007D03C5" w:rsidRDefault="007D03C5" w:rsidP="007D03C5">
      <w:pPr>
        <w:jc w:val="both"/>
      </w:pPr>
      <w:r w:rsidRPr="007D03C5">
        <w:t xml:space="preserve">Seguiu-se a validação, onde analisámos discrepâncias e lacunas antes de avançar para as primeiras visualizações exploratórias, feitas com </w:t>
      </w:r>
      <w:r w:rsidRPr="007D03C5">
        <w:rPr>
          <w:i/>
          <w:iCs/>
        </w:rPr>
        <w:t>RAWGraphs</w:t>
      </w:r>
      <w:r w:rsidRPr="007D03C5">
        <w:t xml:space="preserve"> e </w:t>
      </w:r>
      <w:r w:rsidRPr="007D03C5">
        <w:rPr>
          <w:i/>
          <w:iCs/>
        </w:rPr>
        <w:t>Datawrapper</w:t>
      </w:r>
      <w:r w:rsidRPr="007D03C5">
        <w:t>. Só após estabilizar estas fases conseguimos estruturar o trabalho e preparar a comunicação dos resultados</w:t>
      </w:r>
      <w:r w:rsidR="00AB4A86">
        <w:t xml:space="preserve">, tendo utilizado o </w:t>
      </w:r>
      <w:hyperlink r:id="rId8" w:tgtFrame="_blank" w:history="1">
        <w:r w:rsidR="00AB4A86" w:rsidRPr="00AB4A86">
          <w:rPr>
            <w:rStyle w:val="Hiperligao"/>
          </w:rPr>
          <w:t>GitHub</w:t>
        </w:r>
      </w:hyperlink>
      <w:r w:rsidR="00AB4A86">
        <w:t xml:space="preserve"> como base de registo, anotações e motor das soluções atuais e futuras. </w:t>
      </w:r>
    </w:p>
    <w:p w14:paraId="5A0F3BBE" w14:textId="77777777" w:rsidR="007D03C5" w:rsidRPr="007D03C5" w:rsidRDefault="007D03C5" w:rsidP="007D03C5">
      <w:pPr>
        <w:rPr>
          <w:b/>
          <w:bCs/>
        </w:rPr>
      </w:pPr>
      <w:r w:rsidRPr="007D03C5">
        <w:rPr>
          <w:b/>
          <w:bCs/>
        </w:rPr>
        <w:t>2. Principais dificuldades encontradas</w:t>
      </w:r>
    </w:p>
    <w:p w14:paraId="293C6EC4" w14:textId="77777777" w:rsidR="007D03C5" w:rsidRDefault="007D03C5" w:rsidP="007D03C5">
      <w:r w:rsidRPr="007D03C5">
        <w:t xml:space="preserve">O maior obstáculo foi a integração de tabelas teoricamente compatíveis, mas que apresentavam diferenças de nomenclatura e anos incompletos, obrigando a várias iterações. Este tipo de fricção corresponde ao que o artigo identifica como </w:t>
      </w:r>
      <w:r w:rsidRPr="007D03C5">
        <w:rPr>
          <w:i/>
          <w:iCs/>
        </w:rPr>
        <w:t>data integration challenges</w:t>
      </w:r>
      <w:r w:rsidRPr="007D03C5">
        <w:t>.</w:t>
      </w:r>
    </w:p>
    <w:p w14:paraId="1573BFB1" w14:textId="0E721366" w:rsidR="007D03C5" w:rsidRPr="007D03C5" w:rsidRDefault="007D03C5" w:rsidP="007D03C5">
      <w:r w:rsidRPr="007D03C5">
        <w:t xml:space="preserve">Além disso, encontrámos uma limitação relevante: </w:t>
      </w:r>
      <w:r w:rsidRPr="007D03C5">
        <w:rPr>
          <w:b/>
          <w:bCs/>
        </w:rPr>
        <w:t>os valores do Censo de 1970 sobre alojamentos não estão disponíveis em formato digital fiável no INE</w:t>
      </w:r>
      <w:r w:rsidRPr="007D03C5">
        <w:t xml:space="preserve">. Os </w:t>
      </w:r>
      <w:proofErr w:type="spellStart"/>
      <w:r w:rsidRPr="007D03C5">
        <w:t>PDFs</w:t>
      </w:r>
      <w:proofErr w:type="spellEnd"/>
      <w:r w:rsidRPr="007D03C5">
        <w:t xml:space="preserve"> apresentam formatação irregular, tabelas difíceis de ler e incoerências face a 1960 e 1981. Para evitar erros, optámos por </w:t>
      </w:r>
      <w:r w:rsidRPr="007D03C5">
        <w:rPr>
          <w:b/>
          <w:bCs/>
        </w:rPr>
        <w:t>excluir 1970</w:t>
      </w:r>
      <w:r w:rsidRPr="007D03C5">
        <w:t xml:space="preserve"> do dataset. A ausência não afeta a análise atual, mas fica registada como limitação da fonte.</w:t>
      </w:r>
    </w:p>
    <w:p w14:paraId="148DB0B6" w14:textId="77777777" w:rsidR="007D03C5" w:rsidRPr="007D03C5" w:rsidRDefault="007D03C5" w:rsidP="007D03C5">
      <w:pPr>
        <w:rPr>
          <w:b/>
          <w:bCs/>
        </w:rPr>
      </w:pPr>
      <w:r w:rsidRPr="007D03C5">
        <w:rPr>
          <w:b/>
          <w:bCs/>
        </w:rPr>
        <w:t>3. A nossa posição enquanto analistas</w:t>
      </w:r>
    </w:p>
    <w:p w14:paraId="1AC0ED91" w14:textId="3D83B485" w:rsidR="007D03C5" w:rsidRPr="007D03C5" w:rsidRDefault="007D03C5" w:rsidP="007D03C5">
      <w:pPr>
        <w:jc w:val="both"/>
      </w:pPr>
      <w:r w:rsidRPr="007D03C5">
        <w:t xml:space="preserve">Iniciámos o projeto como </w:t>
      </w:r>
      <w:r w:rsidRPr="007D03C5">
        <w:rPr>
          <w:i/>
          <w:iCs/>
        </w:rPr>
        <w:t>application users</w:t>
      </w:r>
      <w:r w:rsidRPr="007D03C5">
        <w:t>, dependentes de ferramentas visuais e processos manuais. Contudo, depois de consolidado o dataset, evoluímos para soluções online com programação mais avançada</w:t>
      </w:r>
      <w:r>
        <w:t xml:space="preserve"> </w:t>
      </w:r>
      <w:r>
        <w:t>(</w:t>
      </w:r>
      <w:hyperlink r:id="rId9" w:history="1">
        <w:r w:rsidRPr="007D03C5">
          <w:rPr>
            <w:rStyle w:val="Hiperligao"/>
          </w:rPr>
          <w:t>VIS · Trabalho de Grupo – Visualização de Informação</w:t>
        </w:r>
      </w:hyperlink>
      <w:r>
        <w:t>)</w:t>
      </w:r>
      <w:r w:rsidRPr="007D03C5">
        <w:t xml:space="preserve">, aproximando-nos do perfil </w:t>
      </w:r>
      <w:r w:rsidRPr="007D03C5">
        <w:rPr>
          <w:i/>
          <w:iCs/>
        </w:rPr>
        <w:t>scripter</w:t>
      </w:r>
      <w:r w:rsidRPr="007D03C5">
        <w:t>. O objetivo futuro é reforçar a automatização, a reprodutibilidade e a capacidade de criar visualizações interativas mais robustas.</w:t>
      </w:r>
    </w:p>
    <w:p w14:paraId="76669709" w14:textId="77777777" w:rsidR="007D03C5" w:rsidRPr="007D03C5" w:rsidRDefault="007D03C5" w:rsidP="007D03C5">
      <w:pPr>
        <w:rPr>
          <w:b/>
          <w:bCs/>
        </w:rPr>
      </w:pPr>
      <w:r w:rsidRPr="007D03C5">
        <w:rPr>
          <w:b/>
          <w:bCs/>
        </w:rPr>
        <w:t>4. Síntese final</w:t>
      </w:r>
    </w:p>
    <w:p w14:paraId="58BD196C" w14:textId="74D8C32D" w:rsidR="007D03C5" w:rsidRPr="007D03C5" w:rsidRDefault="007D03C5" w:rsidP="007D03C5">
      <w:pPr>
        <w:jc w:val="both"/>
      </w:pPr>
      <w:r w:rsidRPr="007D03C5">
        <w:t>O percurso mostrou-nos que</w:t>
      </w:r>
      <w:r>
        <w:t xml:space="preserve"> </w:t>
      </w:r>
      <w:r w:rsidRPr="007D03C5">
        <w:t xml:space="preserve">tal como Kandel descreve a visualização é apenas a parte final de um processo dominado pela descoberta, limpeza e validação. A gestão das limitações das fontes e a transição para ferramentas mais técnicas </w:t>
      </w:r>
      <w:r w:rsidRPr="007D03C5">
        <w:lastRenderedPageBreak/>
        <w:t>reforçaram a maturidade do grupo e prepararam o terreno para as fases seguintes do projeto.</w:t>
      </w:r>
    </w:p>
    <w:p w14:paraId="69852677" w14:textId="031980D0" w:rsidR="007D03C5" w:rsidRPr="007D03C5" w:rsidRDefault="007D03C5" w:rsidP="007D03C5"/>
    <w:p w14:paraId="34218217" w14:textId="77777777" w:rsidR="007D03C5" w:rsidRPr="007D03C5" w:rsidRDefault="007D03C5" w:rsidP="007D03C5">
      <w:pPr>
        <w:rPr>
          <w:b/>
          <w:bCs/>
        </w:rPr>
      </w:pPr>
      <w:r w:rsidRPr="007D03C5">
        <w:rPr>
          <w:b/>
          <w:bCs/>
        </w:rPr>
        <w:t>Referências (ABNT)</w:t>
      </w:r>
    </w:p>
    <w:p w14:paraId="0488848D" w14:textId="77A1C588" w:rsidR="007D03C5" w:rsidRPr="007D03C5" w:rsidRDefault="007D03C5" w:rsidP="007D03C5">
      <w:r w:rsidRPr="007D03C5">
        <w:t xml:space="preserve">KANDEL, S. et al. </w:t>
      </w:r>
      <w:proofErr w:type="spellStart"/>
      <w:r w:rsidRPr="007D03C5">
        <w:rPr>
          <w:i/>
          <w:iCs/>
        </w:rPr>
        <w:t>Enterprise</w:t>
      </w:r>
      <w:proofErr w:type="spellEnd"/>
      <w:r w:rsidRPr="007D03C5">
        <w:rPr>
          <w:i/>
          <w:iCs/>
        </w:rPr>
        <w:t xml:space="preserve"> Data </w:t>
      </w:r>
      <w:proofErr w:type="spellStart"/>
      <w:r w:rsidRPr="007D03C5">
        <w:rPr>
          <w:i/>
          <w:iCs/>
        </w:rPr>
        <w:t>Analysis</w:t>
      </w:r>
      <w:proofErr w:type="spellEnd"/>
      <w:r w:rsidRPr="007D03C5">
        <w:rPr>
          <w:i/>
          <w:iCs/>
        </w:rPr>
        <w:t xml:space="preserve"> and Visualization: </w:t>
      </w:r>
      <w:proofErr w:type="spellStart"/>
      <w:r w:rsidRPr="007D03C5">
        <w:rPr>
          <w:i/>
          <w:iCs/>
        </w:rPr>
        <w:t>An</w:t>
      </w:r>
      <w:proofErr w:type="spellEnd"/>
      <w:r w:rsidRPr="007D03C5">
        <w:rPr>
          <w:i/>
          <w:iCs/>
        </w:rPr>
        <w:t xml:space="preserve"> </w:t>
      </w:r>
      <w:proofErr w:type="spellStart"/>
      <w:r w:rsidRPr="007D03C5">
        <w:rPr>
          <w:i/>
          <w:iCs/>
        </w:rPr>
        <w:t>Interview</w:t>
      </w:r>
      <w:proofErr w:type="spellEnd"/>
      <w:r w:rsidRPr="007D03C5">
        <w:rPr>
          <w:i/>
          <w:iCs/>
        </w:rPr>
        <w:t xml:space="preserve"> </w:t>
      </w:r>
      <w:proofErr w:type="spellStart"/>
      <w:r w:rsidRPr="007D03C5">
        <w:rPr>
          <w:i/>
          <w:iCs/>
        </w:rPr>
        <w:t>Study</w:t>
      </w:r>
      <w:proofErr w:type="spellEnd"/>
      <w:r w:rsidRPr="007D03C5">
        <w:rPr>
          <w:i/>
          <w:iCs/>
        </w:rPr>
        <w:t>.</w:t>
      </w:r>
      <w:r w:rsidRPr="007D03C5">
        <w:t xml:space="preserve"> IEEE </w:t>
      </w:r>
      <w:proofErr w:type="spellStart"/>
      <w:r w:rsidRPr="007D03C5">
        <w:t>Transactions</w:t>
      </w:r>
      <w:proofErr w:type="spellEnd"/>
      <w:r w:rsidRPr="007D03C5">
        <w:t xml:space="preserve"> </w:t>
      </w:r>
      <w:proofErr w:type="spellStart"/>
      <w:r w:rsidRPr="007D03C5">
        <w:t>on</w:t>
      </w:r>
      <w:proofErr w:type="spellEnd"/>
      <w:r w:rsidRPr="007D03C5">
        <w:t xml:space="preserve"> Visualization and </w:t>
      </w:r>
      <w:proofErr w:type="spellStart"/>
      <w:r w:rsidRPr="007D03C5">
        <w:t>Computer</w:t>
      </w:r>
      <w:proofErr w:type="spellEnd"/>
      <w:r w:rsidRPr="007D03C5">
        <w:t xml:space="preserve"> </w:t>
      </w:r>
      <w:proofErr w:type="spellStart"/>
      <w:r w:rsidRPr="007D03C5">
        <w:t>Graphics</w:t>
      </w:r>
      <w:proofErr w:type="spellEnd"/>
      <w:r w:rsidRPr="007D03C5">
        <w:t>, v. 18, n. 12, p. 2917–2926, 2012</w:t>
      </w:r>
    </w:p>
    <w:p w14:paraId="0451C0AF" w14:textId="37CBC761" w:rsidR="007D03C5" w:rsidRPr="007D03C5" w:rsidRDefault="007D03C5" w:rsidP="007D03C5">
      <w:r w:rsidRPr="007D03C5">
        <w:t xml:space="preserve">HEALEY, C. G. </w:t>
      </w:r>
      <w:proofErr w:type="spellStart"/>
      <w:r w:rsidRPr="007D03C5">
        <w:rPr>
          <w:i/>
          <w:iCs/>
        </w:rPr>
        <w:t>Perception</w:t>
      </w:r>
      <w:proofErr w:type="spellEnd"/>
      <w:r w:rsidRPr="007D03C5">
        <w:rPr>
          <w:i/>
          <w:iCs/>
        </w:rPr>
        <w:t xml:space="preserve"> in Visualization.</w:t>
      </w:r>
      <w:r w:rsidRPr="007D03C5">
        <w:t xml:space="preserve"> </w:t>
      </w:r>
      <w:proofErr w:type="spellStart"/>
      <w:r w:rsidRPr="007D03C5">
        <w:t>North</w:t>
      </w:r>
      <w:proofErr w:type="spellEnd"/>
      <w:r w:rsidRPr="007D03C5">
        <w:t xml:space="preserve"> Carolina </w:t>
      </w:r>
      <w:proofErr w:type="spellStart"/>
      <w:r w:rsidRPr="007D03C5">
        <w:t>State</w:t>
      </w:r>
      <w:proofErr w:type="spellEnd"/>
      <w:r w:rsidRPr="007D03C5">
        <w:t xml:space="preserve"> </w:t>
      </w:r>
      <w:proofErr w:type="spellStart"/>
      <w:r w:rsidRPr="007D03C5">
        <w:t>University</w:t>
      </w:r>
      <w:proofErr w:type="spellEnd"/>
      <w:r w:rsidRPr="007D03C5">
        <w:t>, 2024</w:t>
      </w:r>
    </w:p>
    <w:p w14:paraId="4F59BA89" w14:textId="3A5469F1" w:rsidR="007D03C5" w:rsidRPr="007D03C5" w:rsidRDefault="007D03C5" w:rsidP="007D03C5">
      <w:r w:rsidRPr="007D03C5">
        <w:t xml:space="preserve">MUNZNER, T. </w:t>
      </w:r>
      <w:r w:rsidRPr="007D03C5">
        <w:rPr>
          <w:i/>
          <w:iCs/>
        </w:rPr>
        <w:t xml:space="preserve">Visualization </w:t>
      </w:r>
      <w:proofErr w:type="spellStart"/>
      <w:r w:rsidRPr="007D03C5">
        <w:rPr>
          <w:i/>
          <w:iCs/>
        </w:rPr>
        <w:t>Analysis</w:t>
      </w:r>
      <w:proofErr w:type="spellEnd"/>
      <w:r w:rsidRPr="007D03C5">
        <w:rPr>
          <w:i/>
          <w:iCs/>
        </w:rPr>
        <w:t xml:space="preserve"> and Design.</w:t>
      </w:r>
      <w:r w:rsidRPr="007D03C5">
        <w:t xml:space="preserve"> CRC </w:t>
      </w:r>
      <w:proofErr w:type="spellStart"/>
      <w:r w:rsidRPr="007D03C5">
        <w:t>Press</w:t>
      </w:r>
      <w:proofErr w:type="spellEnd"/>
      <w:r w:rsidRPr="007D03C5">
        <w:t>, 2014</w:t>
      </w:r>
    </w:p>
    <w:p w14:paraId="4056061E" w14:textId="49C2DAA5" w:rsidR="007D03C5" w:rsidRPr="007D03C5" w:rsidRDefault="007D03C5" w:rsidP="007D03C5">
      <w:r w:rsidRPr="007D03C5">
        <w:t xml:space="preserve">WARE, C. </w:t>
      </w:r>
      <w:proofErr w:type="spellStart"/>
      <w:r w:rsidRPr="007D03C5">
        <w:rPr>
          <w:i/>
          <w:iCs/>
        </w:rPr>
        <w:t>Information</w:t>
      </w:r>
      <w:proofErr w:type="spellEnd"/>
      <w:r w:rsidRPr="007D03C5">
        <w:rPr>
          <w:i/>
          <w:iCs/>
        </w:rPr>
        <w:t xml:space="preserve"> Visualization: </w:t>
      </w:r>
      <w:proofErr w:type="spellStart"/>
      <w:r w:rsidRPr="007D03C5">
        <w:rPr>
          <w:i/>
          <w:iCs/>
        </w:rPr>
        <w:t>Perception</w:t>
      </w:r>
      <w:proofErr w:type="spellEnd"/>
      <w:r w:rsidRPr="007D03C5">
        <w:rPr>
          <w:i/>
          <w:iCs/>
        </w:rPr>
        <w:t xml:space="preserve"> for Design.</w:t>
      </w:r>
      <w:r w:rsidRPr="007D03C5">
        <w:t xml:space="preserve"> Morgan </w:t>
      </w:r>
      <w:proofErr w:type="spellStart"/>
      <w:r w:rsidRPr="007D03C5">
        <w:t>Kaufmann</w:t>
      </w:r>
      <w:proofErr w:type="spellEnd"/>
      <w:r w:rsidRPr="007D03C5">
        <w:t>, 2021</w:t>
      </w:r>
    </w:p>
    <w:p w14:paraId="3F357967" w14:textId="43867697" w:rsidR="007D03C5" w:rsidRPr="007D03C5" w:rsidRDefault="007D03C5" w:rsidP="007D03C5">
      <w:r w:rsidRPr="007D03C5">
        <w:t xml:space="preserve">LIU, S. et al. </w:t>
      </w:r>
      <w:r w:rsidRPr="007D03C5">
        <w:rPr>
          <w:i/>
          <w:iCs/>
        </w:rPr>
        <w:t xml:space="preserve">A </w:t>
      </w:r>
      <w:proofErr w:type="spellStart"/>
      <w:r w:rsidRPr="007D03C5">
        <w:rPr>
          <w:i/>
          <w:iCs/>
        </w:rPr>
        <w:t>Survey</w:t>
      </w:r>
      <w:proofErr w:type="spellEnd"/>
      <w:r w:rsidRPr="007D03C5">
        <w:rPr>
          <w:i/>
          <w:iCs/>
        </w:rPr>
        <w:t xml:space="preserve"> </w:t>
      </w:r>
      <w:proofErr w:type="spellStart"/>
      <w:r w:rsidRPr="007D03C5">
        <w:rPr>
          <w:i/>
          <w:iCs/>
        </w:rPr>
        <w:t>on</w:t>
      </w:r>
      <w:proofErr w:type="spellEnd"/>
      <w:r w:rsidRPr="007D03C5">
        <w:rPr>
          <w:i/>
          <w:iCs/>
        </w:rPr>
        <w:t xml:space="preserve"> </w:t>
      </w:r>
      <w:proofErr w:type="spellStart"/>
      <w:r w:rsidRPr="007D03C5">
        <w:rPr>
          <w:i/>
          <w:iCs/>
        </w:rPr>
        <w:t>Information</w:t>
      </w:r>
      <w:proofErr w:type="spellEnd"/>
      <w:r w:rsidRPr="007D03C5">
        <w:rPr>
          <w:i/>
          <w:iCs/>
        </w:rPr>
        <w:t xml:space="preserve"> Visualization.</w:t>
      </w:r>
      <w:r w:rsidRPr="007D03C5">
        <w:t xml:space="preserve"> Visual </w:t>
      </w:r>
      <w:proofErr w:type="spellStart"/>
      <w:r w:rsidRPr="007D03C5">
        <w:t>Computer</w:t>
      </w:r>
      <w:proofErr w:type="spellEnd"/>
      <w:r w:rsidRPr="007D03C5">
        <w:t>, v. 30, 2014</w:t>
      </w:r>
    </w:p>
    <w:p w14:paraId="5D334BB0" w14:textId="77777777" w:rsidR="00404BAA" w:rsidRPr="007D03C5" w:rsidRDefault="00404BAA" w:rsidP="007D03C5"/>
    <w:sectPr w:rsidR="00404BAA" w:rsidRPr="007D03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645"/>
    <w:multiLevelType w:val="multilevel"/>
    <w:tmpl w:val="5498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006A7"/>
    <w:multiLevelType w:val="multilevel"/>
    <w:tmpl w:val="EEAC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745001">
    <w:abstractNumId w:val="0"/>
  </w:num>
  <w:num w:numId="2" w16cid:durableId="1123771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9C"/>
    <w:rsid w:val="00404BAA"/>
    <w:rsid w:val="006665EB"/>
    <w:rsid w:val="007B139C"/>
    <w:rsid w:val="007D03C5"/>
    <w:rsid w:val="009A5DA9"/>
    <w:rsid w:val="00AB4A86"/>
    <w:rsid w:val="00C8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A5A1B"/>
  <w15:chartTrackingRefBased/>
  <w15:docId w15:val="{5A84C90C-1850-44FB-BB73-26406B2A6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B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B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B1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B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B1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B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B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B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B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B1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B1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B1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B13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B139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B13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B139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B13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B13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B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B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B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B1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B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B13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139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B13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B1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B139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B139C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7D03C5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D0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dreMacielSousa/Visualiza-o-de-Informa-o-2025-26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ndremaciel.pt/VIS_WG_1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4E3204770B8C40B67F77C58C44BC6A" ma:contentTypeVersion="15" ma:contentTypeDescription="Create a new document." ma:contentTypeScope="" ma:versionID="7a676a4b33f49b690fae1e0d0549312c">
  <xsd:schema xmlns:xsd="http://www.w3.org/2001/XMLSchema" xmlns:xs="http://www.w3.org/2001/XMLSchema" xmlns:p="http://schemas.microsoft.com/office/2006/metadata/properties" xmlns:ns3="4328c7cc-c445-4d11-b547-7dcc168d4f22" xmlns:ns4="444ac56f-3978-4bc1-af9a-6b1da221a9d6" targetNamespace="http://schemas.microsoft.com/office/2006/metadata/properties" ma:root="true" ma:fieldsID="357f089d92b082d8b25239fb4be2e05d" ns3:_="" ns4:_="">
    <xsd:import namespace="4328c7cc-c445-4d11-b547-7dcc168d4f22"/>
    <xsd:import namespace="444ac56f-3978-4bc1-af9a-6b1da221a9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28c7cc-c445-4d11-b547-7dcc168d4f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4ac56f-3978-4bc1-af9a-6b1da221a9d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28c7cc-c445-4d11-b547-7dcc168d4f22" xsi:nil="true"/>
  </documentManagement>
</p:properties>
</file>

<file path=customXml/itemProps1.xml><?xml version="1.0" encoding="utf-8"?>
<ds:datastoreItem xmlns:ds="http://schemas.openxmlformats.org/officeDocument/2006/customXml" ds:itemID="{89DA06E2-65BD-494E-BD5B-978C455AD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28c7cc-c445-4d11-b547-7dcc168d4f22"/>
    <ds:schemaRef ds:uri="444ac56f-3978-4bc1-af9a-6b1da221a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6C2583-739F-455D-B77B-89E2A1A8C0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4C6361-0E76-4C17-AC4F-B7ADD3968F8C}">
  <ds:schemaRefs>
    <ds:schemaRef ds:uri="http://schemas.microsoft.com/office/2006/documentManagement/types"/>
    <ds:schemaRef ds:uri="http://purl.org/dc/elements/1.1/"/>
    <ds:schemaRef ds:uri="http://purl.org/dc/terms/"/>
    <ds:schemaRef ds:uri="444ac56f-3978-4bc1-af9a-6b1da221a9d6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4328c7cc-c445-4d11-b547-7dcc168d4f22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Sousa</dc:creator>
  <cp:keywords/>
  <dc:description/>
  <cp:lastModifiedBy>André Sousa</cp:lastModifiedBy>
  <cp:revision>2</cp:revision>
  <dcterms:created xsi:type="dcterms:W3CDTF">2025-12-03T16:21:00Z</dcterms:created>
  <dcterms:modified xsi:type="dcterms:W3CDTF">2025-12-03T16:21:00Z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0x010100804E3204770B8C40B67F77C58C44BC6A</vt:lpwstr>
  </property>
</Properties>
</file>