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A3AE" w14:textId="77777777" w:rsidR="00DF798B" w:rsidRPr="005F441B" w:rsidRDefault="00DF798B" w:rsidP="00DF798B">
      <w:pPr>
        <w:pStyle w:val="NoSpacing"/>
      </w:pPr>
      <w:r w:rsidRPr="00BF1E16">
        <w:rPr>
          <w:rFonts w:ascii="Times New Roman" w:hAnsi="Times New Roman" w:cs="Times New Roman"/>
          <w:sz w:val="24"/>
          <w:szCs w:val="24"/>
        </w:rPr>
        <w:t>Andre Miranda</w:t>
      </w:r>
    </w:p>
    <w:p w14:paraId="14301D9C" w14:textId="77777777" w:rsidR="00DF798B" w:rsidRPr="00BF1E16" w:rsidRDefault="00DF798B" w:rsidP="00DF798B">
      <w:pPr>
        <w:pStyle w:val="NoSpacing"/>
        <w:rPr>
          <w:rFonts w:ascii="Times New Roman" w:hAnsi="Times New Roman" w:cs="Times New Roman"/>
          <w:sz w:val="24"/>
          <w:szCs w:val="24"/>
        </w:rPr>
      </w:pPr>
      <w:r w:rsidRPr="00BF1E16">
        <w:rPr>
          <w:rFonts w:ascii="Times New Roman" w:hAnsi="Times New Roman" w:cs="Times New Roman"/>
          <w:sz w:val="24"/>
          <w:szCs w:val="24"/>
        </w:rPr>
        <w:t>SNHU</w:t>
      </w:r>
    </w:p>
    <w:p w14:paraId="14ECA385" w14:textId="77777777" w:rsidR="00DF798B" w:rsidRPr="00BF1E16" w:rsidRDefault="00DF798B" w:rsidP="00DF798B">
      <w:pPr>
        <w:suppressAutoHyphens/>
        <w:spacing w:after="0" w:line="240" w:lineRule="auto"/>
        <w:contextualSpacing/>
        <w:outlineLvl w:val="0"/>
        <w:rPr>
          <w:rFonts w:ascii="Times New Roman" w:hAnsi="Times New Roman" w:cs="Times New Roman"/>
        </w:rPr>
      </w:pPr>
      <w:r>
        <w:rPr>
          <w:rFonts w:ascii="Times New Roman" w:hAnsi="Times New Roman" w:cs="Times New Roman"/>
        </w:rPr>
        <w:t>CS-319</w:t>
      </w:r>
    </w:p>
    <w:p w14:paraId="5549E17C" w14:textId="77777777" w:rsidR="00DF798B" w:rsidRPr="002659BA" w:rsidRDefault="00DF798B" w:rsidP="00DF798B">
      <w:pPr>
        <w:suppressAutoHyphens/>
        <w:spacing w:after="0" w:line="240" w:lineRule="auto"/>
        <w:contextualSpacing/>
        <w:outlineLvl w:val="0"/>
        <w:rPr>
          <w:rFonts w:ascii="Times New Roman" w:hAnsi="Times New Roman" w:cs="Times New Roman"/>
        </w:rPr>
      </w:pPr>
      <w:r>
        <w:rPr>
          <w:rFonts w:ascii="Times New Roman" w:hAnsi="Times New Roman" w:cs="Times New Roman"/>
        </w:rPr>
        <w:t>Professor Jill Platts</w:t>
      </w:r>
    </w:p>
    <w:p w14:paraId="0E5C266B" w14:textId="3C299C79" w:rsidR="00DF798B" w:rsidRPr="002659BA" w:rsidRDefault="00DF798B" w:rsidP="00DF798B">
      <w:pPr>
        <w:suppressAutoHyphens/>
        <w:spacing w:after="0" w:line="240" w:lineRule="auto"/>
        <w:contextualSpacing/>
        <w:outlineLvl w:val="0"/>
        <w:rPr>
          <w:rFonts w:ascii="Times New Roman" w:hAnsi="Times New Roman" w:cs="Times New Roman"/>
        </w:rPr>
      </w:pPr>
      <w:r>
        <w:rPr>
          <w:rFonts w:ascii="Times New Roman" w:hAnsi="Times New Roman" w:cs="Times New Roman"/>
        </w:rPr>
        <w:t>09/2</w:t>
      </w:r>
      <w:r w:rsidR="003D60EA">
        <w:rPr>
          <w:rFonts w:ascii="Times New Roman" w:hAnsi="Times New Roman" w:cs="Times New Roman"/>
        </w:rPr>
        <w:t>6</w:t>
      </w:r>
      <w:r>
        <w:rPr>
          <w:rFonts w:ascii="Times New Roman" w:hAnsi="Times New Roman" w:cs="Times New Roman"/>
        </w:rPr>
        <w:t>/2025</w:t>
      </w:r>
    </w:p>
    <w:p w14:paraId="003A9E95" w14:textId="77777777" w:rsidR="00DF798B" w:rsidRDefault="00DF798B" w:rsidP="00DF798B"/>
    <w:p w14:paraId="63E26716" w14:textId="0B08F112" w:rsidR="00DF798B" w:rsidRPr="00AC099B" w:rsidRDefault="00DF798B" w:rsidP="00DF798B">
      <w:pPr>
        <w:spacing w:line="480" w:lineRule="auto"/>
        <w:jc w:val="center"/>
        <w:rPr>
          <w:sz w:val="28"/>
          <w:szCs w:val="28"/>
        </w:rPr>
      </w:pPr>
      <w:r>
        <w:rPr>
          <w:sz w:val="28"/>
          <w:szCs w:val="28"/>
        </w:rPr>
        <w:t>Project One</w:t>
      </w:r>
    </w:p>
    <w:p w14:paraId="50066B3B" w14:textId="5CF07BE0" w:rsidR="00DF798B" w:rsidRPr="00DF798B" w:rsidRDefault="00DF798B" w:rsidP="00DF798B">
      <w:pPr>
        <w:rPr>
          <w:sz w:val="28"/>
          <w:szCs w:val="28"/>
        </w:rPr>
      </w:pPr>
      <w:r w:rsidRPr="00DF798B">
        <w:rPr>
          <w:sz w:val="28"/>
          <w:szCs w:val="28"/>
        </w:rPr>
        <w:t>Digital Wireframe:</w:t>
      </w:r>
    </w:p>
    <w:p w14:paraId="2AB51C26" w14:textId="212A512A" w:rsidR="00DF798B" w:rsidRDefault="00603D40" w:rsidP="00DF798B">
      <w:r w:rsidRPr="00603D40">
        <w:rPr>
          <w:noProof/>
        </w:rPr>
        <w:drawing>
          <wp:inline distT="0" distB="0" distL="0" distR="0" wp14:anchorId="6F788B6D" wp14:editId="1800F697">
            <wp:extent cx="5943600" cy="5210175"/>
            <wp:effectExtent l="0" t="0" r="0" b="9525"/>
            <wp:docPr id="1869027431" name="Picture 1" descr="A screenshot of a group of white cell 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7431" name="Picture 1" descr="A screenshot of a group of white cell phones&#10;&#10;AI-generated content may be incorrect."/>
                    <pic:cNvPicPr/>
                  </pic:nvPicPr>
                  <pic:blipFill>
                    <a:blip r:embed="rId4"/>
                    <a:stretch>
                      <a:fillRect/>
                    </a:stretch>
                  </pic:blipFill>
                  <pic:spPr>
                    <a:xfrm>
                      <a:off x="0" y="0"/>
                      <a:ext cx="5943600" cy="5210175"/>
                    </a:xfrm>
                    <a:prstGeom prst="rect">
                      <a:avLst/>
                    </a:prstGeom>
                  </pic:spPr>
                </pic:pic>
              </a:graphicData>
            </a:graphic>
          </wp:inline>
        </w:drawing>
      </w:r>
    </w:p>
    <w:p w14:paraId="5271917A" w14:textId="77777777" w:rsidR="00DF798B" w:rsidRDefault="00DF798B" w:rsidP="00DF798B"/>
    <w:p w14:paraId="0722F271" w14:textId="77777777" w:rsidR="00582616" w:rsidRDefault="00582616" w:rsidP="00DF798B"/>
    <w:p w14:paraId="56B77441" w14:textId="3609D04D" w:rsidR="00DF798B" w:rsidRPr="00DF798B" w:rsidRDefault="00DF798B" w:rsidP="00DF798B">
      <w:pPr>
        <w:rPr>
          <w:sz w:val="28"/>
          <w:szCs w:val="28"/>
        </w:rPr>
      </w:pPr>
      <w:r w:rsidRPr="00DF798B">
        <w:rPr>
          <w:sz w:val="28"/>
          <w:szCs w:val="28"/>
        </w:rPr>
        <w:lastRenderedPageBreak/>
        <w:t>Client Communication and Recommendations:</w:t>
      </w:r>
    </w:p>
    <w:p w14:paraId="601F1B61" w14:textId="4EC95C75" w:rsidR="00DF798B" w:rsidRPr="00DF798B" w:rsidRDefault="00DF798B" w:rsidP="00DF798B">
      <w:pPr>
        <w:spacing w:line="480" w:lineRule="auto"/>
        <w:ind w:firstLine="720"/>
        <w:jc w:val="both"/>
      </w:pPr>
      <w:r w:rsidRPr="00DF798B">
        <w:t xml:space="preserve">Designing </w:t>
      </w:r>
      <w:r>
        <w:t>FoodScan</w:t>
      </w:r>
      <w:r w:rsidRPr="00DF798B">
        <w:t>, a mobile application focused on real-time ingredient transparency, required a user-centered approach</w:t>
      </w:r>
      <w:r w:rsidR="00961E83">
        <w:t xml:space="preserve">. I needed to make sure the </w:t>
      </w:r>
      <w:r w:rsidR="00510D3E">
        <w:t xml:space="preserve">design </w:t>
      </w:r>
      <w:r w:rsidR="00C03E3B">
        <w:t>is based o</w:t>
      </w:r>
      <w:r w:rsidRPr="00DF798B">
        <w:t xml:space="preserve">n research, accessibility, and platform-specific best practices. The app’s primary goal is to help users make informed, health-conscious decisions while shopping for food by scanning product barcodes and instantly visualizing the health impact of ingredients. </w:t>
      </w:r>
      <w:r w:rsidR="00583621">
        <w:t xml:space="preserve">Now </w:t>
      </w:r>
      <w:r w:rsidR="003D60EA">
        <w:t>let us</w:t>
      </w:r>
      <w:r w:rsidR="00583621">
        <w:t xml:space="preserve"> </w:t>
      </w:r>
      <w:r w:rsidR="003D60EA">
        <w:t>look</w:t>
      </w:r>
      <w:r w:rsidR="00583621">
        <w:t xml:space="preserve"> at some of the </w:t>
      </w:r>
      <w:r w:rsidR="0005579C">
        <w:t>screens</w:t>
      </w:r>
      <w:r w:rsidRPr="00DF798B">
        <w:t xml:space="preserve"> in the wireframe, </w:t>
      </w:r>
      <w:r w:rsidR="00583621">
        <w:t>so that I can explain</w:t>
      </w:r>
      <w:r w:rsidRPr="00DF798B">
        <w:t xml:space="preserve"> how the design benefits users, and explore adaptations for digital watches and touch-based kiosks.</w:t>
      </w:r>
    </w:p>
    <w:p w14:paraId="246A3800" w14:textId="22661605" w:rsidR="00DF798B" w:rsidRPr="00DF798B" w:rsidRDefault="00DF798B" w:rsidP="00DF798B">
      <w:pPr>
        <w:spacing w:line="480" w:lineRule="auto"/>
        <w:ind w:firstLine="720"/>
        <w:jc w:val="both"/>
      </w:pPr>
      <w:r w:rsidRPr="00DF798B">
        <w:t xml:space="preserve">The </w:t>
      </w:r>
      <w:r>
        <w:t>FoodScan</w:t>
      </w:r>
      <w:r w:rsidRPr="00DF798B">
        <w:t xml:space="preserve"> wireframe consists of five core screens</w:t>
      </w:r>
      <w:r w:rsidR="00325A3A">
        <w:t>, which include</w:t>
      </w:r>
      <w:r w:rsidRPr="00DF798B">
        <w:t xml:space="preserve"> </w:t>
      </w:r>
      <w:r w:rsidR="00325A3A">
        <w:t>a</w:t>
      </w:r>
      <w:r w:rsidR="00A004B1">
        <w:t xml:space="preserve"> Home</w:t>
      </w:r>
      <w:r w:rsidR="00AC44CD">
        <w:t xml:space="preserve"> and Scan</w:t>
      </w:r>
      <w:r w:rsidR="00A004B1">
        <w:t xml:space="preserve"> Scree</w:t>
      </w:r>
      <w:r w:rsidRPr="00DF798B">
        <w:t>,</w:t>
      </w:r>
      <w:r w:rsidR="00325A3A">
        <w:t xml:space="preserve"> </w:t>
      </w:r>
      <w:r w:rsidR="0005579C">
        <w:t>an</w:t>
      </w:r>
      <w:r w:rsidR="00325A3A">
        <w:t xml:space="preserve"> </w:t>
      </w:r>
      <w:r w:rsidRPr="00DF798B">
        <w:t>Ingredient Breakdown</w:t>
      </w:r>
      <w:r w:rsidR="000907FC">
        <w:t xml:space="preserve"> screen</w:t>
      </w:r>
      <w:r w:rsidRPr="00DF798B">
        <w:t xml:space="preserve">, </w:t>
      </w:r>
      <w:r w:rsidR="000907FC">
        <w:t>Alternative Suggestions and share/save to favorites screen</w:t>
      </w:r>
      <w:r w:rsidRPr="00DF798B">
        <w:t xml:space="preserve">, </w:t>
      </w:r>
      <w:r w:rsidR="00325A3A">
        <w:t xml:space="preserve">a </w:t>
      </w:r>
      <w:r w:rsidRPr="00DF798B">
        <w:t>Favorites</w:t>
      </w:r>
      <w:r w:rsidR="00325A3A">
        <w:t xml:space="preserve"> screen</w:t>
      </w:r>
      <w:r w:rsidRPr="00DF798B">
        <w:t xml:space="preserve">, and </w:t>
      </w:r>
      <w:r w:rsidR="00325A3A">
        <w:t xml:space="preserve">a </w:t>
      </w:r>
      <w:r w:rsidRPr="00DF798B">
        <w:t>Profile</w:t>
      </w:r>
      <w:r w:rsidR="00325A3A">
        <w:t xml:space="preserve"> screen</w:t>
      </w:r>
      <w:r w:rsidRPr="00DF798B">
        <w:t>. Each screen was designed to serve a specific function while</w:t>
      </w:r>
      <w:r w:rsidR="00F81567">
        <w:t xml:space="preserve"> still</w:t>
      </w:r>
      <w:r w:rsidRPr="00DF798B">
        <w:t xml:space="preserve"> maintaining </w:t>
      </w:r>
      <w:r w:rsidR="00F81567">
        <w:t xml:space="preserve">a </w:t>
      </w:r>
      <w:r w:rsidR="00F81567" w:rsidRPr="00DF798B">
        <w:t>consistent</w:t>
      </w:r>
      <w:r w:rsidRPr="00DF798B">
        <w:t xml:space="preserve"> visual language. The</w:t>
      </w:r>
      <w:r w:rsidR="00F81567">
        <w:t xml:space="preserve"> </w:t>
      </w:r>
      <w:r w:rsidRPr="00DF798B">
        <w:t>Home</w:t>
      </w:r>
      <w:r w:rsidR="00F81567">
        <w:t>/Scan</w:t>
      </w:r>
      <w:r w:rsidRPr="00DF798B">
        <w:t xml:space="preserve"> screen acts as the app’s launchpad, featuring a large central blue “Scan” button for immediate action. Below the button, users can scroll horizontally through recently scanned items, with a toggle filter that allows them to view either “Green Only” (healthier items) or “All.” A bottom navigation </w:t>
      </w:r>
      <w:r w:rsidR="00F81567">
        <w:t>area</w:t>
      </w:r>
      <w:r w:rsidRPr="00DF798B">
        <w:t xml:space="preserve"> includes Home, Favorites, and Profile icons, ensuring users can easily access key features. This layout </w:t>
      </w:r>
      <w:r w:rsidR="009D39A8">
        <w:t xml:space="preserve">can </w:t>
      </w:r>
      <w:r w:rsidR="001F2C16">
        <w:t>accommodate</w:t>
      </w:r>
      <w:r w:rsidRPr="00DF798B">
        <w:t xml:space="preserve"> both low-tech users who prioritize simplicity and high-tech users who seek</w:t>
      </w:r>
      <w:r w:rsidR="001F2C16">
        <w:t xml:space="preserve"> more</w:t>
      </w:r>
      <w:r w:rsidRPr="00DF798B">
        <w:t xml:space="preserve"> granular control.</w:t>
      </w:r>
    </w:p>
    <w:p w14:paraId="19F310B9" w14:textId="627CCA0F" w:rsidR="00DF798B" w:rsidRPr="00DF798B" w:rsidRDefault="00DF798B" w:rsidP="00DF798B">
      <w:pPr>
        <w:spacing w:line="480" w:lineRule="auto"/>
        <w:ind w:firstLine="720"/>
        <w:jc w:val="both"/>
      </w:pPr>
      <w:r w:rsidRPr="00DF798B">
        <w:t>The Ingredient Breakdown screen is triggered after a scan</w:t>
      </w:r>
      <w:r w:rsidR="001F2C16">
        <w:t xml:space="preserve"> or by clicking on one of the recently scanned items</w:t>
      </w:r>
      <w:r w:rsidRPr="00DF798B">
        <w:t xml:space="preserve">. It displays the product name and image at the top, </w:t>
      </w:r>
      <w:r w:rsidR="00F6328A">
        <w:t>along with</w:t>
      </w:r>
      <w:r w:rsidRPr="00DF798B">
        <w:t xml:space="preserve"> a circular health score ring </w:t>
      </w:r>
      <w:r w:rsidR="007F4B10">
        <w:t>divided</w:t>
      </w:r>
      <w:r w:rsidRPr="00DF798B">
        <w:t xml:space="preserve"> into </w:t>
      </w:r>
      <w:r w:rsidR="007F4B10">
        <w:t xml:space="preserve">a </w:t>
      </w:r>
      <w:r w:rsidRPr="00DF798B">
        <w:t>red</w:t>
      </w:r>
      <w:r w:rsidR="007F4B10">
        <w:t xml:space="preserve"> section</w:t>
      </w:r>
      <w:r w:rsidRPr="00DF798B">
        <w:t>, yellow</w:t>
      </w:r>
      <w:r w:rsidR="007F4B10">
        <w:t xml:space="preserve"> section</w:t>
      </w:r>
      <w:r w:rsidRPr="00DF798B">
        <w:t>, and green</w:t>
      </w:r>
      <w:r w:rsidR="007F4B10">
        <w:t xml:space="preserve"> section</w:t>
      </w:r>
      <w:r w:rsidRPr="00DF798B">
        <w:t xml:space="preserve"> to indicate the overall health impact. Each ingredient is listed with a color-coded tag</w:t>
      </w:r>
      <w:r w:rsidR="008D6710">
        <w:t xml:space="preserve"> on the left,</w:t>
      </w:r>
      <w:r w:rsidRPr="00DF798B">
        <w:t xml:space="preserve"> </w:t>
      </w:r>
      <w:r w:rsidRPr="00DF798B">
        <w:lastRenderedPageBreak/>
        <w:t>a brief description</w:t>
      </w:r>
      <w:r w:rsidR="008D6710">
        <w:t xml:space="preserve">, and a score of either unhealthy, neutral, or healthy for ingredients and high risk or moderate for allergens </w:t>
      </w:r>
      <w:r w:rsidR="000E6FA6">
        <w:t xml:space="preserve">and </w:t>
      </w:r>
      <w:r w:rsidR="008D6710">
        <w:t>additives</w:t>
      </w:r>
      <w:r w:rsidRPr="00DF798B">
        <w:t xml:space="preserve">. </w:t>
      </w:r>
      <w:r w:rsidR="008D6710">
        <w:t>Triangle i</w:t>
      </w:r>
      <w:r w:rsidRPr="00DF798B">
        <w:t xml:space="preserve">cons </w:t>
      </w:r>
      <w:r w:rsidR="003D7290">
        <w:t>are used to bring</w:t>
      </w:r>
      <w:r w:rsidRPr="00DF798B">
        <w:t xml:space="preserve"> user</w:t>
      </w:r>
      <w:r w:rsidR="003D7290">
        <w:t>’</w:t>
      </w:r>
      <w:r w:rsidRPr="00DF798B">
        <w:t>s</w:t>
      </w:r>
      <w:r w:rsidR="003D7290">
        <w:t xml:space="preserve"> attention</w:t>
      </w:r>
      <w:r w:rsidRPr="00DF798B">
        <w:t xml:space="preserve"> to allergens </w:t>
      </w:r>
      <w:r w:rsidR="0005579C">
        <w:t>and</w:t>
      </w:r>
      <w:r w:rsidR="00877C76">
        <w:t xml:space="preserve"> </w:t>
      </w:r>
      <w:r w:rsidRPr="00DF798B">
        <w:t>additives</w:t>
      </w:r>
      <w:r w:rsidR="00877C76">
        <w:t xml:space="preserve"> for each of the items</w:t>
      </w:r>
      <w:r w:rsidR="003D7290">
        <w:t xml:space="preserve">. At the bottom of this </w:t>
      </w:r>
      <w:r w:rsidR="00877C76">
        <w:t>screen,</w:t>
      </w:r>
      <w:r w:rsidR="003D7290">
        <w:t xml:space="preserve"> you see</w:t>
      </w:r>
      <w:r w:rsidRPr="00DF798B">
        <w:t xml:space="preserve"> a “Suggest Alternative” button</w:t>
      </w:r>
      <w:r w:rsidR="009D5C2E">
        <w:t xml:space="preserve"> which</w:t>
      </w:r>
      <w:r w:rsidRPr="00DF798B">
        <w:t xml:space="preserve"> allows users to explore cleaner options. This screen was designed</w:t>
      </w:r>
      <w:r w:rsidR="00D04AC8">
        <w:t xml:space="preserve"> for </w:t>
      </w:r>
      <w:r w:rsidRPr="00DF798B">
        <w:t>those who want to quickly assess snacks and avoid harmful ingredients</w:t>
      </w:r>
      <w:r w:rsidR="00D04AC8">
        <w:t xml:space="preserve"> including but not limited to parents, </w:t>
      </w:r>
      <w:r w:rsidR="00B751BD">
        <w:t xml:space="preserve">fitness enthusiasts, and </w:t>
      </w:r>
      <w:r w:rsidR="0005579C">
        <w:t>health-oriented</w:t>
      </w:r>
      <w:r w:rsidR="00B751BD">
        <w:t xml:space="preserve"> people.</w:t>
      </w:r>
    </w:p>
    <w:p w14:paraId="1CD54FF1" w14:textId="21BC224A" w:rsidR="00DF798B" w:rsidRPr="00DF798B" w:rsidRDefault="00DF798B" w:rsidP="00DF798B">
      <w:pPr>
        <w:spacing w:line="480" w:lineRule="auto"/>
        <w:ind w:firstLine="720"/>
        <w:jc w:val="both"/>
      </w:pPr>
      <w:r w:rsidRPr="00DF798B">
        <w:t xml:space="preserve">The </w:t>
      </w:r>
      <w:r w:rsidR="00271261">
        <w:t xml:space="preserve">Alternative Suggestions and share/save to favorites </w:t>
      </w:r>
      <w:r w:rsidRPr="00DF798B">
        <w:t xml:space="preserve">screen presents a recommended healthier product </w:t>
      </w:r>
      <w:r w:rsidR="009D66D7">
        <w:t>next to the</w:t>
      </w:r>
      <w:r w:rsidRPr="00DF798B">
        <w:t xml:space="preserve"> original</w:t>
      </w:r>
      <w:r w:rsidR="009D66D7">
        <w:t xml:space="preserve"> item including</w:t>
      </w:r>
      <w:r w:rsidRPr="00DF798B">
        <w:t xml:space="preserve"> product images, names, and </w:t>
      </w:r>
      <w:r w:rsidR="009D66D7">
        <w:t>ingredients list</w:t>
      </w:r>
      <w:r w:rsidR="002F31DA">
        <w:t xml:space="preserve"> similar but more compact when compared to the ingredient breakdown screen. This screen also has</w:t>
      </w:r>
      <w:r w:rsidRPr="00DF798B">
        <w:t xml:space="preserve"> buttons to save the item to Favorites or share it with others. This screen </w:t>
      </w:r>
      <w:r w:rsidR="00185BFB">
        <w:t>accommodates</w:t>
      </w:r>
      <w:r w:rsidRPr="00DF798B">
        <w:t xml:space="preserve"> users who track macros, manage dietary goals, or enjoy sharing clean options with friends. The Favorites screen provides a personalized archive of saved products, enabling users to revisit clean choices and organize them by category,</w:t>
      </w:r>
      <w:r w:rsidR="001F2F83">
        <w:t xml:space="preserve"> while</w:t>
      </w:r>
      <w:r w:rsidRPr="00DF798B">
        <w:t xml:space="preserve"> the Profile screen allows users to manage dietary preferences, </w:t>
      </w:r>
      <w:r w:rsidR="00EE2268">
        <w:t>user information, privacy</w:t>
      </w:r>
      <w:r w:rsidR="003D60EA">
        <w:t>/</w:t>
      </w:r>
      <w:r w:rsidR="00EE2268">
        <w:t>security options</w:t>
      </w:r>
      <w:r w:rsidRPr="00DF798B">
        <w:t>, and adjust settings, ensuring the app remains relevant and personalized</w:t>
      </w:r>
      <w:r w:rsidR="00EE2268">
        <w:t xml:space="preserve"> for each user</w:t>
      </w:r>
      <w:r w:rsidRPr="00DF798B">
        <w:t>.</w:t>
      </w:r>
    </w:p>
    <w:p w14:paraId="3E689602" w14:textId="670635BB" w:rsidR="00DF798B" w:rsidRPr="00DF798B" w:rsidRDefault="00DF798B" w:rsidP="00DF798B">
      <w:pPr>
        <w:spacing w:line="480" w:lineRule="auto"/>
        <w:ind w:firstLine="720"/>
        <w:jc w:val="both"/>
      </w:pPr>
      <w:r w:rsidRPr="00DF798B">
        <w:t xml:space="preserve">Each design decision was </w:t>
      </w:r>
      <w:r w:rsidR="005742D4">
        <w:t>built upon my</w:t>
      </w:r>
      <w:r w:rsidRPr="00DF798B">
        <w:t xml:space="preserve"> analysis and user research. The app draws inspiration from </w:t>
      </w:r>
      <w:r w:rsidR="005742D4">
        <w:t xml:space="preserve">similar apps like Yuka </w:t>
      </w:r>
      <w:r w:rsidR="00FB2CB0">
        <w:t>and FactsScan which are</w:t>
      </w:r>
      <w:r w:rsidRPr="00DF798B">
        <w:t xml:space="preserve"> existing food analysis apps. Yuka’s intuitive UX and color-coded scoring system influenced </w:t>
      </w:r>
      <w:r>
        <w:t>FoodScan</w:t>
      </w:r>
      <w:r w:rsidRPr="00DF798B">
        <w:t xml:space="preserve">’s visual simplicity and scan flow. FactsScan’s granular ingredient breakdown and alert system </w:t>
      </w:r>
      <w:r w:rsidR="00D64CCF">
        <w:t xml:space="preserve">was the </w:t>
      </w:r>
      <w:r w:rsidR="00185BFB">
        <w:t>groundwork</w:t>
      </w:r>
      <w:r w:rsidR="00F5223B">
        <w:t xml:space="preserve"> for</w:t>
      </w:r>
      <w:r w:rsidRPr="00DF798B">
        <w:t xml:space="preserve"> the detailed feedback and alternative suggestions</w:t>
      </w:r>
      <w:r w:rsidR="00F5223B">
        <w:t xml:space="preserve"> screens</w:t>
      </w:r>
      <w:r w:rsidRPr="00DF798B">
        <w:t xml:space="preserve">. User personas, </w:t>
      </w:r>
      <w:r w:rsidRPr="00DF798B">
        <w:lastRenderedPageBreak/>
        <w:t xml:space="preserve">including parents, health-conscious individuals, and accessibility-focused </w:t>
      </w:r>
      <w:r w:rsidR="002E2F2D">
        <w:t>users</w:t>
      </w:r>
      <w:r w:rsidRPr="00DF798B">
        <w:t xml:space="preserve">, </w:t>
      </w:r>
      <w:r w:rsidR="00F5223B">
        <w:t>helped me design</w:t>
      </w:r>
      <w:r w:rsidRPr="00DF798B">
        <w:t xml:space="preserve"> the </w:t>
      </w:r>
      <w:r w:rsidR="002E2F2D">
        <w:t>convenient</w:t>
      </w:r>
      <w:r w:rsidRPr="00DF798B">
        <w:t xml:space="preserve"> layout and </w:t>
      </w:r>
      <w:r w:rsidR="0045402B" w:rsidRPr="00DF798B">
        <w:t>featur</w:t>
      </w:r>
      <w:r w:rsidR="0045402B">
        <w:t>es</w:t>
      </w:r>
      <w:r w:rsidRPr="00DF798B">
        <w:t xml:space="preserve">. By adhering to Android and Apple design guidelines, </w:t>
      </w:r>
      <w:r>
        <w:t>FoodScan</w:t>
      </w:r>
      <w:r w:rsidRPr="00DF798B">
        <w:t xml:space="preserve"> ensures compliance with touch targets, contrast ratios, and navigation standards.</w:t>
      </w:r>
    </w:p>
    <w:p w14:paraId="4D4FB32D" w14:textId="0EBA449B" w:rsidR="00DF798B" w:rsidRPr="00DF798B" w:rsidRDefault="00DF798B" w:rsidP="00DF798B">
      <w:pPr>
        <w:spacing w:line="480" w:lineRule="auto"/>
        <w:ind w:firstLine="720"/>
        <w:jc w:val="both"/>
      </w:pPr>
      <w:r w:rsidRPr="00DF798B">
        <w:t xml:space="preserve">To extend </w:t>
      </w:r>
      <w:r>
        <w:t>FoodScan</w:t>
      </w:r>
      <w:r w:rsidRPr="00DF798B">
        <w:t xml:space="preserve">’s functionality across platforms, the wireframe can be adapted for digital watches using Wear OS best practices. On a smartwatch, priority content must be glanceable and </w:t>
      </w:r>
      <w:r w:rsidR="0045402B" w:rsidRPr="00DF798B">
        <w:t>time</w:t>
      </w:r>
      <w:r w:rsidR="0045402B">
        <w:t xml:space="preserve"> </w:t>
      </w:r>
      <w:r w:rsidR="0045402B" w:rsidRPr="00DF798B">
        <w:t>saving</w:t>
      </w:r>
      <w:r w:rsidRPr="00DF798B">
        <w:t xml:space="preserve">. The </w:t>
      </w:r>
      <w:r w:rsidR="00AC44CD">
        <w:t>Home and Scan</w:t>
      </w:r>
      <w:r w:rsidRPr="00DF798B">
        <w:t xml:space="preserve"> screen would be reduced to a</w:t>
      </w:r>
      <w:r w:rsidR="00E50CD3">
        <w:t xml:space="preserve"> </w:t>
      </w:r>
      <w:r w:rsidR="00185BFB">
        <w:t>scrolling</w:t>
      </w:r>
      <w:r w:rsidR="00E50CD3">
        <w:t xml:space="preserve"> and</w:t>
      </w:r>
      <w:r w:rsidRPr="00DF798B">
        <w:t xml:space="preserve"> single tap interface, allowing users to </w:t>
      </w:r>
      <w:r w:rsidR="00E50CD3">
        <w:t>jump into previously scanned items</w:t>
      </w:r>
      <w:r w:rsidRPr="00DF798B">
        <w:t xml:space="preserve"> from their wrist. The circular health score ring and alert icons would be displayed as swipeable cards, enabling users to quickly assess product health. Voice commands and haptic feedback would enhance accessibility, while </w:t>
      </w:r>
      <w:r w:rsidR="00E50CD3">
        <w:t>favorite edits</w:t>
      </w:r>
      <w:r w:rsidRPr="00DF798B">
        <w:t xml:space="preserve"> could </w:t>
      </w:r>
      <w:r w:rsidR="003D60EA" w:rsidRPr="00DF798B">
        <w:t>synchronize</w:t>
      </w:r>
      <w:r w:rsidRPr="00DF798B">
        <w:t xml:space="preserve"> with the mobile app for </w:t>
      </w:r>
      <w:r w:rsidR="00F017EF">
        <w:t>better integration.</w:t>
      </w:r>
      <w:r w:rsidRPr="00DF798B">
        <w:t xml:space="preserve"> This adaptation supports users who shop frequently and want instant </w:t>
      </w:r>
      <w:r w:rsidR="00F017EF">
        <w:t xml:space="preserve">access to </w:t>
      </w:r>
      <w:r w:rsidR="00185BFB">
        <w:t>an</w:t>
      </w:r>
      <w:r w:rsidR="00F017EF">
        <w:t xml:space="preserve"> item list</w:t>
      </w:r>
      <w:r w:rsidRPr="00DF798B">
        <w:t xml:space="preserve"> without pulling out their phones.</w:t>
      </w:r>
    </w:p>
    <w:p w14:paraId="0599A722" w14:textId="5275DB73" w:rsidR="00DF798B" w:rsidRPr="00DF798B" w:rsidRDefault="00DF798B" w:rsidP="00DF798B">
      <w:pPr>
        <w:spacing w:line="480" w:lineRule="auto"/>
        <w:ind w:firstLine="720"/>
        <w:jc w:val="both"/>
      </w:pPr>
      <w:r w:rsidRPr="00DF798B">
        <w:t xml:space="preserve">For touch-based kiosks, the wireframe would be expanded to leverage the larger screen real estate and accommodate group interaction. The </w:t>
      </w:r>
      <w:r w:rsidR="009E437B">
        <w:t>Home and Scan</w:t>
      </w:r>
      <w:r w:rsidRPr="00DF798B">
        <w:t xml:space="preserve"> screen would feature a full-screen scan interface with large touch targets. Ingredient breakdowns would be displayed in a vertical layout with expandable sections for each ingredient. The Alternative </w:t>
      </w:r>
      <w:r w:rsidR="00200CC5">
        <w:t>Suggestions and share/save to favorites</w:t>
      </w:r>
      <w:r w:rsidRPr="00DF798B">
        <w:t xml:space="preserve"> screen would present side-by-side comparisons in landscape orientation, allowing users to evaluate options clearly. Favorites and Profile features could be accessed via a sidebar or </w:t>
      </w:r>
      <w:r w:rsidR="00185BFB">
        <w:t>bottom</w:t>
      </w:r>
      <w:r w:rsidRPr="00DF798B">
        <w:t xml:space="preserve"> navigation menu. This adaptation is ideal for grocery stores or health food retailers, offering anonymous scanning and educational value for families and </w:t>
      </w:r>
      <w:r w:rsidR="00765004">
        <w:t>friends</w:t>
      </w:r>
      <w:r w:rsidRPr="00DF798B">
        <w:t>.</w:t>
      </w:r>
    </w:p>
    <w:p w14:paraId="42FA9CCF" w14:textId="41796B38" w:rsidR="00C63518" w:rsidRDefault="00DF798B" w:rsidP="00765004">
      <w:pPr>
        <w:spacing w:line="480" w:lineRule="auto"/>
        <w:ind w:firstLine="720"/>
        <w:jc w:val="both"/>
      </w:pPr>
      <w:r w:rsidRPr="00DF798B">
        <w:lastRenderedPageBreak/>
        <w:t xml:space="preserve">In both adaptations, priority content is preserved, and logical actions are streamlined to match the device’s capabilities. The smartwatch version emphasizes glanceability and speed, while the kiosk version focuses on clarity and interactivity. By following design best practices for wearables and large screens, </w:t>
      </w:r>
      <w:r>
        <w:t>FoodScan</w:t>
      </w:r>
      <w:r w:rsidRPr="00DF798B">
        <w:t xml:space="preserve"> maintains a </w:t>
      </w:r>
      <w:r w:rsidR="00765004" w:rsidRPr="00DF798B">
        <w:t>complete</w:t>
      </w:r>
      <w:r w:rsidR="000055B9">
        <w:t xml:space="preserve"> </w:t>
      </w:r>
      <w:r w:rsidR="00765004">
        <w:t xml:space="preserve">and </w:t>
      </w:r>
      <w:r w:rsidRPr="00DF798B">
        <w:t>user-friendly experience across platforms.</w:t>
      </w:r>
    </w:p>
    <w:sectPr w:rsidR="00C63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98B"/>
    <w:rsid w:val="000055B9"/>
    <w:rsid w:val="0005579C"/>
    <w:rsid w:val="00071ADD"/>
    <w:rsid w:val="000907FC"/>
    <w:rsid w:val="000E6FA6"/>
    <w:rsid w:val="00185BFB"/>
    <w:rsid w:val="001F2C16"/>
    <w:rsid w:val="001F2F83"/>
    <w:rsid w:val="00200CC5"/>
    <w:rsid w:val="00271261"/>
    <w:rsid w:val="002E2F2D"/>
    <w:rsid w:val="002F31DA"/>
    <w:rsid w:val="00325A3A"/>
    <w:rsid w:val="003D60EA"/>
    <w:rsid w:val="003D7290"/>
    <w:rsid w:val="0045402B"/>
    <w:rsid w:val="00510D3E"/>
    <w:rsid w:val="005742D4"/>
    <w:rsid w:val="00582616"/>
    <w:rsid w:val="00583621"/>
    <w:rsid w:val="00603D40"/>
    <w:rsid w:val="0067139F"/>
    <w:rsid w:val="006A56D5"/>
    <w:rsid w:val="006B14C9"/>
    <w:rsid w:val="006D351E"/>
    <w:rsid w:val="00710247"/>
    <w:rsid w:val="00765004"/>
    <w:rsid w:val="007F4B10"/>
    <w:rsid w:val="00877C76"/>
    <w:rsid w:val="008D6710"/>
    <w:rsid w:val="00961E83"/>
    <w:rsid w:val="009D39A8"/>
    <w:rsid w:val="009D5C2E"/>
    <w:rsid w:val="009D66D7"/>
    <w:rsid w:val="009E437B"/>
    <w:rsid w:val="00A004B1"/>
    <w:rsid w:val="00AC44CD"/>
    <w:rsid w:val="00AC46C9"/>
    <w:rsid w:val="00B751BD"/>
    <w:rsid w:val="00BE2BBD"/>
    <w:rsid w:val="00C03E3B"/>
    <w:rsid w:val="00C63518"/>
    <w:rsid w:val="00CC6BBC"/>
    <w:rsid w:val="00D04AC8"/>
    <w:rsid w:val="00D64CCF"/>
    <w:rsid w:val="00DF798B"/>
    <w:rsid w:val="00E50CD3"/>
    <w:rsid w:val="00EE2268"/>
    <w:rsid w:val="00F017EF"/>
    <w:rsid w:val="00F5223B"/>
    <w:rsid w:val="00F6328A"/>
    <w:rsid w:val="00F81567"/>
    <w:rsid w:val="00FB2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B78D"/>
  <w15:chartTrackingRefBased/>
  <w15:docId w15:val="{0E14912C-50E5-4D83-ACAC-A0D02ABC5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98B"/>
    <w:rPr>
      <w:rFonts w:eastAsiaTheme="majorEastAsia" w:cstheme="majorBidi"/>
      <w:color w:val="272727" w:themeColor="text1" w:themeTint="D8"/>
    </w:rPr>
  </w:style>
  <w:style w:type="paragraph" w:styleId="Title">
    <w:name w:val="Title"/>
    <w:basedOn w:val="Normal"/>
    <w:next w:val="Normal"/>
    <w:link w:val="TitleChar"/>
    <w:uiPriority w:val="10"/>
    <w:qFormat/>
    <w:rsid w:val="00DF7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98B"/>
    <w:pPr>
      <w:spacing w:before="160"/>
      <w:jc w:val="center"/>
    </w:pPr>
    <w:rPr>
      <w:i/>
      <w:iCs/>
      <w:color w:val="404040" w:themeColor="text1" w:themeTint="BF"/>
    </w:rPr>
  </w:style>
  <w:style w:type="character" w:customStyle="1" w:styleId="QuoteChar">
    <w:name w:val="Quote Char"/>
    <w:basedOn w:val="DefaultParagraphFont"/>
    <w:link w:val="Quote"/>
    <w:uiPriority w:val="29"/>
    <w:rsid w:val="00DF798B"/>
    <w:rPr>
      <w:i/>
      <w:iCs/>
      <w:color w:val="404040" w:themeColor="text1" w:themeTint="BF"/>
    </w:rPr>
  </w:style>
  <w:style w:type="paragraph" w:styleId="ListParagraph">
    <w:name w:val="List Paragraph"/>
    <w:basedOn w:val="Normal"/>
    <w:uiPriority w:val="34"/>
    <w:qFormat/>
    <w:rsid w:val="00DF798B"/>
    <w:pPr>
      <w:ind w:left="720"/>
      <w:contextualSpacing/>
    </w:pPr>
  </w:style>
  <w:style w:type="character" w:styleId="IntenseEmphasis">
    <w:name w:val="Intense Emphasis"/>
    <w:basedOn w:val="DefaultParagraphFont"/>
    <w:uiPriority w:val="21"/>
    <w:qFormat/>
    <w:rsid w:val="00DF798B"/>
    <w:rPr>
      <w:i/>
      <w:iCs/>
      <w:color w:val="0F4761" w:themeColor="accent1" w:themeShade="BF"/>
    </w:rPr>
  </w:style>
  <w:style w:type="paragraph" w:styleId="IntenseQuote">
    <w:name w:val="Intense Quote"/>
    <w:basedOn w:val="Normal"/>
    <w:next w:val="Normal"/>
    <w:link w:val="IntenseQuoteChar"/>
    <w:uiPriority w:val="30"/>
    <w:qFormat/>
    <w:rsid w:val="00DF7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98B"/>
    <w:rPr>
      <w:i/>
      <w:iCs/>
      <w:color w:val="0F4761" w:themeColor="accent1" w:themeShade="BF"/>
    </w:rPr>
  </w:style>
  <w:style w:type="character" w:styleId="IntenseReference">
    <w:name w:val="Intense Reference"/>
    <w:basedOn w:val="DefaultParagraphFont"/>
    <w:uiPriority w:val="32"/>
    <w:qFormat/>
    <w:rsid w:val="00DF798B"/>
    <w:rPr>
      <w:b/>
      <w:bCs/>
      <w:smallCaps/>
      <w:color w:val="0F4761" w:themeColor="accent1" w:themeShade="BF"/>
      <w:spacing w:val="5"/>
    </w:rPr>
  </w:style>
  <w:style w:type="paragraph" w:styleId="NoSpacing">
    <w:name w:val="No Spacing"/>
    <w:uiPriority w:val="1"/>
    <w:qFormat/>
    <w:rsid w:val="00DF798B"/>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870</Words>
  <Characters>5056</Characters>
  <Application>Microsoft Office Word</Application>
  <DocSecurity>0</DocSecurity>
  <Lines>82</Lines>
  <Paragraphs>16</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Miranda</dc:creator>
  <cp:keywords/>
  <dc:description/>
  <cp:lastModifiedBy>André Miranda</cp:lastModifiedBy>
  <cp:revision>47</cp:revision>
  <dcterms:created xsi:type="dcterms:W3CDTF">2025-09-24T01:44:00Z</dcterms:created>
  <dcterms:modified xsi:type="dcterms:W3CDTF">2025-10-02T21:20:00Z</dcterms:modified>
</cp:coreProperties>
</file>