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F5D802" w:sz="60" w:space="0"/>
          <w:left w:val="single" w:color="F5D802" w:sz="60" w:space="0"/>
          <w:bottom w:val="single" w:color="F5D802" w:sz="60" w:space="0"/>
          <w:right w:val="single" w:color="F5D802" w:sz="60" w:space="0"/>
        </w:pBdr>
        <w:shd w:fill="F5D802" w:val="clear"/>
        <w:spacing w:after="0" w:before="0" w:line="240"/>
      </w:pPr>
      <w:r>
        <w:rPr>
          <w:color w:val="F5D802"/>
          <w:sz w:val="2"/>
          <w:szCs w:val="2"/>
        </w:rPr>
        <w:t xml:space="preserve"> </w:t>
      </w:r>
    </w:p>
    <w:p>
      <w:pPr>
        <w:spacing w:after="280" w:before="900"/>
        <w:jc w:val="center"/>
      </w:pPr>
      <w:r>
        <w:drawing>
          <wp:inline distT="0" distB="0" distL="0" distR="0">
            <wp:extent cx="2286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86000" cy="2286000"/>
                    </a:xfrm>
                    <a:prstGeom prst="rect">
                      <a:avLst/>
                    </a:prstGeom>
                  </pic:spPr>
                </pic:pic>
              </a:graphicData>
            </a:graphic>
          </wp:inline>
        </w:drawing>
      </w:r>
    </w:p>
    <w:p>
      <w:pPr>
        <w:spacing w:after="80" w:before="0"/>
        <w:jc w:val="center"/>
      </w:pPr>
      <w:r>
        <w:rPr>
          <w:rFonts w:ascii="Arial" w:cs="Arial" w:eastAsia="Arial" w:hAnsi="Arial"/>
          <w:b/>
          <w:bCs/>
          <w:color w:val="1A1A1A"/>
          <w:sz w:val="36"/>
          <w:szCs w:val="36"/>
        </w:rPr>
        <w:t xml:space="preserve">TEAM </w:t>
      </w:r>
      <w:r>
        <w:rPr>
          <w:rFonts w:ascii="Arial" w:cs="Arial" w:eastAsia="Arial" w:hAnsi="Arial"/>
          <w:b/>
          <w:bCs/>
          <w:color w:val="E63027"/>
          <w:sz w:val="36"/>
          <w:szCs w:val="36"/>
        </w:rPr>
        <w:t xml:space="preserve">LEBOB</w:t>
      </w:r>
      <w:r>
        <w:rPr>
          <w:rFonts w:ascii="Arial" w:cs="Arial" w:eastAsia="Arial" w:hAnsi="Arial"/>
          <w:b/>
          <w:bCs/>
          <w:color w:val="1A1A1A"/>
          <w:sz w:val="36"/>
          <w:szCs w:val="36"/>
        </w:rPr>
        <w:t xml:space="preserve">  #3236</w:t>
      </w:r>
    </w:p>
    <w:p>
      <w:pPr>
        <w:spacing w:after="600" w:before="0"/>
        <w:jc w:val="center"/>
      </w:pPr>
      <w:r>
        <w:rPr>
          <w:rFonts w:ascii="Arial" w:cs="Arial" w:eastAsia="Arial" w:hAnsi="Arial"/>
          <w:b/>
          <w:bCs/>
          <w:color w:val="6B6B6B"/>
          <w:sz w:val="18"/>
          <w:szCs w:val="18"/>
        </w:rPr>
        <w:t xml:space="preserve">FIRST LEGO LEAGUE  ·  UNEARTHED  ·  AUSTRALIAN NATIONAL CHAMPIONS</w:t>
      </w:r>
    </w:p>
    <w:p>
      <w:pPr>
        <w:pBdr>
          <w:top w:val="none" w:color="FFFFFF" w:sz="0" w:space="0"/>
          <w:left w:val="none" w:color="FFFFFF" w:sz="0" w:space="0"/>
          <w:bottom w:val="single" w:color="E63027" w:sz="36" w:space="0"/>
          <w:right w:val="none" w:color="FFFFFF" w:sz="0" w:space="0"/>
        </w:pBdr>
        <w:spacing w:after="240" w:before="0"/>
        <w:jc w:val="center"/>
      </w:pPr>
      <w:r>
        <w:rPr>
          <w:sz w:val="2"/>
          <w:szCs w:val="2"/>
        </w:rPr>
        <w:t xml:space="preserve"> </w:t>
      </w:r>
    </w:p>
    <w:p>
      <w:pPr>
        <w:spacing w:after="200" w:before="0"/>
        <w:jc w:val="center"/>
      </w:pPr>
      <w:r>
        <w:rPr>
          <w:rFonts w:ascii="Arial" w:cs="Arial" w:eastAsia="Arial" w:hAnsi="Arial"/>
          <w:b/>
          <w:bCs/>
          <w:color w:val="1A1A1A"/>
          <w:sz w:val="80"/>
          <w:szCs w:val="80"/>
        </w:rPr>
        <w:t xml:space="preserve">INNOVATIONS</w:t>
      </w:r>
    </w:p>
    <w:p>
      <w:pPr>
        <w:spacing w:after="80" w:before="0"/>
        <w:jc w:val="center"/>
      </w:pPr>
      <w:r>
        <w:rPr>
          <w:rFonts w:ascii="Arial" w:cs="Arial" w:eastAsia="Arial" w:hAnsi="Arial"/>
          <w:b/>
          <w:bCs/>
          <w:color w:val="1A1A1A"/>
          <w:sz w:val="80"/>
          <w:szCs w:val="80"/>
        </w:rPr>
        <w:t xml:space="preserve">DOCUMENTATION</w:t>
      </w:r>
    </w:p>
    <w:p>
      <w:pPr>
        <w:spacing w:after="160" w:before="240"/>
        <w:jc w:val="center"/>
      </w:pPr>
      <w:r>
        <w:rPr>
          <w:rFonts w:ascii="Arial" w:cs="Arial" w:eastAsia="Arial" w:hAnsi="Arial"/>
          <w:b/>
          <w:bCs/>
          <w:color w:val="E63027"/>
          <w:sz w:val="44"/>
          <w:szCs w:val="44"/>
        </w:rPr>
        <w:t xml:space="preserve">SoftSense</w:t>
      </w:r>
    </w:p>
    <w:p>
      <w:pPr>
        <w:spacing w:after="700" w:before="0"/>
        <w:jc w:val="center"/>
      </w:pPr>
      <w:r>
        <w:rPr>
          <w:rFonts w:ascii="Arial" w:cs="Arial" w:eastAsia="Arial" w:hAnsi="Arial"/>
          <w:i/>
          <w:iCs/>
          <w:color w:val="1A1A1A"/>
          <w:sz w:val="24"/>
          <w:szCs w:val="24"/>
        </w:rPr>
        <w:t xml:space="preserve">A sensor-guided gripper for fragile underwater artefact recovery</w:t>
      </w:r>
    </w:p>
    <w:p>
      <w:pPr>
        <w:pBdr>
          <w:top w:val="none" w:color="FFFFFF" w:sz="0" w:space="0"/>
          <w:left w:val="none" w:color="FFFFFF" w:sz="0" w:space="0"/>
          <w:bottom w:val="single" w:color="F5D802" w:sz="24" w:space="0"/>
          <w:right w:val="none" w:color="FFFFFF" w:sz="0" w:space="0"/>
        </w:pBdr>
        <w:spacing w:after="0" w:before="200"/>
        <w:jc w:val="center"/>
      </w:pPr>
      <w:r>
        <w:rPr>
          <w:sz w:val="2"/>
          <w:szCs w:val="2"/>
        </w:rPr>
        <w:t xml:space="preserve"> </w:t>
      </w:r>
    </w:p>
    <w:p>
      <w:pPr>
        <w:spacing w:after="0" w:before="0"/>
        <w:jc w:val="center"/>
      </w:pPr>
      <w:r>
        <w:rPr>
          <w:rFonts w:ascii="Arial" w:cs="Arial" w:eastAsia="Arial" w:hAnsi="Arial"/>
          <w:b/>
          <w:bCs/>
          <w:color w:val="1A1A1A"/>
          <w:sz w:val="18"/>
          <w:szCs w:val="18"/>
        </w:rPr>
        <w:t xml:space="preserve">FLL UNEARTHED 2025 / 26  ·  KOREA OPEN INVITATIONAL, SEOUL  ·  JULY 2026</w:t>
      </w:r>
    </w:p>
    <w:p>
      <w:pPr>
        <w:sectPr>
          <w:headerReference w:type="default" r:id="rId7"/>
          <w:footerReference w:type="default" r:id="rId8"/>
          <w:pgSz w:w="12240" w:h="15840" w:orient="portrait"/>
          <w:pgMar w:top="720" w:right="1080" w:bottom="720" w:left="1080" w:header="708" w:footer="708" w:gutter="0"/>
          <w:pgNumType/>
          <w:titlePg/>
          <w:docGrid w:linePitch="360"/>
        </w:sectPr>
      </w:pPr>
    </w:p>
    <w:p>
      <w:pPr>
        <w:pStyle w:val="Heading1"/>
        <w:pBdr>
          <w:top w:val="none" w:color="FFFFFF" w:sz="0" w:space="0"/>
          <w:left w:val="none" w:color="FFFFFF" w:sz="0" w:space="0"/>
          <w:bottom w:val="single" w:color="F5D802" w:sz="18" w:space="4"/>
          <w:right w:val="none" w:color="FFFFFF" w:sz="0" w:space="0"/>
        </w:pBdr>
        <w:spacing w:after="200" w:before="320"/>
      </w:pPr>
      <w:r>
        <w:rPr>
          <w:rFonts w:ascii="Arial" w:cs="Arial" w:eastAsia="Arial" w:hAnsi="Arial"/>
          <w:b/>
          <w:bCs/>
          <w:color w:val="1A1A1A"/>
          <w:sz w:val="36"/>
          <w:szCs w:val="36"/>
        </w:rPr>
        <w:t xml:space="preserve">Contents</w:t>
      </w:r>
    </w:p>
    <w:p>
      <w:pPr>
        <w:tabs>
          <w:tab w:val="right" w:pos="9310" w:leader="dot"/>
        </w:tabs>
        <w:spacing w:after="60" w:before="60" w:line="320"/>
      </w:pPr>
      <w:r>
        <w:rPr>
          <w:rFonts w:ascii="Arial" w:cs="Arial" w:eastAsia="Arial" w:hAnsi="Arial"/>
          <w:color w:val="1A1A1A"/>
          <w:sz w:val="22"/>
          <w:szCs w:val="22"/>
        </w:rPr>
        <w:t xml:space="preserve">1. The problem we set out to solve</w:t>
      </w:r>
      <w:r>
        <w:rPr>
          <w:rFonts w:ascii="Arial" w:cs="Arial" w:eastAsia="Arial" w:hAnsi="Arial"/>
          <w:sz w:val="22"/>
          <w:szCs w:val="22"/>
        </w:rPr>
        <w:t xml:space="preserve">	</w:t>
      </w:r>
      <w:r>
        <w:rPr>
          <w:rFonts w:ascii="Arial" w:cs="Arial" w:eastAsia="Arial" w:hAnsi="Arial"/>
          <w:b/>
          <w:bCs/>
          <w:color w:val="1A1A1A"/>
          <w:sz w:val="22"/>
          <w:szCs w:val="22"/>
        </w:rPr>
        <w:t xml:space="preserve">2</w:t>
      </w:r>
    </w:p>
    <w:p>
      <w:pPr>
        <w:tabs>
          <w:tab w:val="right" w:pos="9310" w:leader="dot"/>
        </w:tabs>
        <w:spacing w:after="60" w:before="60" w:line="320"/>
      </w:pPr>
      <w:r>
        <w:rPr>
          <w:rFonts w:ascii="Arial" w:cs="Arial" w:eastAsia="Arial" w:hAnsi="Arial"/>
          <w:color w:val="1A1A1A"/>
          <w:sz w:val="22"/>
          <w:szCs w:val="22"/>
        </w:rPr>
        <w:t xml:space="preserve">2. How the team works</w:t>
      </w:r>
      <w:r>
        <w:rPr>
          <w:rFonts w:ascii="Arial" w:cs="Arial" w:eastAsia="Arial" w:hAnsi="Arial"/>
          <w:sz w:val="22"/>
          <w:szCs w:val="22"/>
        </w:rPr>
        <w:t xml:space="preserve">	</w:t>
      </w:r>
      <w:r>
        <w:rPr>
          <w:rFonts w:ascii="Arial" w:cs="Arial" w:eastAsia="Arial" w:hAnsi="Arial"/>
          <w:b/>
          <w:bCs/>
          <w:color w:val="1A1A1A"/>
          <w:sz w:val="22"/>
          <w:szCs w:val="22"/>
        </w:rPr>
        <w:t xml:space="preserve">5</w:t>
      </w:r>
    </w:p>
    <w:p>
      <w:pPr>
        <w:tabs>
          <w:tab w:val="right" w:pos="9310" w:leader="dot"/>
        </w:tabs>
        <w:spacing w:after="60" w:before="60" w:line="320"/>
      </w:pPr>
      <w:r>
        <w:rPr>
          <w:rFonts w:ascii="Arial" w:cs="Arial" w:eastAsia="Arial" w:hAnsi="Arial"/>
          <w:color w:val="1A1A1A"/>
          <w:sz w:val="22"/>
          <w:szCs w:val="22"/>
        </w:rPr>
        <w:t xml:space="preserve">3. Our solution: the four innovations of SoftSense</w:t>
      </w:r>
      <w:r>
        <w:rPr>
          <w:rFonts w:ascii="Arial" w:cs="Arial" w:eastAsia="Arial" w:hAnsi="Arial"/>
          <w:sz w:val="22"/>
          <w:szCs w:val="22"/>
        </w:rPr>
        <w:t xml:space="preserve">	</w:t>
      </w:r>
      <w:r>
        <w:rPr>
          <w:rFonts w:ascii="Arial" w:cs="Arial" w:eastAsia="Arial" w:hAnsi="Arial"/>
          <w:b/>
          <w:bCs/>
          <w:color w:val="1A1A1A"/>
          <w:sz w:val="22"/>
          <w:szCs w:val="22"/>
        </w:rPr>
        <w:t xml:space="preserve">11</w:t>
      </w:r>
    </w:p>
    <w:p>
      <w:pPr>
        <w:tabs>
          <w:tab w:val="right" w:pos="9310" w:leader="dot"/>
        </w:tabs>
        <w:spacing w:after="60" w:before="60" w:line="320"/>
      </w:pPr>
      <w:r>
        <w:rPr>
          <w:rFonts w:ascii="Arial" w:cs="Arial" w:eastAsia="Arial" w:hAnsi="Arial"/>
          <w:color w:val="1A1A1A"/>
          <w:sz w:val="22"/>
          <w:szCs w:val="22"/>
        </w:rPr>
        <w:t xml:space="preserve">4. The mechanism in detail</w:t>
      </w:r>
      <w:r>
        <w:rPr>
          <w:rFonts w:ascii="Arial" w:cs="Arial" w:eastAsia="Arial" w:hAnsi="Arial"/>
          <w:sz w:val="22"/>
          <w:szCs w:val="22"/>
        </w:rPr>
        <w:t xml:space="preserve">	</w:t>
      </w:r>
      <w:r>
        <w:rPr>
          <w:rFonts w:ascii="Arial" w:cs="Arial" w:eastAsia="Arial" w:hAnsi="Arial"/>
          <w:b/>
          <w:bCs/>
          <w:color w:val="1A1A1A"/>
          <w:sz w:val="22"/>
          <w:szCs w:val="22"/>
        </w:rPr>
        <w:t xml:space="preserve">14</w:t>
      </w:r>
    </w:p>
    <w:p>
      <w:pPr>
        <w:tabs>
          <w:tab w:val="right" w:pos="9310" w:leader="dot"/>
        </w:tabs>
        <w:spacing w:after="60" w:before="60" w:line="320"/>
      </w:pPr>
      <w:r>
        <w:rPr>
          <w:rFonts w:ascii="Arial" w:cs="Arial" w:eastAsia="Arial" w:hAnsi="Arial"/>
          <w:color w:val="1A1A1A"/>
          <w:sz w:val="22"/>
          <w:szCs w:val="22"/>
        </w:rPr>
        <w:t xml:space="preserve">5. How we built the fingers: finger structural FEA</w:t>
      </w:r>
      <w:r>
        <w:rPr>
          <w:rFonts w:ascii="Arial" w:cs="Arial" w:eastAsia="Arial" w:hAnsi="Arial"/>
          <w:sz w:val="22"/>
          <w:szCs w:val="22"/>
        </w:rPr>
        <w:t xml:space="preserve">	</w:t>
      </w:r>
      <w:r>
        <w:rPr>
          <w:rFonts w:ascii="Arial" w:cs="Arial" w:eastAsia="Arial" w:hAnsi="Arial"/>
          <w:b/>
          <w:bCs/>
          <w:color w:val="1A1A1A"/>
          <w:sz w:val="22"/>
          <w:szCs w:val="22"/>
        </w:rPr>
        <w:t xml:space="preserve">17</w:t>
      </w:r>
    </w:p>
    <w:p>
      <w:pPr>
        <w:tabs>
          <w:tab w:val="right" w:pos="9310" w:leader="dot"/>
        </w:tabs>
        <w:spacing w:after="60" w:before="60" w:line="320"/>
      </w:pPr>
      <w:r>
        <w:rPr>
          <w:rFonts w:ascii="Arial" w:cs="Arial" w:eastAsia="Arial" w:hAnsi="Arial"/>
          <w:color w:val="1A1A1A"/>
          <w:sz w:val="22"/>
          <w:szCs w:val="22"/>
        </w:rPr>
        <w:t xml:space="preserve">6. How we chose the grip surface: texture optimisation</w:t>
      </w:r>
      <w:r>
        <w:rPr>
          <w:rFonts w:ascii="Arial" w:cs="Arial" w:eastAsia="Arial" w:hAnsi="Arial"/>
          <w:sz w:val="22"/>
          <w:szCs w:val="22"/>
        </w:rPr>
        <w:t xml:space="preserve">	</w:t>
      </w:r>
      <w:r>
        <w:rPr>
          <w:rFonts w:ascii="Arial" w:cs="Arial" w:eastAsia="Arial" w:hAnsi="Arial"/>
          <w:b/>
          <w:bCs/>
          <w:color w:val="1A1A1A"/>
          <w:sz w:val="22"/>
          <w:szCs w:val="22"/>
        </w:rPr>
        <w:t xml:space="preserve">26</w:t>
      </w:r>
    </w:p>
    <w:p>
      <w:pPr>
        <w:tabs>
          <w:tab w:val="right" w:pos="9310" w:leader="dot"/>
        </w:tabs>
        <w:spacing w:after="60" w:before="60" w:line="320"/>
      </w:pPr>
      <w:r>
        <w:rPr>
          <w:rFonts w:ascii="Arial" w:cs="Arial" w:eastAsia="Arial" w:hAnsi="Arial"/>
          <w:color w:val="1A1A1A"/>
          <w:sz w:val="22"/>
          <w:szCs w:val="22"/>
        </w:rPr>
        <w:t xml:space="preserve">7. The motor study: sensing through the actuator</w:t>
      </w:r>
      <w:r>
        <w:rPr>
          <w:rFonts w:ascii="Arial" w:cs="Arial" w:eastAsia="Arial" w:hAnsi="Arial"/>
          <w:sz w:val="22"/>
          <w:szCs w:val="22"/>
        </w:rPr>
        <w:t xml:space="preserve">	</w:t>
      </w:r>
      <w:r>
        <w:rPr>
          <w:rFonts w:ascii="Arial" w:cs="Arial" w:eastAsia="Arial" w:hAnsi="Arial"/>
          <w:b/>
          <w:bCs/>
          <w:color w:val="1A1A1A"/>
          <w:sz w:val="22"/>
          <w:szCs w:val="22"/>
        </w:rPr>
        <w:t xml:space="preserve">31</w:t>
      </w:r>
    </w:p>
    <w:p>
      <w:pPr>
        <w:tabs>
          <w:tab w:val="right" w:pos="9310" w:leader="dot"/>
        </w:tabs>
        <w:spacing w:after="60" w:before="60" w:line="320"/>
      </w:pPr>
      <w:r>
        <w:rPr>
          <w:rFonts w:ascii="Arial" w:cs="Arial" w:eastAsia="Arial" w:hAnsi="Arial"/>
          <w:color w:val="1A1A1A"/>
          <w:sz w:val="22"/>
          <w:szCs w:val="22"/>
        </w:rPr>
        <w:t xml:space="preserve">8. The drivetrain and the structural finding we own</w:t>
      </w:r>
      <w:r>
        <w:rPr>
          <w:rFonts w:ascii="Arial" w:cs="Arial" w:eastAsia="Arial" w:hAnsi="Arial"/>
          <w:sz w:val="22"/>
          <w:szCs w:val="22"/>
        </w:rPr>
        <w:t xml:space="preserve">	</w:t>
      </w:r>
      <w:r>
        <w:rPr>
          <w:rFonts w:ascii="Arial" w:cs="Arial" w:eastAsia="Arial" w:hAnsi="Arial"/>
          <w:b/>
          <w:bCs/>
          <w:color w:val="1A1A1A"/>
          <w:sz w:val="22"/>
          <w:szCs w:val="22"/>
        </w:rPr>
        <w:t xml:space="preserve">35</w:t>
      </w:r>
    </w:p>
    <w:p>
      <w:pPr>
        <w:tabs>
          <w:tab w:val="right" w:pos="9310" w:leader="dot"/>
        </w:tabs>
        <w:spacing w:after="60" w:before="60" w:line="320"/>
      </w:pPr>
      <w:r>
        <w:rPr>
          <w:rFonts w:ascii="Arial" w:cs="Arial" w:eastAsia="Arial" w:hAnsi="Arial"/>
          <w:color w:val="1A1A1A"/>
          <w:sz w:val="22"/>
          <w:szCs w:val="22"/>
        </w:rPr>
        <w:t xml:space="preserve">9. Materials, design-for-additive, and the print profile</w:t>
      </w:r>
      <w:r>
        <w:rPr>
          <w:rFonts w:ascii="Arial" w:cs="Arial" w:eastAsia="Arial" w:hAnsi="Arial"/>
          <w:sz w:val="22"/>
          <w:szCs w:val="22"/>
        </w:rPr>
        <w:t xml:space="preserve">	</w:t>
      </w:r>
      <w:r>
        <w:rPr>
          <w:rFonts w:ascii="Arial" w:cs="Arial" w:eastAsia="Arial" w:hAnsi="Arial"/>
          <w:b/>
          <w:bCs/>
          <w:color w:val="1A1A1A"/>
          <w:sz w:val="22"/>
          <w:szCs w:val="22"/>
        </w:rPr>
        <w:t xml:space="preserve">38</w:t>
      </w:r>
    </w:p>
    <w:p>
      <w:pPr>
        <w:tabs>
          <w:tab w:val="right" w:pos="9310" w:leader="dot"/>
        </w:tabs>
        <w:spacing w:after="60" w:before="60" w:line="320"/>
      </w:pPr>
      <w:r>
        <w:rPr>
          <w:rFonts w:ascii="Arial" w:cs="Arial" w:eastAsia="Arial" w:hAnsi="Arial"/>
          <w:color w:val="1A1A1A"/>
          <w:sz w:val="22"/>
          <w:szCs w:val="22"/>
        </w:rPr>
        <w:t xml:space="preserve">10. Running it underwater: the seawater audit</w:t>
      </w:r>
      <w:r>
        <w:rPr>
          <w:rFonts w:ascii="Arial" w:cs="Arial" w:eastAsia="Arial" w:hAnsi="Arial"/>
          <w:sz w:val="22"/>
          <w:szCs w:val="22"/>
        </w:rPr>
        <w:t xml:space="preserve">	</w:t>
      </w:r>
      <w:r>
        <w:rPr>
          <w:rFonts w:ascii="Arial" w:cs="Arial" w:eastAsia="Arial" w:hAnsi="Arial"/>
          <w:b/>
          <w:bCs/>
          <w:color w:val="1A1A1A"/>
          <w:sz w:val="22"/>
          <w:szCs w:val="22"/>
        </w:rPr>
        <w:t xml:space="preserve">44</w:t>
      </w:r>
    </w:p>
    <w:p>
      <w:pPr>
        <w:tabs>
          <w:tab w:val="right" w:pos="9310" w:leader="dot"/>
        </w:tabs>
        <w:spacing w:after="60" w:before="60" w:line="320"/>
      </w:pPr>
      <w:r>
        <w:rPr>
          <w:rFonts w:ascii="Arial" w:cs="Arial" w:eastAsia="Arial" w:hAnsi="Arial"/>
          <w:color w:val="1A1A1A"/>
          <w:sz w:val="22"/>
          <w:szCs w:val="22"/>
        </w:rPr>
        <w:t xml:space="preserve">11. Assembly: 17 printed parts, zero hardware</w:t>
      </w:r>
      <w:r>
        <w:rPr>
          <w:rFonts w:ascii="Arial" w:cs="Arial" w:eastAsia="Arial" w:hAnsi="Arial"/>
          <w:sz w:val="22"/>
          <w:szCs w:val="22"/>
        </w:rPr>
        <w:t xml:space="preserve">	</w:t>
      </w:r>
      <w:r>
        <w:rPr>
          <w:rFonts w:ascii="Arial" w:cs="Arial" w:eastAsia="Arial" w:hAnsi="Arial"/>
          <w:b/>
          <w:bCs/>
          <w:color w:val="1A1A1A"/>
          <w:sz w:val="22"/>
          <w:szCs w:val="22"/>
        </w:rPr>
        <w:t xml:space="preserve">46</w:t>
      </w:r>
    </w:p>
    <w:p>
      <w:pPr>
        <w:tabs>
          <w:tab w:val="right" w:pos="9310" w:leader="dot"/>
        </w:tabs>
        <w:spacing w:after="60" w:before="60" w:line="320"/>
      </w:pPr>
      <w:r>
        <w:rPr>
          <w:rFonts w:ascii="Arial" w:cs="Arial" w:eastAsia="Arial" w:hAnsi="Arial"/>
          <w:color w:val="1A1A1A"/>
          <w:sz w:val="22"/>
          <w:szCs w:val="22"/>
        </w:rPr>
        <w:t xml:space="preserve">12. ROV integration and mounting interfaces</w:t>
      </w:r>
      <w:r>
        <w:rPr>
          <w:rFonts w:ascii="Arial" w:cs="Arial" w:eastAsia="Arial" w:hAnsi="Arial"/>
          <w:sz w:val="22"/>
          <w:szCs w:val="22"/>
        </w:rPr>
        <w:t xml:space="preserve">	</w:t>
      </w:r>
      <w:r>
        <w:rPr>
          <w:rFonts w:ascii="Arial" w:cs="Arial" w:eastAsia="Arial" w:hAnsi="Arial"/>
          <w:b/>
          <w:bCs/>
          <w:color w:val="1A1A1A"/>
          <w:sz w:val="22"/>
          <w:szCs w:val="22"/>
        </w:rPr>
        <w:t xml:space="preserve">50</w:t>
      </w:r>
    </w:p>
    <w:p>
      <w:pPr>
        <w:tabs>
          <w:tab w:val="right" w:pos="9310" w:leader="dot"/>
        </w:tabs>
        <w:spacing w:after="60" w:before="60" w:line="320"/>
      </w:pPr>
      <w:r>
        <w:rPr>
          <w:rFonts w:ascii="Arial" w:cs="Arial" w:eastAsia="Arial" w:hAnsi="Arial"/>
          <w:color w:val="1A1A1A"/>
          <w:sz w:val="22"/>
          <w:szCs w:val="22"/>
        </w:rPr>
        <w:t xml:space="preserve">13. Testing, validation, and the bench plan</w:t>
      </w:r>
      <w:r>
        <w:rPr>
          <w:rFonts w:ascii="Arial" w:cs="Arial" w:eastAsia="Arial" w:hAnsi="Arial"/>
          <w:sz w:val="22"/>
          <w:szCs w:val="22"/>
        </w:rPr>
        <w:t xml:space="preserve">	</w:t>
      </w:r>
      <w:r>
        <w:rPr>
          <w:rFonts w:ascii="Arial" w:cs="Arial" w:eastAsia="Arial" w:hAnsi="Arial"/>
          <w:b/>
          <w:bCs/>
          <w:color w:val="1A1A1A"/>
          <w:sz w:val="22"/>
          <w:szCs w:val="22"/>
        </w:rPr>
        <w:t xml:space="preserve">53</w:t>
      </w:r>
    </w:p>
    <w:p>
      <w:pPr>
        <w:tabs>
          <w:tab w:val="right" w:pos="9310" w:leader="dot"/>
        </w:tabs>
        <w:spacing w:after="60" w:before="60" w:line="320"/>
      </w:pPr>
      <w:r>
        <w:rPr>
          <w:rFonts w:ascii="Arial" w:cs="Arial" w:eastAsia="Arial" w:hAnsi="Arial"/>
          <w:color w:val="1A1A1A"/>
          <w:sz w:val="22"/>
          <w:szCs w:val="22"/>
        </w:rPr>
        <w:t xml:space="preserve">14. TRL self-assessment and operating boundaries</w:t>
      </w:r>
      <w:r>
        <w:rPr>
          <w:rFonts w:ascii="Arial" w:cs="Arial" w:eastAsia="Arial" w:hAnsi="Arial"/>
          <w:sz w:val="22"/>
          <w:szCs w:val="22"/>
        </w:rPr>
        <w:t xml:space="preserve">	</w:t>
      </w:r>
      <w:r>
        <w:rPr>
          <w:rFonts w:ascii="Arial" w:cs="Arial" w:eastAsia="Arial" w:hAnsi="Arial"/>
          <w:b/>
          <w:bCs/>
          <w:color w:val="1A1A1A"/>
          <w:sz w:val="22"/>
          <w:szCs w:val="22"/>
        </w:rPr>
        <w:t xml:space="preserve">55</w:t>
      </w:r>
    </w:p>
    <w:p>
      <w:pPr>
        <w:tabs>
          <w:tab w:val="right" w:pos="9310" w:leader="dot"/>
        </w:tabs>
        <w:spacing w:after="60" w:before="60" w:line="320"/>
      </w:pPr>
      <w:r>
        <w:rPr>
          <w:rFonts w:ascii="Arial" w:cs="Arial" w:eastAsia="Arial" w:hAnsi="Arial"/>
          <w:color w:val="1A1A1A"/>
          <w:sz w:val="22"/>
          <w:szCs w:val="22"/>
        </w:rPr>
        <w:t xml:space="preserve">15. Test data from the FLL bench set</w:t>
      </w:r>
      <w:r>
        <w:rPr>
          <w:rFonts w:ascii="Arial" w:cs="Arial" w:eastAsia="Arial" w:hAnsi="Arial"/>
          <w:sz w:val="22"/>
          <w:szCs w:val="22"/>
        </w:rPr>
        <w:t xml:space="preserve">	</w:t>
      </w:r>
      <w:r>
        <w:rPr>
          <w:rFonts w:ascii="Arial" w:cs="Arial" w:eastAsia="Arial" w:hAnsi="Arial"/>
          <w:b/>
          <w:bCs/>
          <w:color w:val="1A1A1A"/>
          <w:sz w:val="22"/>
          <w:szCs w:val="22"/>
        </w:rPr>
        <w:t xml:space="preserve">57</w:t>
      </w:r>
    </w:p>
    <w:p>
      <w:pPr>
        <w:tabs>
          <w:tab w:val="right" w:pos="9310" w:leader="dot"/>
        </w:tabs>
        <w:spacing w:after="60" w:before="60" w:line="320"/>
      </w:pPr>
      <w:r>
        <w:rPr>
          <w:rFonts w:ascii="Arial" w:cs="Arial" w:eastAsia="Arial" w:hAnsi="Arial"/>
          <w:color w:val="1A1A1A"/>
          <w:sz w:val="22"/>
          <w:szCs w:val="22"/>
        </w:rPr>
        <w:t xml:space="preserve">16. Expert validation and outreach</w:t>
      </w:r>
      <w:r>
        <w:rPr>
          <w:rFonts w:ascii="Arial" w:cs="Arial" w:eastAsia="Arial" w:hAnsi="Arial"/>
          <w:sz w:val="22"/>
          <w:szCs w:val="22"/>
        </w:rPr>
        <w:t xml:space="preserve">	</w:t>
      </w:r>
      <w:r>
        <w:rPr>
          <w:rFonts w:ascii="Arial" w:cs="Arial" w:eastAsia="Arial" w:hAnsi="Arial"/>
          <w:b/>
          <w:bCs/>
          <w:color w:val="1A1A1A"/>
          <w:sz w:val="22"/>
          <w:szCs w:val="22"/>
        </w:rPr>
        <w:t xml:space="preserve">58</w:t>
      </w:r>
    </w:p>
    <w:p>
      <w:pPr>
        <w:tabs>
          <w:tab w:val="right" w:pos="9310" w:leader="dot"/>
        </w:tabs>
        <w:spacing w:after="60" w:before="60" w:line="320"/>
      </w:pPr>
      <w:r>
        <w:rPr>
          <w:rFonts w:ascii="Arial" w:cs="Arial" w:eastAsia="Arial" w:hAnsi="Arial"/>
          <w:color w:val="1A1A1A"/>
          <w:sz w:val="22"/>
          <w:szCs w:val="22"/>
        </w:rPr>
        <w:t xml:space="preserve">17. Scaling to artefact size: the 1.5× and 2.0× build</w:t>
      </w:r>
      <w:r>
        <w:rPr>
          <w:rFonts w:ascii="Arial" w:cs="Arial" w:eastAsia="Arial" w:hAnsi="Arial"/>
          <w:sz w:val="22"/>
          <w:szCs w:val="22"/>
        </w:rPr>
        <w:t xml:space="preserve">	</w:t>
      </w:r>
      <w:r>
        <w:rPr>
          <w:rFonts w:ascii="Arial" w:cs="Arial" w:eastAsia="Arial" w:hAnsi="Arial"/>
          <w:b/>
          <w:bCs/>
          <w:color w:val="1A1A1A"/>
          <w:sz w:val="22"/>
          <w:szCs w:val="22"/>
        </w:rPr>
        <w:t xml:space="preserve">60</w:t>
      </w:r>
    </w:p>
    <w:p>
      <w:pPr>
        <w:tabs>
          <w:tab w:val="right" w:pos="9310" w:leader="dot"/>
        </w:tabs>
        <w:spacing w:after="60" w:before="60" w:line="320"/>
      </w:pPr>
      <w:r>
        <w:rPr>
          <w:rFonts w:ascii="Arial" w:cs="Arial" w:eastAsia="Arial" w:hAnsi="Arial"/>
          <w:color w:val="1A1A1A"/>
          <w:sz w:val="22"/>
          <w:szCs w:val="22"/>
        </w:rPr>
        <w:t>18. What is proven, what is not, and what comes next</w:t>
      </w:r>
      <w:r>
        <w:rPr>
          <w:rFonts w:ascii="Arial" w:cs="Arial" w:eastAsia="Arial" w:hAnsi="Arial"/>
          <w:sz w:val="22"/>
          <w:szCs w:val="22"/>
        </w:rPr>
        <w:t xml:space="preserve">	</w:t>
      </w:r>
      <w:r>
        <w:rPr>
          <w:rFonts w:ascii="Arial" w:cs="Arial" w:eastAsia="Arial" w:hAnsi="Arial"/>
          <w:b/>
          <w:bCs/>
          <w:color w:val="1A1A1A"/>
          <w:sz w:val="22"/>
          <w:szCs w:val="22"/>
        </w:rPr>
        <w:t>63</w:t>
      </w:r>
    </w:p>
    <w:p>
      <w:pPr>
        <w:tabs>
          <w:tab w:val="right" w:pos="9310" w:leader="dot"/>
        </w:tabs>
        <w:spacing w:after="60" w:before="60" w:line="320"/>
      </w:pPr>
      <w:r>
        <w:rPr>
          <w:rFonts w:ascii="Arial" w:cs="Arial" w:eastAsia="Arial" w:hAnsi="Arial"/>
          <w:color w:val="1A1A1A"/>
          <w:sz w:val="22"/>
          <w:szCs w:val="22"/>
        </w:rPr>
        <w:t>19. Sources and citation provenance</w:t>
      </w:r>
      <w:r>
        <w:rPr>
          <w:rFonts w:ascii="Arial" w:cs="Arial" w:eastAsia="Arial" w:hAnsi="Arial"/>
          <w:sz w:val="22"/>
          <w:szCs w:val="22"/>
        </w:rPr>
        <w:t xml:space="preserve">	</w:t>
      </w:r>
      <w:r>
        <w:rPr>
          <w:rFonts w:ascii="Arial" w:cs="Arial" w:eastAsia="Arial" w:hAnsi="Arial"/>
          <w:b/>
          <w:bCs/>
          <w:color w:val="1A1A1A"/>
          <w:sz w:val="22"/>
          <w:szCs w:val="22"/>
        </w:rPr>
        <w:t>65</w:t>
      </w:r>
    </w:p>
    <w:p>
      <w:r>
        <w:br w:type="page"/>
      </w:r>
    </w:p>
    <w:p>
      <w:pPr>
        <w:pStyle w:val="Heading1"/>
        <w:pBdr>
          <w:top w:val="none" w:color="FFFFFF" w:sz="0" w:space="0"/>
          <w:left w:val="none" w:color="FFFFFF" w:sz="0" w:space="0"/>
          <w:bottom w:val="single" w:color="F5D802" w:sz="18" w:space="4"/>
          <w:right w:val="none" w:color="FFFFFF" w:sz="0" w:space="0"/>
        </w:pBdr>
        <w:spacing w:after="200" w:before="320"/>
      </w:pPr>
      <w:r>
        <w:rPr>
          <w:rFonts w:ascii="Arial" w:cs="Arial" w:eastAsia="Arial" w:hAnsi="Arial"/>
          <w:b/>
          <w:bCs/>
          <w:color w:val="1A1A1A"/>
          <w:sz w:val="36"/>
          <w:szCs w:val="36"/>
        </w:rPr>
        <w:t xml:space="preserve">1. The problem we set out to solve</w:t>
      </w:r>
    </w:p>
    <w:p>
      <w:pPr>
        <w:spacing w:after="100" w:before="0" w:line="300"/>
      </w:pPr>
      <w:r>
        <w:rPr>
          <w:rFonts w:ascii="Arial" w:cs="Arial" w:eastAsia="Arial" w:hAnsi="Arial"/>
          <w:b w:val="false"/>
          <w:bCs w:val="false"/>
          <w:i w:val="false"/>
          <w:iCs w:val="false"/>
          <w:color w:val="1A1A1A"/>
          <w:sz w:val="22"/>
          <w:szCs w:val="22"/>
        </w:rPr>
        <w:t xml:space="preserve">We are Team Lebob, FLL Team #3236 from Perth, Western Australia, and we are the 2025 / 26 Australian National Champions of the UNEARTHED season. SoftSense is our Innovation Project. It is a low-cost, sensor-guided ROV gripper designed for one job: recovering fragile artefacts from the seafloor without destroying them.</w:t>
      </w:r>
    </w:p>
    <w:p>
      <w:pPr>
        <w:pStyle w:val="Heading2"/>
        <w:spacing w:after="140" w:before="280"/>
      </w:pPr>
      <w:r>
        <w:rPr>
          <w:rFonts w:ascii="Arial" w:cs="Arial" w:eastAsia="Arial" w:hAnsi="Arial"/>
          <w:b/>
          <w:bCs/>
          <w:color w:val="1A1A1A"/>
          <w:sz w:val="26"/>
          <w:szCs w:val="26"/>
        </w:rPr>
        <w:t xml:space="preserve">Why underwater archaeology</w:t>
      </w:r>
    </w:p>
    <w:p>
      <w:pPr>
        <w:spacing w:after="100" w:before="0" w:line="300"/>
      </w:pPr>
      <w:r>
        <w:rPr>
          <w:rFonts w:ascii="Arial" w:cs="Arial" w:eastAsia="Arial" w:hAnsi="Arial"/>
          <w:b w:val="false"/>
          <w:bCs w:val="false"/>
          <w:i w:val="false"/>
          <w:iCs w:val="false"/>
          <w:color w:val="1A1A1A"/>
          <w:sz w:val="22"/>
          <w:szCs w:val="22"/>
        </w:rPr>
        <w:t xml:space="preserve">Underwater archaeologists struggle to recover fragile artefacts from the seafloor because the manipulator arms that mount to remotely operated vehicles are designed for industrial work, not precision handling. The standard arm has two rigid metal fingers, no force feedback, and limited surface contact. That makes it clumsy with small, irregular, or brittle objects. When the wrong tool gets used in the wrong place, irreplaceable cultural heritage shatters on the seafloor and nobody knows it happened until the footage is reviewed back on the surface.</w:t>
      </w:r>
    </w:p>
    <w:p>
      <w:pPr>
        <w:spacing w:after="100" w:before="0" w:line="300"/>
      </w:pPr>
      <w:r>
        <w:rPr>
          <w:rFonts w:ascii="Arial" w:cs="Arial" w:eastAsia="Arial" w:hAnsi="Arial"/>
          <w:b w:val="false"/>
          <w:bCs w:val="false"/>
          <w:i w:val="false"/>
          <w:iCs w:val="false"/>
          <w:color w:val="1A1A1A"/>
          <w:sz w:val="22"/>
          <w:szCs w:val="22"/>
        </w:rPr>
        <w:t xml:space="preserve">The problem is also economic, and the economics are brutal. Mobilising a maritime archaeology mission costs in the millions of dollars: vessel charter, crew wages, dive tickets, equipment shipping, port fees, insurance, fuel, permits. Months of planning go into a window of a few days on site. The expedition's recurring costs alone are punishing: boat hire runs around AUD 5,000 per day, a four-person dive team is another AUD 1,200 per day, and dive-gear maintenance and consumables add on top of that. Patrick Morrison at the WA Shipwrecks Museum walked us through the numbers and the phrase that stuck was "the clock starts the moment you leave port."</w:t>
      </w:r>
    </w:p>
    <w:p>
      <w:pPr>
        <w:spacing w:after="100" w:before="0" w:line="300"/>
      </w:pPr>
      <w:r>
        <w:rPr>
          <w:rFonts w:ascii="Arial" w:cs="Arial" w:eastAsia="Arial" w:hAnsi="Arial"/>
          <w:b w:val="false"/>
          <w:bCs w:val="false"/>
          <w:i w:val="false"/>
          <w:iCs w:val="false"/>
          <w:color w:val="1A1A1A"/>
          <w:sz w:val="22"/>
          <w:szCs w:val="22"/>
        </w:rPr>
        <w:t xml:space="preserve">Against that cost stack, one piece of equipment failing on site can end the entire expedition. A gripper that snaps the first time it touches a fragile artefact, or shears a tooth and stops responding, or simply does not exist in the right specification on the boat, sends the team home with nothing. The mission produces a damage report instead of a recovery, the next expedition is months away because the boat and crew have to be booked again from scratch, and the artefacts that were on the seafloor for four hundred years stay there. A two-thousand-dollar tool failure can waste a million-dollar mission. That asymmetry is what makes the gripper worth taking seriously.</w:t>
      </w:r>
    </w:p>
    <w:p>
      <w:pPr>
        <w:pStyle w:val="Heading2"/>
        <w:spacing w:after="140" w:before="280"/>
      </w:pPr>
      <w:r>
        <w:rPr>
          <w:rFonts w:ascii="Arial" w:cs="Arial" w:eastAsia="Arial" w:hAnsi="Arial"/>
          <w:b/>
          <w:bCs/>
          <w:color w:val="1A1A1A"/>
          <w:sz w:val="26"/>
          <w:szCs w:val="26"/>
        </w:rPr>
        <w:t xml:space="preserve">Four named problems</w:t>
      </w:r>
    </w:p>
    <w:p>
      <w:pPr>
        <w:spacing w:after="100" w:before="0" w:line="300"/>
      </w:pPr>
      <w:r>
        <w:rPr>
          <w:rFonts w:ascii="Arial" w:cs="Arial" w:eastAsia="Arial" w:hAnsi="Arial"/>
          <w:b w:val="false"/>
          <w:bCs w:val="false"/>
          <w:i w:val="false"/>
          <w:iCs w:val="false"/>
          <w:color w:val="1A1A1A"/>
          <w:sz w:val="22"/>
          <w:szCs w:val="22"/>
        </w:rPr>
        <w:t xml:space="preserve">Talking to working archaeologists and subsea engineers, we identified four specific failure modes that the standard industrial gripper imposes on fragile recovery work:</w:t>
      </w:r>
    </w:p>
    <w:p>
      <w:pPr>
        <w:pStyle w:val="ListParagraph"/>
        <w:numPr>
          <w:ilvl w:val="0"/>
          <w:numId w:val="2"/>
        </w:numPr>
        <w:spacing w:after="40" w:before="40" w:line="280"/>
      </w:pPr>
      <w:r>
        <w:rPr>
          <w:rFonts w:ascii="Arial" w:cs="Arial" w:eastAsia="Arial" w:hAnsi="Arial"/>
          <w:b/>
          <w:bCs/>
          <w:i w:val="false"/>
          <w:iCs w:val="false"/>
          <w:color w:val="1A1A1A"/>
          <w:sz w:val="22"/>
          <w:szCs w:val="22"/>
        </w:rPr>
        <w:t xml:space="preserve">High risk of breakage. </w:t>
      </w:r>
      <w:r>
        <w:rPr>
          <w:rFonts w:ascii="Arial" w:cs="Arial" w:eastAsia="Arial" w:hAnsi="Arial"/>
          <w:b w:val="false"/>
          <w:bCs w:val="false"/>
          <w:i w:val="false"/>
          <w:iCs w:val="false"/>
          <w:color w:val="1A1A1A"/>
          <w:sz w:val="22"/>
          <w:szCs w:val="22"/>
        </w:rPr>
        <w:t xml:space="preserve">Industrial grippers apply force without any feedback channel back to the pilot. Thin pottery, coral, bone fragments, and delicate shapes crack the first time they are held too tightly.</w:t>
      </w:r>
    </w:p>
    <w:p>
      <w:pPr>
        <w:pStyle w:val="ListParagraph"/>
        <w:numPr>
          <w:ilvl w:val="0"/>
          <w:numId w:val="2"/>
        </w:numPr>
        <w:spacing w:after="40" w:before="40" w:line="280"/>
      </w:pPr>
      <w:r>
        <w:rPr>
          <w:rFonts w:ascii="Arial" w:cs="Arial" w:eastAsia="Arial" w:hAnsi="Arial"/>
          <w:b/>
          <w:bCs/>
          <w:i w:val="false"/>
          <w:iCs w:val="false"/>
          <w:color w:val="1A1A1A"/>
          <w:sz w:val="22"/>
          <w:szCs w:val="22"/>
        </w:rPr>
        <w:t xml:space="preserve">Poor grip on odd shapes. </w:t>
      </w:r>
      <w:r>
        <w:rPr>
          <w:rFonts w:ascii="Arial" w:cs="Arial" w:eastAsia="Arial" w:hAnsi="Arial"/>
          <w:b w:val="false"/>
          <w:bCs w:val="false"/>
          <w:i w:val="false"/>
          <w:iCs w:val="false"/>
          <w:color w:val="1A1A1A"/>
          <w:sz w:val="22"/>
          <w:szCs w:val="22"/>
        </w:rPr>
        <w:t xml:space="preserve">Flat metal jaws cannot adapt to curved, tapered, or uneven artefacts. Items slip out or cannot be lifted at all. The grippers in service today were optimised for cylindrical T-bar handles on industrial tools, not for amphorae, bones, or coral.</w:t>
      </w:r>
    </w:p>
    <w:p>
      <w:pPr>
        <w:pStyle w:val="ListParagraph"/>
        <w:numPr>
          <w:ilvl w:val="0"/>
          <w:numId w:val="2"/>
        </w:numPr>
        <w:spacing w:after="40" w:before="40" w:line="280"/>
      </w:pPr>
      <w:r>
        <w:rPr>
          <w:rFonts w:ascii="Arial" w:cs="Arial" w:eastAsia="Arial" w:hAnsi="Arial"/>
          <w:b/>
          <w:bCs/>
          <w:i w:val="false"/>
          <w:iCs w:val="false"/>
          <w:color w:val="1A1A1A"/>
          <w:sz w:val="22"/>
          <w:szCs w:val="22"/>
        </w:rPr>
        <w:t xml:space="preserve">Limited awareness for pilots. </w:t>
      </w:r>
      <w:r>
        <w:rPr>
          <w:rFonts w:ascii="Arial" w:cs="Arial" w:eastAsia="Arial" w:hAnsi="Arial"/>
          <w:b w:val="false"/>
          <w:bCs w:val="false"/>
          <w:i w:val="false"/>
          <w:iCs w:val="false"/>
          <w:color w:val="1A1A1A"/>
          <w:sz w:val="22"/>
          <w:szCs w:val="22"/>
        </w:rPr>
        <w:t xml:space="preserve">ROV operators cannot feel how much force the arm is applying, especially in low visibility water where the camera feed is the only signal. This leads to accidental crushing or drops that the operator never sees coming.</w:t>
      </w:r>
    </w:p>
    <w:p>
      <w:pPr>
        <w:pStyle w:val="ListParagraph"/>
        <w:numPr>
          <w:ilvl w:val="0"/>
          <w:numId w:val="2"/>
        </w:numPr>
        <w:spacing w:after="40" w:before="40" w:line="280"/>
      </w:pPr>
      <w:r>
        <w:rPr>
          <w:rFonts w:ascii="Arial" w:cs="Arial" w:eastAsia="Arial" w:hAnsi="Arial"/>
          <w:b/>
          <w:bCs/>
          <w:i w:val="false"/>
          <w:iCs w:val="false"/>
          <w:color w:val="1A1A1A"/>
          <w:sz w:val="22"/>
          <w:szCs w:val="22"/>
        </w:rPr>
        <w:t xml:space="preserve">Cost and time pressures. </w:t>
      </w:r>
      <w:r>
        <w:rPr>
          <w:rFonts w:ascii="Arial" w:cs="Arial" w:eastAsia="Arial" w:hAnsi="Arial"/>
          <w:b w:val="false"/>
          <w:bCs w:val="false"/>
          <w:i w:val="false"/>
          <w:iCs w:val="false"/>
          <w:color w:val="1A1A1A"/>
          <w:sz w:val="22"/>
          <w:szCs w:val="22"/>
        </w:rPr>
        <w:t xml:space="preserve">Mobilising archaeology equipment costs millions of dollars. A broken gripper or a missing tool means days of delay while the right part ships. These failures slow missions down, drive costs up, and can permanently destroy cultural heritage that has waited centuries to be recovered.</w:t>
      </w:r>
    </w:p>
    <w:p>
      <w:pPr>
        <w:pStyle w:val="Heading2"/>
        <w:spacing w:after="140" w:before="280"/>
      </w:pPr>
      <w:r>
        <w:rPr>
          <w:rFonts w:ascii="Arial" w:cs="Arial" w:eastAsia="Arial" w:hAnsi="Arial"/>
          <w:b/>
          <w:bCs/>
          <w:color w:val="1A1A1A"/>
          <w:sz w:val="26"/>
          <w:szCs w:val="26"/>
        </w:rPr>
        <w:t xml:space="preserve">Why this matters now</w:t>
      </w:r>
    </w:p>
    <w:p>
      <w:pPr>
        <w:spacing w:after="100" w:before="0" w:line="300"/>
      </w:pPr>
      <w:r>
        <w:rPr>
          <w:rFonts w:ascii="Arial" w:cs="Arial" w:eastAsia="Arial" w:hAnsi="Arial"/>
          <w:b w:val="false"/>
          <w:bCs w:val="false"/>
          <w:i w:val="false"/>
          <w:iCs w:val="false"/>
          <w:color w:val="1A1A1A"/>
          <w:sz w:val="22"/>
          <w:szCs w:val="22"/>
        </w:rPr>
        <w:t xml:space="preserve">This is not a hypothetical problem. Patrick Morrison, Assistant Curator of Maritime Heritage at the WA Shipwrecks Museum, told us in our 14 May 2026 site visit:</w:t>
      </w:r>
    </w:p>
    <w:p>
      <w:pPr>
        <w:pBdr>
          <w:top w:val="none" w:color="FFFFFF" w:sz="0" w:space="0"/>
          <w:left w:val="single" w:color="E63027" w:sz="28" w:space="14"/>
          <w:bottom w:val="none" w:color="FFFFFF" w:sz="0" w:space="0"/>
          <w:right w:val="none" w:color="FFFFFF" w:sz="0" w:space="0"/>
        </w:pBdr>
        <w:spacing w:after="220" w:before="220" w:line="340"/>
        <w:ind w:left="360"/>
      </w:pPr>
      <w:r>
        <w:rPr>
          <w:rFonts w:ascii="Arial" w:cs="Arial" w:eastAsia="Arial" w:hAnsi="Arial"/>
          <w:i/>
          <w:iCs/>
          <w:color w:val="1A1A1A"/>
          <w:sz w:val="24"/>
          <w:szCs w:val="24"/>
        </w:rPr>
        <w:t xml:space="preserve">All the wrecks we have found in Western Australia in the last four to five years are beyond recreational diving depths. The museum legally can't excavate them. The only way to recover something safely from 50 to 60 metres and beyond is a robot with actuator control.</w:t>
      </w:r>
    </w:p>
    <w:p>
      <w:pPr>
        <w:spacing w:after="100" w:before="0" w:line="300"/>
      </w:pPr>
      <w:r>
        <w:rPr>
          <w:rFonts w:ascii="Arial" w:cs="Arial" w:eastAsia="Arial" w:hAnsi="Arial"/>
          <w:b w:val="false"/>
          <w:bCs w:val="false"/>
          <w:i w:val="false"/>
          <w:iCs w:val="false"/>
          <w:color w:val="1A1A1A"/>
          <w:sz w:val="22"/>
          <w:szCs w:val="22"/>
        </w:rPr>
        <w:t xml:space="preserve">Multibeam sonar surveys are uncovering wrecks in the 40 to 100 metre range that were invisible to the previous generation of survey gear. There are more known sites than there is equipment to work them. Patrick described the gap directly:</w:t>
      </w:r>
    </w:p>
    <w:p>
      <w:pPr>
        <w:pBdr>
          <w:top w:val="none" w:color="FFFFFF" w:sz="0" w:space="0"/>
          <w:left w:val="single" w:color="E63027" w:sz="28" w:space="14"/>
          <w:bottom w:val="none" w:color="FFFFFF" w:sz="0" w:space="0"/>
          <w:right w:val="none" w:color="FFFFFF" w:sz="0" w:space="0"/>
        </w:pBdr>
        <w:spacing w:after="220" w:before="220" w:line="340"/>
        <w:ind w:left="360"/>
      </w:pPr>
      <w:r>
        <w:rPr>
          <w:rFonts w:ascii="Arial" w:cs="Arial" w:eastAsia="Arial" w:hAnsi="Arial"/>
          <w:i/>
          <w:iCs/>
          <w:color w:val="1A1A1A"/>
          <w:sz w:val="24"/>
          <w:szCs w:val="24"/>
        </w:rPr>
        <w:t xml:space="preserve">If you have a little affordable device that can do that, you'd reach for it all the time.</w:t>
      </w:r>
    </w:p>
    <w:p>
      <w:pPr>
        <w:pStyle w:val="Heading2"/>
        <w:spacing w:after="140" w:before="280"/>
      </w:pPr>
      <w:r>
        <w:rPr>
          <w:rFonts w:ascii="Arial" w:cs="Arial" w:eastAsia="Arial" w:hAnsi="Arial"/>
          <w:b/>
          <w:bCs/>
          <w:color w:val="1A1A1A"/>
          <w:sz w:val="26"/>
          <w:szCs w:val="26"/>
        </w:rPr>
        <w:t xml:space="preserve">Who would use this</w:t>
      </w:r>
    </w:p>
    <w:p>
      <w:pPr>
        <w:spacing w:after="100" w:before="0" w:line="300"/>
      </w:pPr>
      <w:r>
        <w:rPr>
          <w:rFonts w:ascii="Arial" w:cs="Arial" w:eastAsia="Arial" w:hAnsi="Arial"/>
          <w:b w:val="false"/>
          <w:bCs w:val="false"/>
          <w:i w:val="false"/>
          <w:iCs w:val="false"/>
          <w:color w:val="1A1A1A"/>
          <w:sz w:val="22"/>
          <w:szCs w:val="22"/>
        </w:rPr>
        <w:t xml:space="preserve">Our primary user is a maritime archaeology team or research institution working from a small inspection class ROV. The closest commercial reference is the Reach Robotics Bravo 7 manipulator family used by Fugro and Woodside for offshore inspection in Western Australia. The same gripper architecture also serves marine biology (gentle handling of corals, gelatinous animals, sediment samples), oceanographic research, environmental monitoring, and any subsea repair operation where standard grippers cause collateral damage.</w:t>
      </w:r>
    </w:p>
    <w:p>
      <w:pPr>
        <w:pStyle w:val="Heading2"/>
        <w:spacing w:after="140" w:before="280"/>
      </w:pPr>
      <w:r>
        <w:rPr>
          <w:rFonts w:ascii="Arial" w:cs="Arial" w:eastAsia="Arial" w:hAnsi="Arial"/>
          <w:b/>
          <w:bCs/>
          <w:color w:val="1A1A1A"/>
          <w:sz w:val="26"/>
          <w:szCs w:val="26"/>
        </w:rPr>
        <w:t xml:space="preserve">Who built it</w:t>
      </w:r>
    </w:p>
    <w:p>
      <w:pPr>
        <w:spacing w:after="100" w:before="0" w:line="300"/>
      </w:pPr>
      <w:r>
        <w:rPr>
          <w:rFonts w:ascii="Arial" w:cs="Arial" w:eastAsia="Arial" w:hAnsi="Arial"/>
          <w:b w:val="false"/>
          <w:bCs w:val="false"/>
          <w:i w:val="false"/>
          <w:iCs w:val="false"/>
          <w:color w:val="1A1A1A"/>
          <w:sz w:val="22"/>
          <w:szCs w:val="22"/>
        </w:rPr>
        <w:t xml:space="preserve">Lebob is eight Year 10 students and two mentors based at Perth Modern School, Subiaco. Members in roster order: Kingsley Wong (CR-01), Andre Nijman (CR-02), Sean Chan (CR-03), Oliver Liu (CR-04), Subesh Sukumaran (CR-05), Yuxin Chris Wang (CR-06), Aaron Zhang (CR-07), Leven Shi (CR-08). Mentors: Jade and Kaelie (MT-01). The workshop is home. We engineer robots, research soft-robotic mechanisms, and ship our work as documentation other teams can learn from.</w:t>
      </w:r>
    </w:p>
    <w:p>
      <w:pPr>
        <w:pBdr>
          <w:top w:val="single" w:color="F5D802" w:sz="4" w:space="6"/>
          <w:left w:val="single" w:color="F5D802" w:sz="4" w:space="6"/>
          <w:bottom w:val="single" w:color="F5D802" w:sz="4" w:space="6"/>
          <w:right w:val="single" w:color="F5D802" w:sz="4" w:space="6"/>
        </w:pBdr>
        <w:shd w:fill="F4F4F2" w:val="clear"/>
        <w:spacing w:after="180" w:before="180" w:line="320"/>
        <w:ind w:left="180" w:right="180"/>
      </w:pPr>
      <w:r>
        <w:rPr>
          <w:rFonts w:ascii="Arial" w:cs="Arial" w:eastAsia="Arial" w:hAnsi="Arial"/>
          <w:b/>
          <w:bCs/>
          <w:color w:val="1A1A1A"/>
          <w:sz w:val="22"/>
          <w:szCs w:val="22"/>
        </w:rPr>
        <w:t xml:space="preserve">How we wrote this document.</w:t>
      </w:r>
      <w:r>
        <w:rPr>
          <w:rFonts w:ascii="Arial" w:cs="Arial" w:eastAsia="Arial" w:hAnsi="Arial"/>
          <w:color w:val="1A1A1A"/>
          <w:sz w:val="22"/>
          <w:szCs w:val="22"/>
        </w:rPr>
        <w:t xml:space="preserve">   Every number in this report is either measured from the live CAD, taken from a published datasheet, or generated by a reproducible simulation. Where a value is an engineering estimate, we say so. Where a result is a rank rather than an absolute, we say so. Where a headline number changed during the project, we explain the change.</w:t>
      </w:r>
    </w:p>
    <w:p>
      <w:r>
        <w:br w:type="page"/>
      </w:r>
    </w:p>
    <w:p>
      <w:pPr>
        <w:pStyle w:val="Heading1"/>
        <w:pBdr>
          <w:top w:val="none" w:color="FFFFFF" w:sz="0" w:space="0"/>
          <w:left w:val="none" w:color="FFFFFF" w:sz="0" w:space="0"/>
          <w:bottom w:val="single" w:color="F5D802" w:sz="18" w:space="4"/>
          <w:right w:val="none" w:color="FFFFFF" w:sz="0" w:space="0"/>
        </w:pBdr>
        <w:spacing w:after="200" w:before="320"/>
      </w:pPr>
      <w:r>
        <w:rPr>
          <w:rFonts w:ascii="Arial" w:cs="Arial" w:eastAsia="Arial" w:hAnsi="Arial"/>
          <w:b/>
          <w:bCs/>
          <w:color w:val="1A1A1A"/>
          <w:sz w:val="36"/>
          <w:szCs w:val="36"/>
        </w:rPr>
        <w:t xml:space="preserve">2. How the team works</w:t>
      </w:r>
    </w:p>
    <w:p>
      <w:pPr>
        <w:spacing w:after="100" w:before="0" w:line="300"/>
      </w:pPr>
      <w:r>
        <w:rPr>
          <w:rFonts w:ascii="Arial" w:cs="Arial" w:eastAsia="Arial" w:hAnsi="Arial"/>
          <w:b w:val="false"/>
          <w:bCs w:val="false"/>
          <w:i w:val="false"/>
          <w:iCs w:val="false"/>
          <w:color w:val="1A1A1A"/>
          <w:sz w:val="22"/>
          <w:szCs w:val="22"/>
        </w:rPr>
        <w:t xml:space="preserve">This section is for the judges. It is the project management half of the design rubric: who owns what, how we plan a 10 month season across two competitions and a Korea trip, how we meet, how we decide, and the evidence trail behind it. The five subsections below correspond directly to the DESIGN and CORE VALUES criteria a judge fills in: project plan, ownership, decision protocol, meeting cadence, and the receipts.</w:t>
      </w:r>
    </w:p>
    <w:p>
      <w:pPr>
        <w:pStyle w:val="Heading2"/>
        <w:spacing w:after="140" w:before="280"/>
      </w:pPr>
      <w:r>
        <w:rPr>
          <w:rFonts w:ascii="Arial" w:cs="Arial" w:eastAsia="Arial" w:hAnsi="Arial"/>
          <w:b/>
          <w:bCs/>
          <w:color w:val="1A1A1A"/>
          <w:sz w:val="26"/>
          <w:szCs w:val="26"/>
        </w:rPr>
        <w:t xml:space="preserve">2.1   Season project plan (Gantt)</w:t>
      </w:r>
    </w:p>
    <w:p>
      <w:pPr>
        <w:spacing w:after="100" w:before="0" w:line="300"/>
      </w:pPr>
      <w:r>
        <w:rPr>
          <w:rFonts w:ascii="Arial" w:cs="Arial" w:eastAsia="Arial" w:hAnsi="Arial"/>
          <w:b w:val="false"/>
          <w:bCs w:val="false"/>
          <w:i w:val="false"/>
          <w:iCs w:val="false"/>
          <w:color w:val="1A1A1A"/>
          <w:sz w:val="22"/>
          <w:szCs w:val="22"/>
        </w:rPr>
        <w:t xml:space="preserve">The chart below is the season plan we worked from. Four parallel tracks (Robot, Innovation, Outreach, Logistics) and three competition milestones (Regionals, Nationals, Korea Open) on a single time axis from September 2025 to July 2026. Owner names are inside each bar where the owner is settled; bars marked [OWNER] are work packages whose lead is still being formalised for the Korea-prep stretch and will be filled in at the next team meeting.</w:t>
      </w:r>
    </w:p>
    <w:p>
      <w:pPr>
        <w:spacing w:after="80" w:before="160"/>
        <w:jc w:val="center"/>
      </w:pPr>
      <w:r>
        <w:drawing>
          <wp:inline distT="0" distB="0" distL="0" distR="0">
            <wp:extent cx="6400800" cy="713486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400800" cy="7134865"/>
                    </a:xfrm>
                    <a:prstGeom prst="rect">
                      <a:avLst/>
                    </a:prstGeom>
                  </pic:spPr>
                </pic:pic>
              </a:graphicData>
            </a:graphic>
          </wp:inline>
        </w:drawing>
      </w:r>
    </w:p>
    <w:p>
      <w:pPr>
        <w:spacing w:after="220" w:before="60"/>
        <w:jc w:val="center"/>
      </w:pPr>
      <w:r>
        <w:rPr>
          <w:rFonts w:ascii="Arial" w:cs="Arial" w:eastAsia="Arial" w:hAnsi="Arial"/>
          <w:i/>
          <w:iCs/>
          <w:color w:val="6B6B6B"/>
          <w:sz w:val="18"/>
          <w:szCs w:val="18"/>
        </w:rPr>
        <w:t xml:space="preserve">Figure 2.1   Team Lebob #3236 season plan. Robot track in blue, Innovation track in red, Outreach in purple, Logistics in orange. Competition milestones rendered as black diamonds.</w:t>
      </w:r>
    </w:p>
    <w:p>
      <w:pPr>
        <w:spacing w:after="100" w:before="0" w:line="300"/>
      </w:pPr>
      <w:r>
        <w:rPr>
          <w:rFonts w:ascii="Arial" w:cs="Arial" w:eastAsia="Arial" w:hAnsi="Arial"/>
          <w:b w:val="false"/>
          <w:bCs w:val="false"/>
          <w:i w:val="false"/>
          <w:iCs w:val="false"/>
          <w:color w:val="1A1A1A"/>
          <w:sz w:val="22"/>
          <w:szCs w:val="22"/>
        </w:rPr>
        <w:t xml:space="preserve">How we used the plan. The Gantt is not a back-fill; it is the planning surface we rebuilt at four points in the season: at start (September), after Regionals (when the FEA campaign and the materials reframe got scheduled), at Nationals (when the Korea-prep block was added), and now (post-Nationals, in response to the judges' feedback that the plan should be visible in the documentation). Each rebuild was a 30 to 60 minute whiteboard session with the whole team; the photo of the most recent rebuild is in §2.5.</w:t>
      </w:r>
    </w:p>
    <w:p>
      <w:pPr>
        <w:pStyle w:val="Heading2"/>
        <w:spacing w:after="140" w:before="280"/>
      </w:pPr>
      <w:r>
        <w:rPr>
          <w:rFonts w:ascii="Arial" w:cs="Arial" w:eastAsia="Arial" w:hAnsi="Arial"/>
          <w:b/>
          <w:bCs/>
          <w:color w:val="1A1A1A"/>
          <w:sz w:val="26"/>
          <w:szCs w:val="26"/>
        </w:rPr>
        <w:t xml:space="preserve">2.2   Roles and ownership</w:t>
      </w:r>
    </w:p>
    <w:p>
      <w:pPr>
        <w:spacing w:after="100" w:before="0" w:line="300"/>
      </w:pPr>
      <w:r>
        <w:rPr>
          <w:rFonts w:ascii="Arial" w:cs="Arial" w:eastAsia="Arial" w:hAnsi="Arial"/>
          <w:b w:val="false"/>
          <w:bCs w:val="false"/>
          <w:i w:val="false"/>
          <w:iCs w:val="false"/>
          <w:color w:val="1A1A1A"/>
          <w:sz w:val="22"/>
          <w:szCs w:val="22"/>
        </w:rPr>
        <w:t xml:space="preserve">Eight student members plus two mentors. Each member owns at least one work package; most own more than one. The table below maps the public roster (lebob.com.au) to the work each member led in the 2025/26 season. Where a role is shared, we name the co-owner.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6760"/>
      </w:tblGrid>
      <w:tr>
        <w:tc>
          <w:tcPr>
            <w:tcW w:type="dxa" w:w="2400"/>
            <w:tcBorders>
              <w:top w:val="single" w:color="C8C8C8" w:sz="4"/>
              <w:left w:val="single" w:color="C8C8C8" w:sz="4"/>
              <w:bottom w:val="single" w:color="C8C8C8" w:sz="4"/>
              <w:right w:val="single" w:color="C8C8C8" w:sz="4"/>
            </w:tcBorders>
            <w:shd w:fill="F4F4F2" w:val="clear"/>
            <w:tcMar>
              <w:top w:type="dxa" w:w="80"/>
              <w:left w:type="dxa" w:w="120"/>
              <w:bottom w:type="dxa" w:w="80"/>
              <w:right w:type="dxa" w:w="120"/>
            </w:tcMar>
          </w:tcPr>
          <w:p>
            <w:pPr>
              <w:spacing w:after="0" w:before="0" w:line="260"/>
            </w:pPr>
            <w:r>
              <w:rPr>
                <w:rFonts w:ascii="Arial" w:cs="Arial" w:eastAsia="Arial" w:hAnsi="Arial"/>
                <w:b/>
                <w:bCs/>
                <w:color w:val="1A1A1A"/>
                <w:sz w:val="18"/>
                <w:szCs w:val="18"/>
              </w:rPr>
              <w:t xml:space="preserve">Member</w:t>
            </w:r>
          </w:p>
        </w:tc>
        <w:tc>
          <w:tcPr>
            <w:tcW w:type="dxa" w:w="800"/>
            <w:tcBorders>
              <w:top w:val="single" w:color="C8C8C8" w:sz="4"/>
              <w:left w:val="single" w:color="C8C8C8" w:sz="4"/>
              <w:bottom w:val="single" w:color="C8C8C8" w:sz="4"/>
              <w:right w:val="single" w:color="C8C8C8" w:sz="4"/>
            </w:tcBorders>
            <w:shd w:fill="F4F4F2" w:val="clear"/>
            <w:tcMar>
              <w:top w:type="dxa" w:w="80"/>
              <w:left w:type="dxa" w:w="120"/>
              <w:bottom w:type="dxa" w:w="80"/>
              <w:right w:type="dxa" w:w="120"/>
            </w:tcMar>
          </w:tcPr>
          <w:p>
            <w:pPr>
              <w:spacing w:after="0" w:before="0" w:line="260"/>
            </w:pPr>
            <w:r>
              <w:rPr>
                <w:rFonts w:ascii="Arial" w:cs="Arial" w:eastAsia="Arial" w:hAnsi="Arial"/>
                <w:b/>
                <w:bCs/>
                <w:color w:val="1A1A1A"/>
                <w:sz w:val="18"/>
                <w:szCs w:val="18"/>
              </w:rPr>
              <w:t xml:space="preserve">CR #</w:t>
            </w:r>
          </w:p>
        </w:tc>
        <w:tc>
          <w:tcPr>
            <w:tcW w:type="dxa" w:w="6760"/>
            <w:tcBorders>
              <w:top w:val="single" w:color="C8C8C8" w:sz="4"/>
              <w:left w:val="single" w:color="C8C8C8" w:sz="4"/>
              <w:bottom w:val="single" w:color="C8C8C8" w:sz="4"/>
              <w:right w:val="single" w:color="C8C8C8" w:sz="4"/>
            </w:tcBorders>
            <w:shd w:fill="F4F4F2" w:val="clear"/>
            <w:tcMar>
              <w:top w:type="dxa" w:w="80"/>
              <w:left w:type="dxa" w:w="120"/>
              <w:bottom w:type="dxa" w:w="80"/>
              <w:right w:type="dxa" w:w="120"/>
            </w:tcMar>
          </w:tcPr>
          <w:p>
            <w:pPr>
              <w:spacing w:after="0" w:before="0" w:line="260"/>
            </w:pPr>
            <w:r>
              <w:rPr>
                <w:rFonts w:ascii="Arial" w:cs="Arial" w:eastAsia="Arial" w:hAnsi="Arial"/>
                <w:b/>
                <w:bCs/>
                <w:color w:val="1A1A1A"/>
                <w:sz w:val="18"/>
                <w:szCs w:val="18"/>
              </w:rPr>
              <w:t xml:space="preserve">Primary ownership this season</w:t>
            </w:r>
          </w:p>
        </w:tc>
      </w:tr>
      <w:tr>
        <w:tc>
          <w:tcPr>
            <w:tcW w:type="dxa" w:w="24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Kingsley Wong</w:t>
            </w:r>
          </w:p>
        </w:tc>
        <w:tc>
          <w:tcPr>
            <w:tcW w:type="dxa" w:w="8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CR-01</w:t>
            </w:r>
          </w:p>
        </w:tc>
        <w:tc>
          <w:tcPr>
            <w:tcW w:type="dxa" w:w="67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Team captain and coordination lead. Game analysis + season strategy. Post-competition retros. Korea trip planning + budgeting + registration paperwork. MC for the Korea presentation. Co-owner: expert follow-ups, sponsorship pipeline. (Placeholder, to be confirmed pre-Korea.)</w:t>
            </w:r>
          </w:p>
        </w:tc>
      </w:tr>
      <w:tr>
        <w:tc>
          <w:tcPr>
            <w:tcW w:type="dxa" w:w="24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Andre Nijman</w:t>
            </w:r>
          </w:p>
        </w:tc>
        <w:tc>
          <w:tcPr>
            <w:tcW w:type="dxa" w:w="8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CR-02</w:t>
            </w:r>
          </w:p>
        </w:tc>
        <w:tc>
          <w:tcPr>
            <w:tcW w:type="dxa" w:w="67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SoftSense innovation lead. FEA campaign (finger structural + grip texture + motor study). Sponsorship outreach (Fugro, TMT, Pulse, Rotary, Samsung). Material reevaluation (PA12-GF + ether-TPU). This documentation. Onshape model owner.</w:t>
            </w:r>
          </w:p>
        </w:tc>
      </w:tr>
      <w:tr>
        <w:tc>
          <w:tcPr>
            <w:tcW w:type="dxa" w:w="24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Sean Chan</w:t>
            </w:r>
          </w:p>
        </w:tc>
        <w:tc>
          <w:tcPr>
            <w:tcW w:type="dxa" w:w="8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CR-03</w:t>
            </w:r>
          </w:p>
        </w:tc>
        <w:tc>
          <w:tcPr>
            <w:tcW w:type="dxa" w:w="67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FLL mission programmer. Owns the FatSean SPIKE Prime hub program, the on-hub menu, and the drive-base PID. Team website (lebob.com.au, TypeScript / Next.js). GitHub repo maintenance for both Lebob-Unearthed and Lebob-Website. Active contributor to FRC Team 4788 in parallel.</w:t>
            </w:r>
          </w:p>
        </w:tc>
      </w:tr>
      <w:tr>
        <w:tc>
          <w:tcPr>
            <w:tcW w:type="dxa" w:w="24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Oliver Liu</w:t>
            </w:r>
          </w:p>
        </w:tc>
        <w:tc>
          <w:tcPr>
            <w:tcW w:type="dxa" w:w="8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CR-04</w:t>
            </w:r>
          </w:p>
        </w:tc>
        <w:tc>
          <w:tcPr>
            <w:tcW w:type="dxa" w:w="67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Robot CAD + mechanical build lead. Chassis design + attachment design. Field practice coordinator. Co-owner on prototype builds v1 + v2, drivetrain T_safe fix, hyperbaric pressure test, Nationals booth, Korea spares kit. (Placeholder, to be confirmed pre-Korea.)</w:t>
            </w:r>
          </w:p>
        </w:tc>
      </w:tr>
      <w:tr>
        <w:tc>
          <w:tcPr>
            <w:tcW w:type="dxa" w:w="24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Subesh Sukumaran</w:t>
            </w:r>
          </w:p>
        </w:tc>
        <w:tc>
          <w:tcPr>
            <w:tcW w:type="dxa" w:w="8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CR-05</w:t>
            </w:r>
          </w:p>
        </w:tc>
        <w:tc>
          <w:tcPr>
            <w:tcW w:type="dxa" w:w="67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Research lead: existing manipulator survey + case studies. Owns expert cold-email outreach and follow-up letters. Patrick Morrison site visit attendee. Co-owner: prototype build v1, material reevaluation, 7-day soak test, AIMA + Maritime Museum outreach. (Placeholder, to be confirmed pre-Korea.)</w:t>
            </w:r>
          </w:p>
        </w:tc>
      </w:tr>
      <w:tr>
        <w:tc>
          <w:tcPr>
            <w:tcW w:type="dxa" w:w="24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Yuxin Chris Wang</w:t>
            </w:r>
          </w:p>
        </w:tc>
        <w:tc>
          <w:tcPr>
            <w:tcW w:type="dxa" w:w="8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CR-06</w:t>
            </w:r>
          </w:p>
        </w:tc>
        <w:tc>
          <w:tcPr>
            <w:tcW w:type="dxa" w:w="67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Year 8, youngest team member. Bench-testing operator: ran the 4-finger versus 2-finger trials with the bone, anchor, vase, and chest objects, captured the 26 / 96 / 411 / 288 gf data. Co-owner: media + photo capture across the season, 7-day soak test, manipulator-survey research. (Placeholder, to be confirmed pre-Korea.)</w:t>
            </w:r>
          </w:p>
        </w:tc>
      </w:tr>
      <w:tr>
        <w:tc>
          <w:tcPr>
            <w:tcW w:type="dxa" w:w="24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Aaron Zhang</w:t>
            </w:r>
          </w:p>
        </w:tc>
        <w:tc>
          <w:tcPr>
            <w:tcW w:type="dxa" w:w="8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CR-07</w:t>
            </w:r>
          </w:p>
        </w:tc>
        <w:tc>
          <w:tcPr>
            <w:tcW w:type="dxa" w:w="67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Alternate mission programmer. Owns aaron_main.py, the parallel mission slot configuration for the FatSean hub. Used in head-to-head practice rounds and as redundancy for the primary mission program. Co-author on Robot Design Journals v1 + v2.</w:t>
            </w:r>
          </w:p>
        </w:tc>
      </w:tr>
      <w:tr>
        <w:tc>
          <w:tcPr>
            <w:tcW w:type="dxa" w:w="24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Leven Shi</w:t>
            </w:r>
          </w:p>
        </w:tc>
        <w:tc>
          <w:tcPr>
            <w:tcW w:type="dxa" w:w="8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CR-08</w:t>
            </w:r>
          </w:p>
        </w:tc>
        <w:tc>
          <w:tcPr>
            <w:tcW w:type="dxa" w:w="67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Attachment design + team media. Team shirt design + sponsor logo lock for Korea. Owns the photo / video evidence trail across the season. Nationals booth + display board. Co-owner: robot CAD + chassis, prototype builds v1 + v2, Korea spares kit. (Placeholder, to be confirmed pre-Korea.)</w:t>
            </w:r>
          </w:p>
        </w:tc>
      </w:tr>
      <w:tr>
        <w:tc>
          <w:tcPr>
            <w:tcW w:type="dxa" w:w="24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Jade</w:t>
            </w:r>
          </w:p>
        </w:tc>
        <w:tc>
          <w:tcPr>
            <w:tcW w:type="dxa" w:w="8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MT-01</w:t>
            </w:r>
          </w:p>
        </w:tc>
        <w:tc>
          <w:tcPr>
            <w:tcW w:type="dxa" w:w="67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Mentor. [Focus areas to be confirmed pre-Korea.]</w:t>
            </w:r>
          </w:p>
        </w:tc>
      </w:tr>
      <w:tr>
        <w:tc>
          <w:tcPr>
            <w:tcW w:type="dxa" w:w="24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Kaelie</w:t>
            </w:r>
          </w:p>
        </w:tc>
        <w:tc>
          <w:tcPr>
            <w:tcW w:type="dxa" w:w="8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MT-01</w:t>
            </w:r>
          </w:p>
        </w:tc>
        <w:tc>
          <w:tcPr>
            <w:tcW w:type="dxa" w:w="67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Mentor. [Focus areas to be confirmed pre-Korea.]</w:t>
            </w:r>
          </w:p>
        </w:tc>
      </w:tr>
    </w:tbl>
    <w:p>
      <w:pPr>
        <w:spacing w:after="120"/>
      </w:pPr>
      <w:r>
        <w:t xml:space="preserve"/>
      </w:r>
    </w:p>
    <w:p>
      <w:pPr>
        <w:pBdr>
          <w:top w:val="single" w:color="F5D802" w:sz="4" w:space="6"/>
          <w:left w:val="single" w:color="F5D802" w:sz="4" w:space="6"/>
          <w:bottom w:val="single" w:color="F5D802" w:sz="4" w:space="6"/>
          <w:right w:val="single" w:color="F5D802" w:sz="4" w:space="6"/>
        </w:pBdr>
        <w:shd w:fill="F4F4F2" w:val="clear"/>
        <w:spacing w:after="180" w:before="180" w:line="320"/>
        <w:ind w:left="180" w:right="180"/>
      </w:pPr>
      <w:r>
        <w:rPr>
          <w:rFonts w:ascii="Arial" w:cs="Arial" w:eastAsia="Arial" w:hAnsi="Arial"/>
          <w:b/>
          <w:bCs/>
          <w:color w:val="1A1A1A"/>
          <w:sz w:val="22"/>
          <w:szCs w:val="22"/>
        </w:rPr>
        <w:t xml:space="preserve">On the placeholder rows.</w:t>
      </w:r>
      <w:r>
        <w:rPr>
          <w:rFonts w:ascii="Arial" w:cs="Arial" w:eastAsia="Arial" w:hAnsi="Arial"/>
          <w:color w:val="1A1A1A"/>
          <w:sz w:val="22"/>
          <w:szCs w:val="22"/>
        </w:rPr>
        <w:t xml:space="preserve">   Every member ownership line above (except Andre's, Sean's, and Aaron's, which are verifiable from the public GitHub history and team website) is a placeholder representing the team's best current understanding of who owns what. The lines will be confirmed by each member at the next team meeting and the documentation reissued before Korea. We are using this drafting cycle to capture every member's contribution by name rather than the generic "whole team" shorthand. The judges' Nationals feedback was explicit on this point and we are taking it directly.</w:t>
      </w:r>
    </w:p>
    <w:p>
      <w:pPr>
        <w:pStyle w:val="Heading2"/>
        <w:spacing w:after="140" w:before="280"/>
      </w:pPr>
      <w:r>
        <w:rPr>
          <w:rFonts w:ascii="Arial" w:cs="Arial" w:eastAsia="Arial" w:hAnsi="Arial"/>
          <w:b/>
          <w:bCs/>
          <w:color w:val="1A1A1A"/>
          <w:sz w:val="26"/>
          <w:szCs w:val="26"/>
        </w:rPr>
        <w:t xml:space="preserve">2.3   Decision-making protocol</w:t>
      </w:r>
    </w:p>
    <w:p>
      <w:pPr>
        <w:spacing w:after="100" w:before="0" w:line="300"/>
      </w:pPr>
      <w:r>
        <w:rPr>
          <w:rFonts w:ascii="Arial" w:cs="Arial" w:eastAsia="Arial" w:hAnsi="Arial"/>
          <w:b w:val="false"/>
          <w:bCs w:val="false"/>
          <w:i w:val="false"/>
          <w:iCs w:val="false"/>
          <w:color w:val="1A1A1A"/>
          <w:sz w:val="22"/>
          <w:szCs w:val="22"/>
        </w:rPr>
        <w:t xml:space="preserve">How we decide what to build, what to scrap, and what to escalate. Three levels:</w:t>
      </w:r>
    </w:p>
    <w:p>
      <w:pPr>
        <w:pStyle w:val="ListParagraph"/>
        <w:numPr>
          <w:ilvl w:val="0"/>
          <w:numId w:val="3"/>
        </w:numPr>
        <w:spacing w:after="40" w:before="40" w:line="280"/>
      </w:pPr>
      <w:r>
        <w:rPr>
          <w:rFonts w:ascii="Arial" w:cs="Arial" w:eastAsia="Arial" w:hAnsi="Arial"/>
          <w:b/>
          <w:bCs/>
          <w:i w:val="false"/>
          <w:iCs w:val="false"/>
          <w:color w:val="1A1A1A"/>
          <w:sz w:val="22"/>
          <w:szCs w:val="22"/>
        </w:rPr>
        <w:t xml:space="preserve">Day-to-day technical decisions </w:t>
      </w:r>
      <w:r>
        <w:rPr>
          <w:rFonts w:ascii="Arial" w:cs="Arial" w:eastAsia="Arial" w:hAnsi="Arial"/>
          <w:b w:val="false"/>
          <w:bCs w:val="false"/>
          <w:i w:val="false"/>
          <w:iCs w:val="false"/>
          <w:color w:val="1A1A1A"/>
          <w:sz w:val="22"/>
          <w:szCs w:val="22"/>
        </w:rPr>
        <w:t xml:space="preserve">are made by the workstream owner. Sean does not need a vote to refactor the mission menu; Andre does not need a vote to change a Fin Ray rib angle. Owners commit to their workstream and report back at the next meeting.</w:t>
      </w:r>
    </w:p>
    <w:p>
      <w:pPr>
        <w:pStyle w:val="ListParagraph"/>
        <w:numPr>
          <w:ilvl w:val="0"/>
          <w:numId w:val="3"/>
        </w:numPr>
        <w:spacing w:after="40" w:before="40" w:line="280"/>
      </w:pPr>
      <w:r>
        <w:rPr>
          <w:rFonts w:ascii="Arial" w:cs="Arial" w:eastAsia="Arial" w:hAnsi="Arial"/>
          <w:b/>
          <w:bCs/>
          <w:i w:val="false"/>
          <w:iCs w:val="false"/>
          <w:color w:val="1A1A1A"/>
          <w:sz w:val="22"/>
          <w:szCs w:val="22"/>
        </w:rPr>
        <w:t xml:space="preserve">Whole-team decisions </w:t>
      </w:r>
      <w:r>
        <w:rPr>
          <w:rFonts w:ascii="Arial" w:cs="Arial" w:eastAsia="Arial" w:hAnsi="Arial"/>
          <w:b w:val="false"/>
          <w:bCs w:val="false"/>
          <w:i w:val="false"/>
          <w:iCs w:val="false"/>
          <w:color w:val="1A1A1A"/>
          <w:sz w:val="22"/>
          <w:szCs w:val="22"/>
        </w:rPr>
        <w:t xml:space="preserve">happen when a choice affects more than one workstream (a robot redesign that changes attachment mounts; a SoftSense material change that affects the build schedule; a sponsorship that requires a logo on the team shirt). These go to a meeting vote with a simple majority; the mentors have observer roles but not voting roles.</w:t>
      </w:r>
    </w:p>
    <w:p>
      <w:pPr>
        <w:pStyle w:val="ListParagraph"/>
        <w:numPr>
          <w:ilvl w:val="0"/>
          <w:numId w:val="3"/>
        </w:numPr>
        <w:spacing w:after="40" w:before="40" w:line="280"/>
      </w:pPr>
      <w:r>
        <w:rPr>
          <w:rFonts w:ascii="Arial" w:cs="Arial" w:eastAsia="Arial" w:hAnsi="Arial"/>
          <w:b/>
          <w:bCs/>
          <w:i w:val="false"/>
          <w:iCs w:val="false"/>
          <w:color w:val="1A1A1A"/>
          <w:sz w:val="22"/>
          <w:szCs w:val="22"/>
        </w:rPr>
        <w:t xml:space="preserve">Mentor sign-off </w:t>
      </w:r>
      <w:r>
        <w:rPr>
          <w:rFonts w:ascii="Arial" w:cs="Arial" w:eastAsia="Arial" w:hAnsi="Arial"/>
          <w:b w:val="false"/>
          <w:bCs w:val="false"/>
          <w:i w:val="false"/>
          <w:iCs w:val="false"/>
          <w:color w:val="1A1A1A"/>
          <w:sz w:val="22"/>
          <w:szCs w:val="22"/>
        </w:rPr>
        <w:t xml:space="preserve">is required for two things only: anything that affects safety (workshop equipment, travel) and anything that commits money outside the agreed budget. Mentors do not direct technical choices; they hold the safety and financial backstop.</w:t>
      </w:r>
    </w:p>
    <w:p>
      <w:pPr>
        <w:spacing w:after="100" w:before="0" w:line="300"/>
      </w:pPr>
      <w:r>
        <w:rPr>
          <w:rFonts w:ascii="Arial" w:cs="Arial" w:eastAsia="Arial" w:hAnsi="Arial"/>
          <w:b w:val="false"/>
          <w:bCs w:val="false"/>
          <w:i w:val="false"/>
          <w:iCs w:val="false"/>
          <w:color w:val="1A1A1A"/>
          <w:sz w:val="22"/>
          <w:szCs w:val="22"/>
        </w:rPr>
        <w:t xml:space="preserve">The boundary between mentor input and student ownership is deliberate. FLL Core Values explicitly judge student ownership of the work, and the protocol above is what keeps that line clean. The Innovation Project is student-led; the mentors are advisors, not collaborators on the engineering.</w:t>
      </w:r>
    </w:p>
    <w:p>
      <w:pPr>
        <w:pStyle w:val="Heading2"/>
        <w:spacing w:after="140" w:before="280"/>
      </w:pPr>
      <w:r>
        <w:rPr>
          <w:rFonts w:ascii="Arial" w:cs="Arial" w:eastAsia="Arial" w:hAnsi="Arial"/>
          <w:b/>
          <w:bCs/>
          <w:color w:val="1A1A1A"/>
          <w:sz w:val="26"/>
          <w:szCs w:val="26"/>
        </w:rPr>
        <w:t xml:space="preserve">2.4   Meeting cadence and minutes</w:t>
      </w:r>
    </w:p>
    <w:p>
      <w:pPr>
        <w:spacing w:after="100" w:before="0" w:line="300"/>
      </w:pPr>
      <w:r>
        <w:rPr>
          <w:rFonts w:ascii="Arial" w:cs="Arial" w:eastAsia="Arial" w:hAnsi="Arial"/>
          <w:b w:val="false"/>
          <w:bCs w:val="false"/>
          <w:i w:val="false"/>
          <w:iCs w:val="false"/>
          <w:color w:val="1A1A1A"/>
          <w:sz w:val="22"/>
          <w:szCs w:val="22"/>
        </w:rPr>
        <w:t xml:space="preserve">The team meets on a regular weekly cadence during term time, with extra weekend sessions in the four weeks before each competition. The format is fixed so meetings are predictable and short: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4160"/>
      </w:tblGrid>
      <w:tr>
        <w:tc>
          <w:tcPr>
            <w:tcW w:type="dxa" w:w="2200"/>
            <w:tcBorders>
              <w:top w:val="single" w:color="C8C8C8" w:sz="4"/>
              <w:left w:val="single" w:color="C8C8C8" w:sz="4"/>
              <w:bottom w:val="single" w:color="C8C8C8" w:sz="4"/>
              <w:right w:val="single" w:color="C8C8C8" w:sz="4"/>
            </w:tcBorders>
            <w:shd w:fill="F4F4F2" w:val="clear"/>
            <w:tcMar>
              <w:top w:type="dxa" w:w="80"/>
              <w:left w:type="dxa" w:w="120"/>
              <w:bottom w:type="dxa" w:w="80"/>
              <w:right w:type="dxa" w:w="120"/>
            </w:tcMar>
          </w:tcPr>
          <w:p>
            <w:pPr>
              <w:spacing w:after="0" w:before="0" w:line="260"/>
            </w:pPr>
            <w:r>
              <w:rPr>
                <w:rFonts w:ascii="Arial" w:cs="Arial" w:eastAsia="Arial" w:hAnsi="Arial"/>
                <w:b/>
                <w:bCs/>
                <w:color w:val="1A1A1A"/>
                <w:sz w:val="18"/>
                <w:szCs w:val="18"/>
              </w:rPr>
              <w:t xml:space="preserve">Meeting type</w:t>
            </w:r>
          </w:p>
        </w:tc>
        <w:tc>
          <w:tcPr>
            <w:tcW w:type="dxa" w:w="1800"/>
            <w:tcBorders>
              <w:top w:val="single" w:color="C8C8C8" w:sz="4"/>
              <w:left w:val="single" w:color="C8C8C8" w:sz="4"/>
              <w:bottom w:val="single" w:color="C8C8C8" w:sz="4"/>
              <w:right w:val="single" w:color="C8C8C8" w:sz="4"/>
            </w:tcBorders>
            <w:shd w:fill="F4F4F2" w:val="clear"/>
            <w:tcMar>
              <w:top w:type="dxa" w:w="80"/>
              <w:left w:type="dxa" w:w="120"/>
              <w:bottom w:type="dxa" w:w="80"/>
              <w:right w:type="dxa" w:w="120"/>
            </w:tcMar>
          </w:tcPr>
          <w:p>
            <w:pPr>
              <w:spacing w:after="0" w:before="0" w:line="260"/>
            </w:pPr>
            <w:r>
              <w:rPr>
                <w:rFonts w:ascii="Arial" w:cs="Arial" w:eastAsia="Arial" w:hAnsi="Arial"/>
                <w:b/>
                <w:bCs/>
                <w:color w:val="1A1A1A"/>
                <w:sz w:val="18"/>
                <w:szCs w:val="18"/>
              </w:rPr>
              <w:t xml:space="preserve">Frequency</w:t>
            </w:r>
          </w:p>
        </w:tc>
        <w:tc>
          <w:tcPr>
            <w:tcW w:type="dxa" w:w="1400"/>
            <w:tcBorders>
              <w:top w:val="single" w:color="C8C8C8" w:sz="4"/>
              <w:left w:val="single" w:color="C8C8C8" w:sz="4"/>
              <w:bottom w:val="single" w:color="C8C8C8" w:sz="4"/>
              <w:right w:val="single" w:color="C8C8C8" w:sz="4"/>
            </w:tcBorders>
            <w:shd w:fill="F4F4F2" w:val="clear"/>
            <w:tcMar>
              <w:top w:type="dxa" w:w="80"/>
              <w:left w:type="dxa" w:w="120"/>
              <w:bottom w:type="dxa" w:w="80"/>
              <w:right w:type="dxa" w:w="120"/>
            </w:tcMar>
          </w:tcPr>
          <w:p>
            <w:pPr>
              <w:spacing w:after="0" w:before="0" w:line="260"/>
            </w:pPr>
            <w:r>
              <w:rPr>
                <w:rFonts w:ascii="Arial" w:cs="Arial" w:eastAsia="Arial" w:hAnsi="Arial"/>
                <w:b/>
                <w:bCs/>
                <w:color w:val="1A1A1A"/>
                <w:sz w:val="18"/>
                <w:szCs w:val="18"/>
              </w:rPr>
              <w:t xml:space="preserve">Duration</w:t>
            </w:r>
          </w:p>
        </w:tc>
        <w:tc>
          <w:tcPr>
            <w:tcW w:type="dxa" w:w="4160"/>
            <w:tcBorders>
              <w:top w:val="single" w:color="C8C8C8" w:sz="4"/>
              <w:left w:val="single" w:color="C8C8C8" w:sz="4"/>
              <w:bottom w:val="single" w:color="C8C8C8" w:sz="4"/>
              <w:right w:val="single" w:color="C8C8C8" w:sz="4"/>
            </w:tcBorders>
            <w:shd w:fill="F4F4F2" w:val="clear"/>
            <w:tcMar>
              <w:top w:type="dxa" w:w="80"/>
              <w:left w:type="dxa" w:w="120"/>
              <w:bottom w:type="dxa" w:w="80"/>
              <w:right w:type="dxa" w:w="120"/>
            </w:tcMar>
          </w:tcPr>
          <w:p>
            <w:pPr>
              <w:spacing w:after="0" w:before="0" w:line="260"/>
            </w:pPr>
            <w:r>
              <w:rPr>
                <w:rFonts w:ascii="Arial" w:cs="Arial" w:eastAsia="Arial" w:hAnsi="Arial"/>
                <w:b/>
                <w:bCs/>
                <w:color w:val="1A1A1A"/>
                <w:sz w:val="18"/>
                <w:szCs w:val="18"/>
              </w:rPr>
              <w:t xml:space="preserve">Format</w:t>
            </w:r>
          </w:p>
        </w:tc>
      </w:tr>
      <w:tr>
        <w:tc>
          <w:tcPr>
            <w:tcW w:type="dxa" w:w="22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Weekly standup</w:t>
            </w:r>
          </w:p>
        </w:tc>
        <w:tc>
          <w:tcPr>
            <w:tcW w:type="dxa" w:w="18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Weekly, [DAY + TIME]</w:t>
            </w:r>
          </w:p>
        </w:tc>
        <w:tc>
          <w:tcPr>
            <w:tcW w:type="dxa" w:w="14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30 to 45 min</w:t>
            </w:r>
          </w:p>
        </w:tc>
        <w:tc>
          <w:tcPr>
            <w:tcW w:type="dxa" w:w="41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Each workstream owner reports: what shipped this week, what is blocked, what is next. Mentor present. Minutes captured by rotating scribe.</w:t>
            </w:r>
          </w:p>
        </w:tc>
      </w:tr>
      <w:tr>
        <w:tc>
          <w:tcPr>
            <w:tcW w:type="dxa" w:w="22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Whole-team build session</w:t>
            </w:r>
          </w:p>
        </w:tc>
        <w:tc>
          <w:tcPr>
            <w:tcW w:type="dxa" w:w="18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Weekly, [DAY + TIME]</w:t>
            </w:r>
          </w:p>
        </w:tc>
        <w:tc>
          <w:tcPr>
            <w:tcW w:type="dxa" w:w="14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2 to 3 hr</w:t>
            </w:r>
          </w:p>
        </w:tc>
        <w:tc>
          <w:tcPr>
            <w:tcW w:type="dxa" w:w="41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Workshop. Hands-on robot iteration, attachment building, SoftSense print + assemble, bench tests.</w:t>
            </w:r>
          </w:p>
        </w:tc>
      </w:tr>
      <w:tr>
        <w:tc>
          <w:tcPr>
            <w:tcW w:type="dxa" w:w="22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Whole-team work session</w:t>
            </w:r>
          </w:p>
        </w:tc>
        <w:tc>
          <w:tcPr>
            <w:tcW w:type="dxa" w:w="18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As needed in heavy weeks</w:t>
            </w:r>
          </w:p>
        </w:tc>
        <w:tc>
          <w:tcPr>
            <w:tcW w:type="dxa" w:w="14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Half day</w:t>
            </w:r>
          </w:p>
        </w:tc>
        <w:tc>
          <w:tcPr>
            <w:tcW w:type="dxa" w:w="41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Bigger blocks of time: prototype iteration, documentation writing, sponsorship deck work. Saturdays during exam-free weeks.</w:t>
            </w:r>
          </w:p>
        </w:tc>
      </w:tr>
      <w:tr>
        <w:tc>
          <w:tcPr>
            <w:tcW w:type="dxa" w:w="22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Pre-competition crunch</w:t>
            </w:r>
          </w:p>
        </w:tc>
        <w:tc>
          <w:tcPr>
            <w:tcW w:type="dxa" w:w="18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Daily, 4 weeks before comp</w:t>
            </w:r>
          </w:p>
        </w:tc>
        <w:tc>
          <w:tcPr>
            <w:tcW w:type="dxa" w:w="14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Variable</w:t>
            </w:r>
          </w:p>
        </w:tc>
        <w:tc>
          <w:tcPr>
            <w:tcW w:type="dxa" w:w="41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Daily standups by Discord; long workshop sessions on weekends; field practice every weekday after school the week before.</w:t>
            </w:r>
          </w:p>
        </w:tc>
      </w:tr>
      <w:tr>
        <w:tc>
          <w:tcPr>
            <w:tcW w:type="dxa" w:w="22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Post-competition retro</w:t>
            </w:r>
          </w:p>
        </w:tc>
        <w:tc>
          <w:tcPr>
            <w:tcW w:type="dxa" w:w="18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Within 1 week of each comp</w:t>
            </w:r>
          </w:p>
        </w:tc>
        <w:tc>
          <w:tcPr>
            <w:tcW w:type="dxa" w:w="14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1 hr</w:t>
            </w:r>
          </w:p>
        </w:tc>
        <w:tc>
          <w:tcPr>
            <w:tcW w:type="dxa" w:w="41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What worked, what failed, what to change before the next competition. Outputs feed back into the Gantt rebuild (see §2.1).</w:t>
            </w:r>
          </w:p>
        </w:tc>
      </w:tr>
    </w:tbl>
    <w:p>
      <w:pPr>
        <w:spacing w:after="120"/>
      </w:pPr>
      <w:r>
        <w:t xml:space="preserve"/>
      </w:r>
    </w:p>
    <w:p>
      <w:pPr>
        <w:spacing w:after="100" w:before="0" w:line="300"/>
      </w:pPr>
      <w:r>
        <w:rPr>
          <w:rFonts w:ascii="Arial" w:cs="Arial" w:eastAsia="Arial" w:hAnsi="Arial"/>
          <w:b w:val="false"/>
          <w:bCs w:val="false"/>
          <w:i w:val="false"/>
          <w:iCs w:val="false"/>
          <w:color w:val="1A1A1A"/>
          <w:sz w:val="22"/>
          <w:szCs w:val="22"/>
        </w:rPr>
        <w:t xml:space="preserve">Meeting minutes. Each meeting has a rotating scribe (a different member each week, mentor included) who captures decisions, action items with owners, and any blocked work needing escalation. Minutes live in the team Google Drive and are linked from each week's standup agenda. The judges flagged minutes as a specific EXCEEDS criterion at Nationals; the existing system was informal and we have formalised it for the Korea cycle.</w:t>
      </w:r>
    </w:p>
    <w:p>
      <w:pPr>
        <w:pStyle w:val="Heading2"/>
        <w:spacing w:after="140" w:before="280"/>
      </w:pPr>
      <w:r>
        <w:rPr>
          <w:rFonts w:ascii="Arial" w:cs="Arial" w:eastAsia="Arial" w:hAnsi="Arial"/>
          <w:b/>
          <w:bCs/>
          <w:color w:val="1A1A1A"/>
          <w:sz w:val="26"/>
          <w:szCs w:val="26"/>
        </w:rPr>
        <w:t xml:space="preserve">2.5   Workshop, testing, and the evidence trail</w:t>
      </w:r>
    </w:p>
    <w:p>
      <w:pPr>
        <w:spacing w:after="100" w:before="0" w:line="300"/>
      </w:pPr>
      <w:r>
        <w:rPr>
          <w:rFonts w:ascii="Arial" w:cs="Arial" w:eastAsia="Arial" w:hAnsi="Arial"/>
          <w:b w:val="false"/>
          <w:bCs w:val="false"/>
          <w:i w:val="false"/>
          <w:iCs w:val="false"/>
          <w:color w:val="1A1A1A"/>
          <w:sz w:val="22"/>
          <w:szCs w:val="22"/>
        </w:rPr>
        <w:t xml:space="preserve">The Nationals reviewer wrote, verbatim: "we saw a table with grip data but no pictures of it operating/testing or an explicit demonstration of the electronics." That feedback drives this subsection. From now until Korea, every bench test, every build session, and every expert meeting is photographed and the photo gets a date and a caption. The frames below are placeholders; the live versions sit in the team Google Drive and will be inserted before the final pre-Korea reissue of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760"/>
      </w:tblGrid>
      <w:tr>
        <w:tc>
          <w:tcPr>
            <w:tcW w:type="dxa" w:w="2400"/>
            <w:tcBorders>
              <w:top w:val="single" w:color="C8C8C8" w:sz="4"/>
              <w:left w:val="single" w:color="C8C8C8" w:sz="4"/>
              <w:bottom w:val="single" w:color="C8C8C8" w:sz="4"/>
              <w:right w:val="single" w:color="C8C8C8" w:sz="4"/>
            </w:tcBorders>
            <w:shd w:fill="F4F4F2" w:val="clear"/>
            <w:tcMar>
              <w:top w:type="dxa" w:w="80"/>
              <w:left w:type="dxa" w:w="120"/>
              <w:bottom w:type="dxa" w:w="80"/>
              <w:right w:type="dxa" w:w="120"/>
            </w:tcMar>
          </w:tcPr>
          <w:p>
            <w:pPr>
              <w:spacing w:after="0" w:before="0" w:line="260"/>
            </w:pPr>
            <w:r>
              <w:rPr>
                <w:rFonts w:ascii="Arial" w:cs="Arial" w:eastAsia="Arial" w:hAnsi="Arial"/>
                <w:b/>
                <w:bCs/>
                <w:color w:val="1A1A1A"/>
                <w:sz w:val="18"/>
                <w:szCs w:val="18"/>
              </w:rPr>
              <w:t xml:space="preserve">Evidence type</w:t>
            </w:r>
          </w:p>
        </w:tc>
        <w:tc>
          <w:tcPr>
            <w:tcW w:type="dxa" w:w="4400"/>
            <w:tcBorders>
              <w:top w:val="single" w:color="C8C8C8" w:sz="4"/>
              <w:left w:val="single" w:color="C8C8C8" w:sz="4"/>
              <w:bottom w:val="single" w:color="C8C8C8" w:sz="4"/>
              <w:right w:val="single" w:color="C8C8C8" w:sz="4"/>
            </w:tcBorders>
            <w:shd w:fill="F4F4F2" w:val="clear"/>
            <w:tcMar>
              <w:top w:type="dxa" w:w="80"/>
              <w:left w:type="dxa" w:w="120"/>
              <w:bottom w:type="dxa" w:w="80"/>
              <w:right w:type="dxa" w:w="120"/>
            </w:tcMar>
          </w:tcPr>
          <w:p>
            <w:pPr>
              <w:spacing w:after="0" w:before="0" w:line="260"/>
            </w:pPr>
            <w:r>
              <w:rPr>
                <w:rFonts w:ascii="Arial" w:cs="Arial" w:eastAsia="Arial" w:hAnsi="Arial"/>
                <w:b/>
                <w:bCs/>
                <w:color w:val="1A1A1A"/>
                <w:sz w:val="18"/>
                <w:szCs w:val="18"/>
              </w:rPr>
              <w:t xml:space="preserve">What we capture</w:t>
            </w:r>
          </w:p>
        </w:tc>
        <w:tc>
          <w:tcPr>
            <w:tcW w:type="dxa" w:w="2760"/>
            <w:tcBorders>
              <w:top w:val="single" w:color="C8C8C8" w:sz="4"/>
              <w:left w:val="single" w:color="C8C8C8" w:sz="4"/>
              <w:bottom w:val="single" w:color="C8C8C8" w:sz="4"/>
              <w:right w:val="single" w:color="C8C8C8" w:sz="4"/>
            </w:tcBorders>
            <w:shd w:fill="F4F4F2" w:val="clear"/>
            <w:tcMar>
              <w:top w:type="dxa" w:w="80"/>
              <w:left w:type="dxa" w:w="120"/>
              <w:bottom w:type="dxa" w:w="80"/>
              <w:right w:type="dxa" w:w="120"/>
            </w:tcMar>
          </w:tcPr>
          <w:p>
            <w:pPr>
              <w:spacing w:after="0" w:before="0" w:line="260"/>
            </w:pPr>
            <w:r>
              <w:rPr>
                <w:rFonts w:ascii="Arial" w:cs="Arial" w:eastAsia="Arial" w:hAnsi="Arial"/>
                <w:b/>
                <w:bCs/>
                <w:color w:val="1A1A1A"/>
                <w:sz w:val="18"/>
                <w:szCs w:val="18"/>
              </w:rPr>
              <w:t xml:space="preserve">Where it lives</w:t>
            </w:r>
          </w:p>
        </w:tc>
      </w:tr>
      <w:tr>
        <w:tc>
          <w:tcPr>
            <w:tcW w:type="dxa" w:w="24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Build session photos</w:t>
            </w:r>
          </w:p>
        </w:tc>
        <w:tc>
          <w:tcPr>
            <w:tcW w:type="dxa" w:w="44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Hands on the parts. Faces of the people building. Whiteboard sketches from the session.</w:t>
            </w:r>
          </w:p>
        </w:tc>
        <w:tc>
          <w:tcPr>
            <w:tcW w:type="dxa" w:w="27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team Google Drive / build-sessions/</w:t>
            </w:r>
          </w:p>
        </w:tc>
      </w:tr>
      <w:tr>
        <w:tc>
          <w:tcPr>
            <w:tcW w:type="dxa" w:w="24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Bench test photos + video</w:t>
            </w:r>
          </w:p>
        </w:tc>
        <w:tc>
          <w:tcPr>
            <w:tcW w:type="dxa" w:w="44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Each object (bone, anchor, vase, chest) being gripped. The pressure sensor readout on the laptop. The pad deformation visible. Short video (10 to 30 s) per test.</w:t>
            </w:r>
          </w:p>
        </w:tc>
        <w:tc>
          <w:tcPr>
            <w:tcW w:type="dxa" w:w="27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team Google Drive / bench-tests/</w:t>
            </w:r>
          </w:p>
        </w:tc>
      </w:tr>
      <w:tr>
        <w:tc>
          <w:tcPr>
            <w:tcW w:type="dxa" w:w="24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Electronics demonstration</w:t>
            </w:r>
          </w:p>
        </w:tc>
        <w:tc>
          <w:tcPr>
            <w:tcW w:type="dxa" w:w="44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The pressure sensor board with the foam pad. The signal trace on the screen as the pad is loaded by hand. The auto-stop firing on a test object.</w:t>
            </w:r>
          </w:p>
        </w:tc>
        <w:tc>
          <w:tcPr>
            <w:tcW w:type="dxa" w:w="27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team Google Drive / electronics-demo/</w:t>
            </w:r>
          </w:p>
        </w:tc>
      </w:tr>
      <w:tr>
        <w:tc>
          <w:tcPr>
            <w:tcW w:type="dxa" w:w="24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Expert meeting photos</w:t>
            </w:r>
          </w:p>
        </w:tc>
        <w:tc>
          <w:tcPr>
            <w:tcW w:type="dxa" w:w="44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Team members with the expert (Patrick Morrison, Tim MacDonald, Woodside, Fugro). Whiteboard notes from the meeting. Signed prototype.</w:t>
            </w:r>
          </w:p>
        </w:tc>
        <w:tc>
          <w:tcPr>
            <w:tcW w:type="dxa" w:w="27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team Google Drive / expert-meetings/</w:t>
            </w:r>
          </w:p>
        </w:tc>
      </w:tr>
      <w:tr>
        <w:tc>
          <w:tcPr>
            <w:tcW w:type="dxa" w:w="24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GitHub commit log per member</w:t>
            </w:r>
          </w:p>
        </w:tc>
        <w:tc>
          <w:tcPr>
            <w:tcW w:type="dxa" w:w="44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Public git history for Lebob-Unearthed (mission code), Lebob-Website (team site), and the SoftSense CAD repo. Commits per author over the season, downloadable.</w:t>
            </w:r>
          </w:p>
        </w:tc>
        <w:tc>
          <w:tcPr>
            <w:tcW w:type="dxa" w:w="27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github.com/Lebob-Robotics + github.com/prawny-boy/FLL-Lebob-Unearthed</w:t>
            </w:r>
          </w:p>
        </w:tc>
      </w:tr>
      <w:tr>
        <w:tc>
          <w:tcPr>
            <w:tcW w:type="dxa" w:w="24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Meeting minutes</w:t>
            </w:r>
          </w:p>
        </w:tc>
        <w:tc>
          <w:tcPr>
            <w:tcW w:type="dxa" w:w="44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Dated, scribed by rotating member, decisions + action items + owners.</w:t>
            </w:r>
          </w:p>
        </w:tc>
        <w:tc>
          <w:tcPr>
            <w:tcW w:type="dxa" w:w="27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team Google Drive / minutes/</w:t>
            </w:r>
          </w:p>
        </w:tc>
      </w:tr>
    </w:tbl>
    <w:p>
      <w:pPr>
        <w:spacing w:after="120"/>
      </w:pPr>
      <w:r>
        <w:t xml:space="preserve"/>
      </w:r>
    </w:p>
    <w:p>
      <w:pPr>
        <w:pBdr>
          <w:top w:val="single" w:color="F5D802" w:sz="4" w:space="6"/>
          <w:left w:val="single" w:color="F5D802" w:sz="4" w:space="6"/>
          <w:bottom w:val="single" w:color="F5D802" w:sz="4" w:space="6"/>
          <w:right w:val="single" w:color="F5D802" w:sz="4" w:space="6"/>
        </w:pBdr>
        <w:shd w:fill="F4F4F2" w:val="clear"/>
        <w:spacing w:after="180" w:before="180" w:line="320"/>
        <w:ind w:left="180" w:right="180"/>
      </w:pPr>
      <w:r>
        <w:rPr>
          <w:rFonts w:ascii="Arial" w:cs="Arial" w:eastAsia="Arial" w:hAnsi="Arial"/>
          <w:b/>
          <w:bCs/>
          <w:color w:val="1A1A1A"/>
          <w:sz w:val="22"/>
          <w:szCs w:val="22"/>
        </w:rPr>
        <w:t xml:space="preserve">Open work item before Korea.</w:t>
      </w:r>
      <w:r>
        <w:rPr>
          <w:rFonts w:ascii="Arial" w:cs="Arial" w:eastAsia="Arial" w:hAnsi="Arial"/>
          <w:color w:val="1A1A1A"/>
          <w:sz w:val="22"/>
          <w:szCs w:val="22"/>
        </w:rPr>
        <w:t xml:space="preserve">   Three deliverables for the Korea-prep block, each owned by the workstream listed in the Gantt: (1) photograph the next two bench-test sessions and one workshop session by 15 June; (2) record a 60 second electronics-demonstration video showing the per-pad pressure feedback in action; (3) export the GitHub commit-per-author chart for the season and embed it here. All three close the specific EXCEEDS gap the Nationals reviewer named.</w:t>
      </w:r>
    </w:p>
    <w:p>
      <w:r>
        <w:br w:type="page"/>
      </w:r>
    </w:p>
    <w:p>
      <w:pPr>
        <w:pStyle w:val="Heading1"/>
        <w:pBdr>
          <w:top w:val="none" w:color="FFFFFF" w:sz="0" w:space="0"/>
          <w:left w:val="none" w:color="FFFFFF" w:sz="0" w:space="0"/>
          <w:bottom w:val="single" w:color="F5D802" w:sz="18" w:space="4"/>
          <w:right w:val="none" w:color="FFFFFF" w:sz="0" w:space="0"/>
        </w:pBdr>
        <w:spacing w:after="200" w:before="320"/>
      </w:pPr>
      <w:r>
        <w:rPr>
          <w:rFonts w:ascii="Arial" w:cs="Arial" w:eastAsia="Arial" w:hAnsi="Arial"/>
          <w:b/>
          <w:bCs/>
          <w:color w:val="1A1A1A"/>
          <w:sz w:val="36"/>
          <w:szCs w:val="36"/>
        </w:rPr>
        <w:t xml:space="preserve">3. Our solution: the four innovations of SoftSense</w:t>
      </w:r>
    </w:p>
    <w:p>
      <w:pPr>
        <w:spacing w:after="100" w:before="0" w:line="300"/>
      </w:pPr>
      <w:r>
        <w:rPr>
          <w:rFonts w:ascii="Arial" w:cs="Arial" w:eastAsia="Arial" w:hAnsi="Arial"/>
          <w:b w:val="false"/>
          <w:bCs w:val="false"/>
          <w:i w:val="false"/>
          <w:iCs w:val="false"/>
          <w:color w:val="1A1A1A"/>
          <w:sz w:val="22"/>
          <w:szCs w:val="22"/>
        </w:rPr>
        <w:t xml:space="preserve">SoftSense upgrades the standard ROV gripper by combining four innovations that directly target the four failure modes from §1. Each one was tested, each one was reviewed by a working expert, and each one is described below in the order we built it.</w:t>
      </w:r>
    </w:p>
    <w:p>
      <w:pPr>
        <w:spacing w:after="80" w:before="160"/>
        <w:jc w:val="center"/>
      </w:pPr>
      <w:r>
        <w:drawing>
          <wp:inline distT="0" distB="0" distL="0" distR="0">
            <wp:extent cx="50292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29200" cy="3352800"/>
                    </a:xfrm>
                    <a:prstGeom prst="rect">
                      <a:avLst/>
                    </a:prstGeom>
                  </pic:spPr>
                </pic:pic>
              </a:graphicData>
            </a:graphic>
          </wp:inline>
        </w:drawing>
      </w:r>
    </w:p>
    <w:p>
      <w:pPr>
        <w:spacing w:after="220" w:before="60"/>
        <w:jc w:val="center"/>
      </w:pPr>
      <w:r>
        <w:rPr>
          <w:rFonts w:ascii="Arial" w:cs="Arial" w:eastAsia="Arial" w:hAnsi="Arial"/>
          <w:i/>
          <w:iCs/>
          <w:color w:val="6B6B6B"/>
          <w:sz w:val="18"/>
          <w:szCs w:val="18"/>
        </w:rPr>
        <w:t xml:space="preserve">Figure 2.1   The SoftSense end effector with the cover removed, alongside the actuator ladder we surveyed. The gripper itself is one part; the actuator is the modularity swap point that sets the depth rating.</w:t>
      </w:r>
    </w:p>
    <w:p>
      <w:pPr>
        <w:pStyle w:val="Heading2"/>
        <w:spacing w:after="140" w:before="280"/>
      </w:pPr>
      <w:r>
        <w:rPr>
          <w:rFonts w:ascii="Arial" w:cs="Arial" w:eastAsia="Arial" w:hAnsi="Arial"/>
          <w:b/>
          <w:bCs/>
          <w:color w:val="1A1A1A"/>
          <w:sz w:val="26"/>
          <w:szCs w:val="26"/>
        </w:rPr>
        <w:t xml:space="preserve">Innovation 1: adaptive soft-contact finger pads</w:t>
      </w:r>
    </w:p>
    <w:p>
      <w:pPr>
        <w:spacing w:after="100" w:before="0" w:line="300"/>
      </w:pPr>
      <w:r>
        <w:rPr>
          <w:rFonts w:ascii="Arial" w:cs="Arial" w:eastAsia="Arial" w:hAnsi="Arial"/>
          <w:b w:val="false"/>
          <w:bCs w:val="false"/>
          <w:i w:val="false"/>
          <w:iCs w:val="false"/>
          <w:color w:val="1A1A1A"/>
          <w:sz w:val="22"/>
          <w:szCs w:val="22"/>
        </w:rPr>
        <w:t xml:space="preserve">Each fingertip carries a flexible foam pad so the arm no longer presses metal against the artefact. The soft pad spreads the gripping force across a wider area, lowering peak stress on fragile material. This reduces breakage risk and lets the arm safely handle smooth and curved surfaces, such as vases, bones, and rounded stone fragments. Where a rigid jaw point-loads a 4 mm patch of pottery rim, a foam pad distributes the same total force across roughly ten times the area.</w:t>
      </w:r>
    </w:p>
    <w:p>
      <w:pPr>
        <w:spacing w:after="100" w:before="0" w:line="300"/>
      </w:pPr>
      <w:r>
        <w:rPr>
          <w:rFonts w:ascii="Arial" w:cs="Arial" w:eastAsia="Arial" w:hAnsi="Arial"/>
          <w:b w:val="false"/>
          <w:bCs w:val="false"/>
          <w:i w:val="false"/>
          <w:iCs w:val="false"/>
          <w:color w:val="1A1A1A"/>
          <w:sz w:val="22"/>
          <w:szCs w:val="22"/>
        </w:rPr>
        <w:t xml:space="preserve">In our 2 finger versus 4 finger bench test (§15), the 4 finger configuration outperformed 2 finger on smooth or round geometry (the vase) and on poor grip feature geometry (the bone), and tied on regular feature geometry (the anchor and chest). That is the soft pad's contribution made measurable: four pads conforming to an awkward shape beats two flat jaws every time the shape stops being a T-bar handle.</w:t>
      </w:r>
    </w:p>
    <w:p>
      <w:pPr>
        <w:pStyle w:val="Heading2"/>
        <w:spacing w:after="140" w:before="280"/>
      </w:pPr>
      <w:r>
        <w:rPr>
          <w:rFonts w:ascii="Arial" w:cs="Arial" w:eastAsia="Arial" w:hAnsi="Arial"/>
          <w:b/>
          <w:bCs/>
          <w:color w:val="1A1A1A"/>
          <w:sz w:val="26"/>
          <w:szCs w:val="26"/>
        </w:rPr>
        <w:t xml:space="preserve">Innovation 2: embedded pressure-sensing system</w:t>
      </w:r>
    </w:p>
    <w:p>
      <w:pPr>
        <w:spacing w:after="100" w:before="0" w:line="300"/>
      </w:pPr>
      <w:r>
        <w:rPr>
          <w:rFonts w:ascii="Arial" w:cs="Arial" w:eastAsia="Arial" w:hAnsi="Arial"/>
          <w:b w:val="false"/>
          <w:bCs w:val="false"/>
          <w:i w:val="false"/>
          <w:iCs w:val="false"/>
          <w:color w:val="1A1A1A"/>
          <w:sz w:val="22"/>
          <w:szCs w:val="22"/>
        </w:rPr>
        <w:t xml:space="preserve">Underneath every foam pad sits a calibrated pressure sensor. These sensors continuously stream a force reading to the pilot's console, and optionally into our auto-stop control loop that halts the actuator the moment pressure passes a configurable threshold. The pilot finally gets an early warning before crushing something. The control code can hold different presets per artefact class: a low threshold for coral, a different one for bone, a different one for ceramic.</w:t>
      </w:r>
    </w:p>
    <w:p>
      <w:pPr>
        <w:spacing w:after="100" w:before="0" w:line="300"/>
      </w:pPr>
      <w:r>
        <w:rPr>
          <w:rFonts w:ascii="Arial" w:cs="Arial" w:eastAsia="Arial" w:hAnsi="Arial"/>
          <w:b w:val="false"/>
          <w:bCs w:val="false"/>
          <w:i w:val="false"/>
          <w:iCs w:val="false"/>
          <w:color w:val="1A1A1A"/>
          <w:sz w:val="22"/>
          <w:szCs w:val="22"/>
        </w:rPr>
        <w:t xml:space="preserve">David Howard, in his Regionals feedback, identified a subtle confounder: as the gripper descends, ambient water pressure rises by roughly 1 atmosphere every 10 metres. A naïve pressure sensor would read "squeeze" when there is none. Our fix is a second pressure sensor on the main body of the claw that measures ambient water pressure. The control code subtracts ambient from each pad reading and recovers an accurate squeeze value at any depth.</w:t>
      </w:r>
    </w:p>
    <w:p>
      <w:pPr>
        <w:spacing w:after="100" w:before="0" w:line="300"/>
      </w:pPr>
      <w:r>
        <w:rPr>
          <w:rFonts w:ascii="Arial" w:cs="Arial" w:eastAsia="Arial" w:hAnsi="Arial"/>
          <w:b w:val="false"/>
          <w:bCs w:val="false"/>
          <w:i w:val="false"/>
          <w:iCs w:val="false"/>
          <w:color w:val="1A1A1A"/>
          <w:sz w:val="22"/>
          <w:szCs w:val="22"/>
        </w:rPr>
        <w:t xml:space="preserve">Patrick Morrison flagged a second concern at our 14 May site visit. Foam under pressure compresses; air pockets inside the foam shrink with depth. His suggested countermeasures are oil filling (incompressible), moving the sensing to the joints via encoders, or a differential pressure sensor that reads pad minus ambient mechanically rather than in software. All three are on our roadmap for the post-Korea engineering iteration.</w:t>
      </w:r>
    </w:p>
    <w:p>
      <w:pPr>
        <w:pBdr>
          <w:top w:val="none" w:color="FFFFFF" w:sz="0" w:space="0"/>
          <w:left w:val="single" w:color="E63027" w:sz="28" w:space="14"/>
          <w:bottom w:val="none" w:color="FFFFFF" w:sz="0" w:space="0"/>
          <w:right w:val="none" w:color="FFFFFF" w:sz="0" w:space="0"/>
        </w:pBdr>
        <w:spacing w:after="220" w:before="220" w:line="340"/>
        <w:ind w:left="360"/>
      </w:pPr>
      <w:r>
        <w:rPr>
          <w:rFonts w:ascii="Arial" w:cs="Arial" w:eastAsia="Arial" w:hAnsi="Arial"/>
          <w:i/>
          <w:iCs/>
          <w:color w:val="1A1A1A"/>
          <w:sz w:val="24"/>
          <w:szCs w:val="24"/>
        </w:rPr>
        <w:t xml:space="preserve">Force feedback is essential. Most industrial archaeological arms have it. Without it, you crush things and don't know.   Patrick Morrison, WA Shipwrecks Museum.</w:t>
      </w:r>
    </w:p>
    <w:p>
      <w:pPr>
        <w:pStyle w:val="Heading2"/>
        <w:spacing w:after="140" w:before="280"/>
      </w:pPr>
      <w:r>
        <w:rPr>
          <w:rFonts w:ascii="Arial" w:cs="Arial" w:eastAsia="Arial" w:hAnsi="Arial"/>
          <w:b/>
          <w:bCs/>
          <w:color w:val="1A1A1A"/>
          <w:sz w:val="26"/>
          <w:szCs w:val="26"/>
        </w:rPr>
        <w:t xml:space="preserve">Innovation 3: rotating finger platform for full-surface contact</w:t>
      </w:r>
    </w:p>
    <w:p>
      <w:pPr>
        <w:spacing w:after="100" w:before="0" w:line="300"/>
      </w:pPr>
      <w:r>
        <w:rPr>
          <w:rFonts w:ascii="Arial" w:cs="Arial" w:eastAsia="Arial" w:hAnsi="Arial"/>
          <w:b w:val="false"/>
          <w:bCs w:val="false"/>
          <w:i w:val="false"/>
          <w:iCs w:val="false"/>
          <w:color w:val="1A1A1A"/>
          <w:sz w:val="22"/>
          <w:szCs w:val="22"/>
        </w:rPr>
        <w:t xml:space="preserve">All four pads and their sensors sit on a rotating platform inside the gripper body. The platform lets the gripper align its contact patches to the angle of the artefact automatically, increasing the surface area that actually touches the object. More contact area at the same total force means lower local pressure and less crush risk. Rotation also relaxes how precisely the ROV pilot has to position the arm in the first place: the platform finds the angle the pilot could not.</w:t>
      </w:r>
    </w:p>
    <w:p>
      <w:pPr>
        <w:spacing w:after="100" w:before="0" w:line="300"/>
      </w:pPr>
      <w:r>
        <w:rPr>
          <w:rFonts w:ascii="Arial" w:cs="Arial" w:eastAsia="Arial" w:hAnsi="Arial"/>
          <w:b w:val="false"/>
          <w:bCs w:val="false"/>
          <w:i w:val="false"/>
          <w:iCs w:val="false"/>
          <w:color w:val="1A1A1A"/>
          <w:sz w:val="22"/>
          <w:szCs w:val="22"/>
        </w:rPr>
        <w:t xml:space="preserve">This feature is specified but not built into the current scaled prototype. The mechanism is reserved for the 1:1 production version. We chose to document what the prototype does and does not show: at the FLL scale the rotating platform adds complexity without showing its real benefit, because the prototype objects are also scaled.</w:t>
      </w:r>
    </w:p>
    <w:p>
      <w:pPr>
        <w:pStyle w:val="Heading2"/>
        <w:spacing w:after="140" w:before="280"/>
      </w:pPr>
      <w:r>
        <w:rPr>
          <w:rFonts w:ascii="Arial" w:cs="Arial" w:eastAsia="Arial" w:hAnsi="Arial"/>
          <w:b/>
          <w:bCs/>
          <w:color w:val="1A1A1A"/>
          <w:sz w:val="26"/>
          <w:szCs w:val="26"/>
        </w:rPr>
        <w:t xml:space="preserve">Innovation 4: a cheap, kit-based, modular claw</w:t>
      </w:r>
    </w:p>
    <w:p>
      <w:pPr>
        <w:spacing w:after="100" w:before="0" w:line="300"/>
      </w:pPr>
      <w:r>
        <w:rPr>
          <w:rFonts w:ascii="Arial" w:cs="Arial" w:eastAsia="Arial" w:hAnsi="Arial"/>
          <w:b w:val="false"/>
          <w:bCs w:val="false"/>
          <w:i w:val="false"/>
          <w:iCs w:val="false"/>
          <w:color w:val="1A1A1A"/>
          <w:sz w:val="22"/>
          <w:szCs w:val="22"/>
        </w:rPr>
        <w:t xml:space="preserve">The whole gripper is designed as a swappable, 3D printed module. The structural body costs around AUD 100 in filament. Archaeologists carry several spares onto a mission and swap a broken module in the field instead of waiting days for a replacement to ship. Better still, because the parts are 3D printed, the crew can carry a small printer on the support vessel and produce a custom grip or new tool on deck while the dive plan continues.</w:t>
      </w:r>
    </w:p>
    <w:p>
      <w:pPr>
        <w:spacing w:after="100" w:before="0" w:line="300"/>
      </w:pPr>
      <w:r>
        <w:rPr>
          <w:rFonts w:ascii="Arial" w:cs="Arial" w:eastAsia="Arial" w:hAnsi="Arial"/>
          <w:b w:val="false"/>
          <w:bCs w:val="false"/>
          <w:i w:val="false"/>
          <w:iCs w:val="false"/>
          <w:color w:val="1A1A1A"/>
          <w:sz w:val="22"/>
          <w:szCs w:val="22"/>
        </w:rPr>
        <w:t xml:space="preserve">This attacks the cost-and-time problem directly. The biggest line item in archaeology is not the gripper, it is the cost of the day. When the gripper fails, the day is wasted; when the gripper can be replaced from a tote in the wet lab, the mission keeps moving. Tim MacDonald (Inkfish, formerly of the DSV Limiting Factor) confirmed this directly when we called him after Regionals:</w:t>
      </w:r>
    </w:p>
    <w:p>
      <w:pPr>
        <w:pBdr>
          <w:top w:val="none" w:color="FFFFFF" w:sz="0" w:space="0"/>
          <w:left w:val="single" w:color="E63027" w:sz="28" w:space="14"/>
          <w:bottom w:val="none" w:color="FFFFFF" w:sz="0" w:space="0"/>
          <w:right w:val="none" w:color="FFFFFF" w:sz="0" w:space="0"/>
        </w:pBdr>
        <w:spacing w:after="220" w:before="220" w:line="340"/>
        <w:ind w:left="360"/>
      </w:pPr>
      <w:r>
        <w:rPr>
          <w:rFonts w:ascii="Arial" w:cs="Arial" w:eastAsia="Arial" w:hAnsi="Arial"/>
          <w:i/>
          <w:iCs/>
          <w:color w:val="1A1A1A"/>
          <w:sz w:val="24"/>
          <w:szCs w:val="24"/>
        </w:rPr>
        <w:t xml:space="preserve">The biggest cost in archaeology is time. Stick with cheap 3D printed parts. Anyone can buy filament anywhere, and the whole thing can be manufactured anywhere like a kit.   Tim MacDonald, subsea engineer.</w:t>
      </w:r>
    </w:p>
    <w:p>
      <w:pPr>
        <w:pStyle w:val="Heading2"/>
        <w:spacing w:after="140" w:before="280"/>
      </w:pPr>
      <w:r>
        <w:rPr>
          <w:rFonts w:ascii="Arial" w:cs="Arial" w:eastAsia="Arial" w:hAnsi="Arial"/>
          <w:b/>
          <w:bCs/>
          <w:color w:val="1A1A1A"/>
          <w:sz w:val="26"/>
          <w:szCs w:val="26"/>
        </w:rPr>
        <w:t xml:space="preserve">How the four fit together</w:t>
      </w:r>
    </w:p>
    <w:p>
      <w:pPr>
        <w:spacing w:after="100" w:before="0" w:line="300"/>
      </w:pPr>
      <w:r>
        <w:rPr>
          <w:rFonts w:ascii="Arial" w:cs="Arial" w:eastAsia="Arial" w:hAnsi="Arial"/>
          <w:b w:val="false"/>
          <w:bCs w:val="false"/>
          <w:i w:val="false"/>
          <w:iCs w:val="false"/>
          <w:color w:val="1A1A1A"/>
          <w:sz w:val="22"/>
          <w:szCs w:val="22"/>
        </w:rPr>
        <w:t xml:space="preserve">Four soft pads spread force; four pressure sensors keep the pilot informed and the actuator safe; a rotating platform brings more pad area into contact with whatever shape the artefact happens to be; and a modular kit shape means the whole gripper is treated as a consumable, not a capital expense. Together, the four innovations turn a basic industrial gripper into an intelligent, adaptable archaeological tool. It protects fragile objects, improves pilot accuracy, and addresses the biggest limitations of today's two-finger manipulators.</w:t>
      </w:r>
    </w:p>
    <w:p>
      <w:r>
        <w:br w:type="page"/>
      </w:r>
    </w:p>
    <w:p>
      <w:pPr>
        <w:pStyle w:val="Heading1"/>
        <w:pBdr>
          <w:top w:val="none" w:color="FFFFFF" w:sz="0" w:space="0"/>
          <w:left w:val="none" w:color="FFFFFF" w:sz="0" w:space="0"/>
          <w:bottom w:val="single" w:color="F5D802" w:sz="18" w:space="4"/>
          <w:right w:val="none" w:color="FFFFFF" w:sz="0" w:space="0"/>
        </w:pBdr>
        <w:spacing w:after="200" w:before="320"/>
      </w:pPr>
      <w:r>
        <w:rPr>
          <w:rFonts w:ascii="Arial" w:cs="Arial" w:eastAsia="Arial" w:hAnsi="Arial"/>
          <w:b/>
          <w:bCs/>
          <w:color w:val="1A1A1A"/>
          <w:sz w:val="36"/>
          <w:szCs w:val="36"/>
        </w:rPr>
        <w:t xml:space="preserve">4. The mechanism in detail</w:t>
      </w:r>
    </w:p>
    <w:p>
      <w:pPr>
        <w:spacing w:after="100" w:before="0" w:line="300"/>
      </w:pPr>
      <w:r>
        <w:rPr>
          <w:rFonts w:ascii="Arial" w:cs="Arial" w:eastAsia="Arial" w:hAnsi="Arial"/>
          <w:b w:val="false"/>
          <w:bCs w:val="false"/>
          <w:i w:val="false"/>
          <w:iCs w:val="false"/>
          <w:color w:val="1A1A1A"/>
          <w:sz w:val="22"/>
          <w:szCs w:val="22"/>
        </w:rPr>
        <w:t xml:space="preserve">The end effector has a single degree of freedom. One input shaft rotates; both fingers open and close symmetrically and splay outward as they open to give a funnel-mouth catch. Everything else flows from that one rotation.</w:t>
      </w:r>
    </w:p>
    <w:p>
      <w:pPr>
        <w:spacing w:after="80" w:before="160"/>
        <w:jc w:val="center"/>
      </w:pPr>
      <w:r>
        <w:drawing>
          <wp:inline distT="0" distB="0" distL="0" distR="0">
            <wp:extent cx="36576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57600" cy="2743200"/>
                    </a:xfrm>
                    <a:prstGeom prst="rect">
                      <a:avLst/>
                    </a:prstGeom>
                  </pic:spPr>
                </pic:pic>
              </a:graphicData>
            </a:graphic>
          </wp:inline>
        </w:drawing>
      </w:r>
    </w:p>
    <w:p>
      <w:pPr>
        <w:spacing w:after="220" w:before="60"/>
        <w:jc w:val="center"/>
      </w:pPr>
      <w:r>
        <w:rPr>
          <w:rFonts w:ascii="Arial" w:cs="Arial" w:eastAsia="Arial" w:hAnsi="Arial"/>
          <w:i/>
          <w:iCs/>
          <w:color w:val="6B6B6B"/>
          <w:sz w:val="18"/>
          <w:szCs w:val="18"/>
        </w:rPr>
        <w:t xml:space="preserve">Figure 3.1   The SoftSense end effector mounted to the actuator canister, in the open pose.</w:t>
      </w:r>
    </w:p>
    <w:p>
      <w:pPr>
        <w:pStyle w:val="Heading2"/>
        <w:spacing w:after="140" w:before="280"/>
      </w:pPr>
      <w:r>
        <w:rPr>
          <w:rFonts w:ascii="Arial" w:cs="Arial" w:eastAsia="Arial" w:hAnsi="Arial"/>
          <w:b/>
          <w:bCs/>
          <w:color w:val="1A1A1A"/>
          <w:sz w:val="26"/>
          <w:szCs w:val="26"/>
        </w:rPr>
        <w:t xml:space="preserve">Drive chain</w:t>
      </w:r>
    </w:p>
    <w:p>
      <w:pPr>
        <w:spacing w:after="100" w:before="0" w:line="300"/>
      </w:pPr>
      <w:r>
        <w:rPr>
          <w:rFonts w:ascii="Arial" w:cs="Arial" w:eastAsia="Arial" w:hAnsi="Arial"/>
          <w:b w:val="false"/>
          <w:bCs w:val="false"/>
          <w:i w:val="false"/>
          <w:iCs w:val="false"/>
          <w:color w:val="1A1A1A"/>
          <w:sz w:val="22"/>
          <w:szCs w:val="22"/>
        </w:rPr>
        <w:t xml:space="preserve">Two equal spur sector gears mesh on the centreline. The left sector carries an integral crown gear on its top face. A small spur input pinion on a vertical shaft drives that crown, a right-angle stage that lets the drive shaft exit out of the housing bottom. From the operator's side the gripper has one input shaft going in and two symmetric fingers coming out.</w:t>
      </w:r>
    </w:p>
    <w:p>
      <w:pPr>
        <w:spacing w:after="100" w:before="0" w:line="300"/>
      </w:pPr>
      <w:r>
        <w:rPr>
          <w:rFonts w:ascii="Arial" w:cs="Arial" w:eastAsia="Arial" w:hAnsi="Arial"/>
          <w:b w:val="false"/>
          <w:bCs w:val="false"/>
          <w:i w:val="false"/>
          <w:iCs w:val="false"/>
          <w:color w:val="1A1A1A"/>
          <w:sz w:val="22"/>
          <w:szCs w:val="22"/>
        </w:rPr>
        <w:t xml:space="preserve">Each sector gear is also the crank of a non-parallelogram four-bar linkage. The finger is rigid with the coupler. The link lengths give a translate-apart motion plus roughly 18° of outward splay across the travel, and we sized them so the transmission angle stays well clear of any dead point (it varies from 71.7° to 34.6° across the open stroke).</w:t>
      </w:r>
    </w:p>
    <w:p>
      <w:pPr>
        <w:spacing w:after="80" w:before="160"/>
        <w:jc w:val="center"/>
      </w:pPr>
      <w:r>
        <w:drawing>
          <wp:inline distT="0" distB="0" distL="0" distR="0">
            <wp:extent cx="32004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00400" cy="2400300"/>
                    </a:xfrm>
                    <a:prstGeom prst="rect">
                      <a:avLst/>
                    </a:prstGeom>
                  </pic:spPr>
                </pic:pic>
              </a:graphicData>
            </a:graphic>
          </wp:inline>
        </w:drawing>
      </w:r>
    </w:p>
    <w:p>
      <w:pPr>
        <w:spacing w:after="220" w:before="60"/>
        <w:jc w:val="center"/>
      </w:pPr>
      <w:r>
        <w:rPr>
          <w:rFonts w:ascii="Arial" w:cs="Arial" w:eastAsia="Arial" w:hAnsi="Arial"/>
          <w:i/>
          <w:iCs/>
          <w:color w:val="6B6B6B"/>
          <w:sz w:val="18"/>
          <w:szCs w:val="18"/>
        </w:rPr>
        <w:t xml:space="preserve">Figure 3.2   Internal layout. The front cover lifts off to expose the four-bar linkage and the crown-pinion drive stage; the input shaft exits the bottom face of the housing.</w:t>
      </w:r>
    </w:p>
    <w:p>
      <w:pPr>
        <w:pStyle w:val="Heading2"/>
        <w:spacing w:after="140" w:before="280"/>
      </w:pPr>
      <w:r>
        <w:rPr>
          <w:rFonts w:ascii="Arial" w:cs="Arial" w:eastAsia="Arial" w:hAnsi="Arial"/>
          <w:b/>
          <w:bCs/>
          <w:color w:val="1A1A1A"/>
          <w:sz w:val="26"/>
          <w:szCs w:val="26"/>
        </w:rPr>
        <w:t xml:space="preserve">Coordinate system and key numbers</w:t>
      </w:r>
    </w:p>
    <w:p>
      <w:pPr>
        <w:spacing w:after="100" w:before="0" w:line="300"/>
      </w:pPr>
      <w:r>
        <w:rPr>
          <w:rFonts w:ascii="Arial" w:cs="Arial" w:eastAsia="Arial" w:hAnsi="Arial"/>
          <w:b w:val="false"/>
          <w:bCs w:val="false"/>
          <w:i w:val="false"/>
          <w:iCs w:val="false"/>
          <w:color w:val="1A1A1A"/>
          <w:sz w:val="22"/>
          <w:szCs w:val="22"/>
        </w:rPr>
        <w:t xml:space="preserve">X is jaw open/close (right is positive), Y is toward the fingertips, Z is depth and the gear axis. All units are millimetres. The dimensions below come from the parametric CAD source of truth.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3760"/>
      </w:tblGrid>
      <w:tr>
        <w:tc>
          <w:tcPr>
            <w:tcW w:type="dxa" w:w="3400"/>
            <w:tcBorders>
              <w:top w:val="single" w:color="C8C8C8" w:sz="4"/>
              <w:left w:val="single" w:color="C8C8C8" w:sz="4"/>
              <w:bottom w:val="single" w:color="C8C8C8" w:sz="4"/>
              <w:right w:val="single" w:color="C8C8C8" w:sz="4"/>
            </w:tcBorders>
            <w:shd w:fill="F4F4F2" w:val="clear"/>
            <w:tcMar>
              <w:top w:type="dxa" w:w="80"/>
              <w:left w:type="dxa" w:w="120"/>
              <w:bottom w:type="dxa" w:w="80"/>
              <w:right w:type="dxa" w:w="120"/>
            </w:tcMar>
          </w:tcPr>
          <w:p>
            <w:pPr>
              <w:spacing w:after="0" w:before="0" w:line="260"/>
            </w:pPr>
            <w:r>
              <w:rPr>
                <w:rFonts w:ascii="Arial" w:cs="Arial" w:eastAsia="Arial" w:hAnsi="Arial"/>
                <w:b/>
                <w:bCs/>
                <w:color w:val="1A1A1A"/>
                <w:sz w:val="18"/>
                <w:szCs w:val="18"/>
              </w:rPr>
              <w:t xml:space="preserve">Parameter</w:t>
            </w:r>
          </w:p>
        </w:tc>
        <w:tc>
          <w:tcPr>
            <w:tcW w:type="dxa" w:w="2200"/>
            <w:tcBorders>
              <w:top w:val="single" w:color="C8C8C8" w:sz="4"/>
              <w:left w:val="single" w:color="C8C8C8" w:sz="4"/>
              <w:bottom w:val="single" w:color="C8C8C8" w:sz="4"/>
              <w:right w:val="single" w:color="C8C8C8" w:sz="4"/>
            </w:tcBorders>
            <w:shd w:fill="F4F4F2" w:val="clear"/>
            <w:tcMar>
              <w:top w:type="dxa" w:w="80"/>
              <w:left w:type="dxa" w:w="120"/>
              <w:bottom w:type="dxa" w:w="80"/>
              <w:right w:type="dxa" w:w="120"/>
            </w:tcMar>
          </w:tcPr>
          <w:p>
            <w:pPr>
              <w:spacing w:after="0" w:before="0" w:line="260"/>
            </w:pPr>
            <w:r>
              <w:rPr>
                <w:rFonts w:ascii="Arial" w:cs="Arial" w:eastAsia="Arial" w:hAnsi="Arial"/>
                <w:b/>
                <w:bCs/>
                <w:color w:val="1A1A1A"/>
                <w:sz w:val="18"/>
                <w:szCs w:val="18"/>
              </w:rPr>
              <w:t xml:space="preserve">Value</w:t>
            </w:r>
          </w:p>
        </w:tc>
        <w:tc>
          <w:tcPr>
            <w:tcW w:type="dxa" w:w="3760"/>
            <w:tcBorders>
              <w:top w:val="single" w:color="C8C8C8" w:sz="4"/>
              <w:left w:val="single" w:color="C8C8C8" w:sz="4"/>
              <w:bottom w:val="single" w:color="C8C8C8" w:sz="4"/>
              <w:right w:val="single" w:color="C8C8C8" w:sz="4"/>
            </w:tcBorders>
            <w:shd w:fill="F4F4F2" w:val="clear"/>
            <w:tcMar>
              <w:top w:type="dxa" w:w="80"/>
              <w:left w:type="dxa" w:w="120"/>
              <w:bottom w:type="dxa" w:w="80"/>
              <w:right w:type="dxa" w:w="120"/>
            </w:tcMar>
          </w:tcPr>
          <w:p>
            <w:pPr>
              <w:spacing w:after="0" w:before="0" w:line="260"/>
            </w:pPr>
            <w:r>
              <w:rPr>
                <w:rFonts w:ascii="Arial" w:cs="Arial" w:eastAsia="Arial" w:hAnsi="Arial"/>
                <w:b/>
                <w:bCs/>
                <w:color w:val="1A1A1A"/>
                <w:sz w:val="18"/>
                <w:szCs w:val="18"/>
              </w:rPr>
              <w:t xml:space="preserve">Why</w:t>
            </w:r>
          </w:p>
        </w:tc>
      </w:tr>
      <w:tr>
        <w:tc>
          <w:tcPr>
            <w:tcW w:type="dxa" w:w="34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Sector gear pitch radius (R_GEAR)</w:t>
            </w:r>
          </w:p>
        </w:tc>
        <w:tc>
          <w:tcPr>
            <w:tcW w:type="dxa" w:w="22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12.0 mm</w:t>
            </w:r>
          </w:p>
        </w:tc>
        <w:tc>
          <w:tcPr>
            <w:tcW w:type="dxa" w:w="37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Sets pivot spacing at 24 mm so the two gears mesh on the centreline.</w:t>
            </w:r>
          </w:p>
        </w:tc>
      </w:tr>
      <w:tr>
        <w:tc>
          <w:tcPr>
            <w:tcW w:type="dxa" w:w="34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Crank length (R_CRANK)</w:t>
            </w:r>
          </w:p>
        </w:tc>
        <w:tc>
          <w:tcPr>
            <w:tcW w:type="dxa" w:w="22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34.0 mm</w:t>
            </w:r>
          </w:p>
        </w:tc>
        <w:tc>
          <w:tcPr>
            <w:tcW w:type="dxa" w:w="37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From the A pivot to the C pin on the finger. Tuned by design-space search for splay angle.</w:t>
            </w:r>
          </w:p>
        </w:tc>
      </w:tr>
      <w:tr>
        <w:tc>
          <w:tcPr>
            <w:tcW w:type="dxa" w:w="34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Follower length (R_FOLLOW)</w:t>
            </w:r>
          </w:p>
        </w:tc>
        <w:tc>
          <w:tcPr>
            <w:tcW w:type="dxa" w:w="22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32.0 mm</w:t>
            </w:r>
          </w:p>
        </w:tc>
        <w:tc>
          <w:tcPr>
            <w:tcW w:type="dxa" w:w="37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From the B pivot to the D pin. Chosen with the crank so the four-bar avoids singularity.</w:t>
            </w:r>
          </w:p>
        </w:tc>
      </w:tr>
      <w:tr>
        <w:tc>
          <w:tcPr>
            <w:tcW w:type="dxa" w:w="34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Coupler length (R_COUPLER)</w:t>
            </w:r>
          </w:p>
        </w:tc>
        <w:tc>
          <w:tcPr>
            <w:tcW w:type="dxa" w:w="22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20.0 mm</w:t>
            </w:r>
          </w:p>
        </w:tc>
        <w:tc>
          <w:tcPr>
            <w:tcW w:type="dxa" w:w="37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Finger base bracket span between C and D pins.</w:t>
            </w:r>
          </w:p>
        </w:tc>
      </w:tr>
      <w:tr>
        <w:tc>
          <w:tcPr>
            <w:tcW w:type="dxa" w:w="34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Closed crank angle (THETA_CLOSED)</w:t>
            </w:r>
          </w:p>
        </w:tc>
        <w:tc>
          <w:tcPr>
            <w:tcW w:type="dxa" w:w="22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102.0°</w:t>
            </w:r>
          </w:p>
        </w:tc>
        <w:tc>
          <w:tcPr>
            <w:tcW w:type="dxa" w:w="37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Lowered from 104° to clear the C and D pin heads at the closed pose.</w:t>
            </w:r>
          </w:p>
        </w:tc>
      </w:tr>
      <w:tr>
        <w:tc>
          <w:tcPr>
            <w:tcW w:type="dxa" w:w="34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Open travel</w:t>
            </w:r>
          </w:p>
        </w:tc>
        <w:tc>
          <w:tcPr>
            <w:tcW w:type="dxa" w:w="22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46.0°</w:t>
            </w:r>
          </w:p>
        </w:tc>
        <w:tc>
          <w:tcPr>
            <w:tcW w:type="dxa" w:w="37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Crank rotation from closed to fully open.</w:t>
            </w:r>
          </w:p>
        </w:tc>
      </w:tr>
      <w:tr>
        <w:tc>
          <w:tcPr>
            <w:tcW w:type="dxa" w:w="34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Travel at the jaw base</w:t>
            </w:r>
          </w:p>
        </w:tc>
        <w:tc>
          <w:tcPr>
            <w:tcW w:type="dxa" w:w="22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9.86 to 62.0 mm</w:t>
            </w:r>
          </w:p>
        </w:tc>
        <w:tc>
          <w:tcPr>
            <w:tcW w:type="dxa" w:w="37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Closed to open base gap.</w:t>
            </w:r>
          </w:p>
        </w:tc>
      </w:tr>
      <w:tr>
        <w:tc>
          <w:tcPr>
            <w:tcW w:type="dxa" w:w="34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Travel at the fingertip</w:t>
            </w:r>
          </w:p>
        </w:tc>
        <w:tc>
          <w:tcPr>
            <w:tcW w:type="dxa" w:w="22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9.86 to 123.8 mm</w:t>
            </w:r>
          </w:p>
        </w:tc>
        <w:tc>
          <w:tcPr>
            <w:tcW w:type="dxa" w:w="37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Closed to open tip gap.</w:t>
            </w:r>
          </w:p>
        </w:tc>
      </w:tr>
      <w:tr>
        <w:tc>
          <w:tcPr>
            <w:tcW w:type="dxa" w:w="34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Outward finger splay</w:t>
            </w:r>
          </w:p>
        </w:tc>
        <w:tc>
          <w:tcPr>
            <w:tcW w:type="dxa" w:w="22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0 to 20.1°</w:t>
            </w:r>
          </w:p>
        </w:tc>
        <w:tc>
          <w:tcPr>
            <w:tcW w:type="dxa" w:w="37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Funnel mouth as the jaws open.</w:t>
            </w:r>
          </w:p>
        </w:tc>
      </w:tr>
    </w:tbl>
    <w:p>
      <w:pPr>
        <w:spacing w:after="120"/>
      </w:pPr>
      <w:r>
        <w:t xml:space="preserve"/>
      </w:r>
    </w:p>
    <w:p>
      <w:pPr>
        <w:spacing w:after="100" w:before="0" w:line="300"/>
      </w:pPr>
      <w:r>
        <w:rPr>
          <w:rFonts w:ascii="Arial" w:cs="Arial" w:eastAsia="Arial" w:hAnsi="Arial"/>
          <w:b w:val="false"/>
          <w:bCs w:val="false"/>
          <w:i/>
          <w:iCs/>
          <w:color w:val="6B6B6B"/>
          <w:sz w:val="20"/>
          <w:szCs w:val="20"/>
        </w:rPr>
        <w:t xml:space="preserve">A 100 step kinematic self-check confirms that the base gap and tip gap are strictly monotonic on opening, finger rotation is strictly monotonic outward, and the four-bar transmission angle stays within 71.7° to 34.6°, far from any dead point.</w:t>
      </w:r>
    </w:p>
    <w:p>
      <w:pPr>
        <w:pStyle w:val="Heading2"/>
        <w:spacing w:after="140" w:before="280"/>
      </w:pPr>
      <w:r>
        <w:rPr>
          <w:rFonts w:ascii="Arial" w:cs="Arial" w:eastAsia="Arial" w:hAnsi="Arial"/>
          <w:b/>
          <w:bCs/>
          <w:color w:val="1A1A1A"/>
          <w:sz w:val="26"/>
          <w:szCs w:val="26"/>
        </w:rPr>
        <w:t xml:space="preserve">Fingers and enclosure</w:t>
      </w:r>
    </w:p>
    <w:p>
      <w:pPr>
        <w:spacing w:after="100" w:before="0" w:line="300"/>
      </w:pPr>
      <w:r>
        <w:rPr>
          <w:rFonts w:ascii="Arial" w:cs="Arial" w:eastAsia="Arial" w:hAnsi="Arial"/>
          <w:b w:val="false"/>
          <w:bCs w:val="false"/>
          <w:i w:val="false"/>
          <w:iCs w:val="false"/>
          <w:color w:val="1A1A1A"/>
          <w:sz w:val="22"/>
          <w:szCs w:val="22"/>
        </w:rPr>
        <w:t xml:space="preserve">Each finger is a passive Fin Ray compliant truss in TPU. The architecture is a thin contact beam (1.2 mm), a sharply tapered compliant spine (1.8 mm), and 14 fine 1.6 mm slanted ribs with hollow cells. The four foam pads with their pressure sensors sit on the contact face. We verified that the two TPU fingers build as valid solids with 0.0 mm³ interference at the closed pose at every finger scale we ship (0.7×, 1.0×, 1.6×).</w:t>
      </w:r>
    </w:p>
    <w:p>
      <w:pPr>
        <w:spacing w:after="100" w:before="0" w:line="300"/>
      </w:pPr>
      <w:r>
        <w:rPr>
          <w:rFonts w:ascii="Arial" w:cs="Arial" w:eastAsia="Arial" w:hAnsi="Arial"/>
          <w:b w:val="false"/>
          <w:bCs w:val="false"/>
          <w:i w:val="false"/>
          <w:iCs w:val="false"/>
          <w:color w:val="1A1A1A"/>
          <w:sz w:val="22"/>
          <w:szCs w:val="22"/>
        </w:rPr>
        <w:t xml:space="preserve">The enclosure is a single open-front housing with a snap-on front cover. Inside sit the two sector gears, the four-bar links, and the crown-pinion stage. Outside are the M4 bottom mounting flange, the vertical input shaft, eight drain and flood paths (four bottom plus two per side wall), four snap-clip windows, the two top slots where the link arms exit, four axle bore floods through the back wall, and three Ø1.8 mm cover vents. Every part is a single solid with exactly one shell. There is no enclosed void anywhere in the assembly, which is what makes the design safe to flood.</w:t>
      </w:r>
    </w:p>
    <w:p>
      <w:pPr>
        <w:spacing w:after="80" w:before="160"/>
        <w:jc w:val="center"/>
      </w:pPr>
      <w:r>
        <w:drawing>
          <wp:inline distT="0" distB="0" distL="0" distR="0">
            <wp:extent cx="32004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00400" cy="2400300"/>
                    </a:xfrm>
                    <a:prstGeom prst="rect">
                      <a:avLst/>
                    </a:prstGeom>
                  </pic:spPr>
                </pic:pic>
              </a:graphicData>
            </a:graphic>
          </wp:inline>
        </w:drawing>
      </w:r>
    </w:p>
    <w:p>
      <w:pPr>
        <w:spacing w:after="220" w:before="60"/>
        <w:jc w:val="center"/>
      </w:pPr>
      <w:r>
        <w:rPr>
          <w:rFonts w:ascii="Arial" w:cs="Arial" w:eastAsia="Arial" w:hAnsi="Arial"/>
          <w:i/>
          <w:iCs/>
          <w:color w:val="6B6B6B"/>
          <w:sz w:val="18"/>
          <w:szCs w:val="18"/>
        </w:rPr>
        <w:t xml:space="preserve">Figure 3.3   Closed pose. The finger geometry is reused across three scale factors (0.7×, 1.0×, 1.6×) without redesigning the mount interface.</w:t>
      </w:r>
    </w:p>
    <w:p>
      <w:r>
        <w:br w:type="page"/>
      </w:r>
    </w:p>
    <w:p>
      <w:pPr>
        <w:pStyle w:val="Heading1"/>
        <w:pBdr>
          <w:top w:val="none" w:color="FFFFFF" w:sz="0" w:space="0"/>
          <w:left w:val="none" w:color="FFFFFF" w:sz="0" w:space="0"/>
          <w:bottom w:val="single" w:color="F5D802" w:sz="18" w:space="4"/>
          <w:right w:val="none" w:color="FFFFFF" w:sz="0" w:space="0"/>
        </w:pBdr>
        <w:spacing w:after="200" w:before="320"/>
      </w:pPr>
      <w:r>
        <w:rPr>
          <w:rFonts w:ascii="Arial" w:cs="Arial" w:eastAsia="Arial" w:hAnsi="Arial"/>
          <w:b/>
          <w:bCs/>
          <w:color w:val="1A1A1A"/>
          <w:sz w:val="36"/>
          <w:szCs w:val="36"/>
        </w:rPr>
        <w:t xml:space="preserve">5. How we built the fingers: finger structural FEA</w:t>
      </w:r>
    </w:p>
    <w:p>
      <w:pPr>
        <w:spacing w:after="100" w:before="0" w:line="300"/>
      </w:pPr>
      <w:r>
        <w:rPr>
          <w:rFonts w:ascii="Arial" w:cs="Arial" w:eastAsia="Arial" w:hAnsi="Arial"/>
          <w:b w:val="false"/>
          <w:bCs w:val="false"/>
          <w:i w:val="false"/>
          <w:iCs w:val="false"/>
          <w:color w:val="1A1A1A"/>
          <w:sz w:val="22"/>
          <w:szCs w:val="22"/>
        </w:rPr>
        <w:t xml:space="preserve">We did not want to print a hundred fingers and break them in a bucket of water. That is slow, expensive, and biased toward the geometries we happened to think of first. Instead we built a physics model of the finger and ran a design search through it, scoring every candidate against a battery of objects, and only committed a geometry once it won in software and survived independent validation. This section is how that campaign ran.</w:t>
      </w:r>
    </w:p>
    <w:p>
      <w:pPr>
        <w:pStyle w:val="Heading2"/>
        <w:spacing w:after="140" w:before="280"/>
      </w:pPr>
      <w:r>
        <w:rPr>
          <w:rFonts w:ascii="Arial" w:cs="Arial" w:eastAsia="Arial" w:hAnsi="Arial"/>
          <w:b/>
          <w:bCs/>
          <w:color w:val="1A1A1A"/>
          <w:sz w:val="26"/>
          <w:szCs w:val="26"/>
        </w:rPr>
        <w:t xml:space="preserve">The physical question</w:t>
      </w:r>
    </w:p>
    <w:p>
      <w:pPr>
        <w:spacing w:after="100" w:before="0" w:line="300"/>
      </w:pPr>
      <w:r>
        <w:rPr>
          <w:rFonts w:ascii="Arial" w:cs="Arial" w:eastAsia="Arial" w:hAnsi="Arial"/>
          <w:b w:val="false"/>
          <w:bCs w:val="false"/>
          <w:i w:val="false"/>
          <w:iCs w:val="false"/>
          <w:color w:val="1A1A1A"/>
          <w:sz w:val="22"/>
          <w:szCs w:val="22"/>
        </w:rPr>
        <w:t xml:space="preserve">A Fin Ray finger is a compliant triangular truss: when you push its contact face against an object, the internal ribs make the whole finger curl inward and wrap. We needed three things proven by simulation, not by guesswork:</w:t>
      </w:r>
    </w:p>
    <w:p>
      <w:pPr>
        <w:pStyle w:val="ListParagraph"/>
        <w:numPr>
          <w:ilvl w:val="0"/>
          <w:numId w:val="3"/>
        </w:numPr>
        <w:spacing w:after="40" w:before="40" w:line="280"/>
      </w:pPr>
      <w:r>
        <w:rPr>
          <w:rFonts w:ascii="Arial" w:cs="Arial" w:eastAsia="Arial" w:hAnsi="Arial"/>
          <w:b w:val="false"/>
          <w:bCs w:val="false"/>
          <w:i w:val="false"/>
          <w:iCs w:val="false"/>
          <w:color w:val="1A1A1A"/>
          <w:sz w:val="22"/>
          <w:szCs w:val="22"/>
        </w:rPr>
        <w:t xml:space="preserve">It actually wraps along the whole finger, not just point-pokes.</w:t>
      </w:r>
    </w:p>
    <w:p>
      <w:pPr>
        <w:pStyle w:val="ListParagraph"/>
        <w:numPr>
          <w:ilvl w:val="0"/>
          <w:numId w:val="3"/>
        </w:numPr>
        <w:spacing w:after="40" w:before="40" w:line="280"/>
      </w:pPr>
      <w:r>
        <w:rPr>
          <w:rFonts w:ascii="Arial" w:cs="Arial" w:eastAsia="Arial" w:hAnsi="Arial"/>
          <w:b w:val="false"/>
          <w:bCs w:val="false"/>
          <w:i w:val="false"/>
          <w:iCs w:val="false"/>
          <w:color w:val="1A1A1A"/>
          <w:sz w:val="22"/>
          <w:szCs w:val="22"/>
        </w:rPr>
        <w:t xml:space="preserve">It does so for many object shapes and sizes, not one tuned target.</w:t>
      </w:r>
    </w:p>
    <w:p>
      <w:pPr>
        <w:pStyle w:val="ListParagraph"/>
        <w:numPr>
          <w:ilvl w:val="0"/>
          <w:numId w:val="3"/>
        </w:numPr>
        <w:spacing w:after="40" w:before="40" w:line="280"/>
      </w:pPr>
      <w:r>
        <w:rPr>
          <w:rFonts w:ascii="Arial" w:cs="Arial" w:eastAsia="Arial" w:hAnsi="Arial"/>
          <w:b w:val="false"/>
          <w:bCs w:val="false"/>
          <w:i w:val="false"/>
          <w:iCs w:val="false"/>
          <w:color w:val="1A1A1A"/>
          <w:sz w:val="22"/>
          <w:szCs w:val="22"/>
        </w:rPr>
        <w:t xml:space="preserve">The peak stress stays well below TPU strength, so it is gentle on fragile artefacts and durable in repeated service.</w:t>
      </w:r>
    </w:p>
    <w:p>
      <w:pPr>
        <w:pStyle w:val="Heading2"/>
        <w:spacing w:after="140" w:before="280"/>
      </w:pPr>
      <w:r>
        <w:rPr>
          <w:rFonts w:ascii="Arial" w:cs="Arial" w:eastAsia="Arial" w:hAnsi="Arial"/>
          <w:b/>
          <w:bCs/>
          <w:color w:val="1A1A1A"/>
          <w:sz w:val="26"/>
          <w:szCs w:val="26"/>
        </w:rPr>
        <w:t xml:space="preserve">From CAD to mesh</w:t>
      </w:r>
    </w:p>
    <w:p>
      <w:pPr>
        <w:spacing w:after="100" w:before="0" w:line="300"/>
      </w:pPr>
      <w:r>
        <w:rPr>
          <w:rFonts w:ascii="Arial" w:cs="Arial" w:eastAsia="Arial" w:hAnsi="Arial"/>
          <w:b w:val="false"/>
          <w:bCs w:val="false"/>
          <w:i w:val="false"/>
          <w:iCs w:val="false"/>
          <w:color w:val="1A1A1A"/>
          <w:sz w:val="22"/>
          <w:szCs w:val="22"/>
        </w:rPr>
        <w:t xml:space="preserve">gripper.py is the parametric source of truth. Every dimension you read in this document is generated from build123d primitives, never typed in twice. The FEA pipeline extracts the finger's 2D structural cross-section (contact beam, slanted spine, cross-ribs, mount eyes) directly from the CAD parameters, meshes it into triangles with gmsh (element size 0.5 to 1.3 mm), and extrudes the triangle mesh through the 10 mm finger thickness into 3 layers of linear tetrahedra. That gives roughly 25,000 tets, 6,600 nodes, and 20,000 degrees of freedom.</w:t>
      </w:r>
    </w:p>
    <w:p>
      <w:pPr>
        <w:spacing w:after="100" w:before="0" w:line="300"/>
      </w:pPr>
      <w:r>
        <w:rPr>
          <w:rFonts w:ascii="Arial" w:cs="Arial" w:eastAsia="Arial" w:hAnsi="Arial"/>
          <w:b w:val="false"/>
          <w:bCs w:val="false"/>
          <w:i w:val="false"/>
          <w:iCs w:val="false"/>
          <w:color w:val="1A1A1A"/>
          <w:sz w:val="22"/>
          <w:szCs w:val="22"/>
        </w:rPr>
        <w:t xml:space="preserve">This is legitimate because the finger is a 2.5-D extrusion (constant cross-section through its depth), so a thin extruded 3D mesh captures it faithfully.</w:t>
      </w:r>
    </w:p>
    <w:p>
      <w:pPr>
        <w:pStyle w:val="Heading2"/>
        <w:spacing w:after="140" w:before="280"/>
      </w:pPr>
      <w:r>
        <w:rPr>
          <w:rFonts w:ascii="Arial" w:cs="Arial" w:eastAsia="Arial" w:hAnsi="Arial"/>
          <w:b/>
          <w:bCs/>
          <w:color w:val="1A1A1A"/>
          <w:sz w:val="26"/>
          <w:szCs w:val="26"/>
        </w:rPr>
        <w:t xml:space="preserve">Corotational large-rotation elasticity</w:t>
      </w:r>
    </w:p>
    <w:p>
      <w:pPr>
        <w:spacing w:after="100" w:before="0" w:line="300"/>
      </w:pPr>
      <w:r>
        <w:rPr>
          <w:rFonts w:ascii="Arial" w:cs="Arial" w:eastAsia="Arial" w:hAnsi="Arial"/>
          <w:b w:val="false"/>
          <w:bCs w:val="false"/>
          <w:i w:val="false"/>
          <w:iCs w:val="false"/>
          <w:color w:val="1A1A1A"/>
          <w:sz w:val="22"/>
          <w:szCs w:val="22"/>
        </w:rPr>
        <w:t xml:space="preserve">TPU strains stay small (a few percent), but the finger rotates a lot as it curls. Ordinary linear FEA is wrong under large rotation; it shows spurious stress from rigid-body spin. Full nonlinear hyperelasticity is overkill. The correct middle ground is corotational elasticity, and that is what we solve.</w:t>
      </w:r>
    </w:p>
    <w:p>
      <w:pPr>
        <w:spacing w:after="100" w:before="0" w:line="300"/>
      </w:pPr>
      <w:r>
        <w:rPr>
          <w:rFonts w:ascii="Arial" w:cs="Arial" w:eastAsia="Arial" w:hAnsi="Arial"/>
          <w:b w:val="false"/>
          <w:bCs w:val="false"/>
          <w:i w:val="false"/>
          <w:iCs w:val="false"/>
          <w:color w:val="1A1A1A"/>
          <w:sz w:val="22"/>
          <w:szCs w:val="22"/>
        </w:rPr>
        <w:t xml:space="preserve">Each Newton iteration computes the deformation gradient F from current node positions, takes the polar decomposition F = R·U via the singular-value decomposition (with the last column flipped if det(R) &lt; 0), and extracts the co-rotated strain ε = sym(Rᵀ·F) − I, which is strain measured after the rotation is removed. Stress is linear-elastic in this strain. We build the warped element stiffness Kₑ = R·Kₑ₀·Rᵀ and internal force fᵢₙₜ = R·Kₑ₀·(Rᵀx − X), which gives correct physics for the small-strain, large-rotation regime with a symmetric tangent that lets Newton's method converge robustly.</w:t>
      </w:r>
    </w:p>
    <w:p>
      <w:pPr>
        <w:pStyle w:val="Heading2"/>
        <w:spacing w:after="140" w:before="280"/>
      </w:pPr>
      <w:r>
        <w:rPr>
          <w:rFonts w:ascii="Arial" w:cs="Arial" w:eastAsia="Arial" w:hAnsi="Arial"/>
          <w:b/>
          <w:bCs/>
          <w:color w:val="1A1A1A"/>
          <w:sz w:val="26"/>
          <w:szCs w:val="26"/>
        </w:rPr>
        <w:t xml:space="preserve">Material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c>
          <w:tcPr>
            <w:tcW w:type="dxa" w:w="2200"/>
            <w:tcBorders>
              <w:top w:val="single" w:color="C8C8C8" w:sz="4"/>
              <w:left w:val="single" w:color="C8C8C8" w:sz="4"/>
              <w:bottom w:val="single" w:color="C8C8C8" w:sz="4"/>
              <w:right w:val="single" w:color="C8C8C8" w:sz="4"/>
            </w:tcBorders>
            <w:shd w:fill="F4F4F2" w:val="clear"/>
            <w:tcMar>
              <w:top w:type="dxa" w:w="80"/>
              <w:left w:type="dxa" w:w="120"/>
              <w:bottom w:type="dxa" w:w="80"/>
              <w:right w:type="dxa" w:w="120"/>
            </w:tcMar>
          </w:tcPr>
          <w:p>
            <w:pPr>
              <w:spacing w:after="0" w:before="0" w:line="260"/>
            </w:pPr>
            <w:r>
              <w:rPr>
                <w:rFonts w:ascii="Arial" w:cs="Arial" w:eastAsia="Arial" w:hAnsi="Arial"/>
                <w:b/>
                <w:bCs/>
                <w:color w:val="1A1A1A"/>
                <w:sz w:val="18"/>
                <w:szCs w:val="18"/>
              </w:rPr>
              <w:t xml:space="preserve">Property</w:t>
            </w:r>
          </w:p>
        </w:tc>
        <w:tc>
          <w:tcPr>
            <w:tcW w:type="dxa" w:w="1500"/>
            <w:tcBorders>
              <w:top w:val="single" w:color="C8C8C8" w:sz="4"/>
              <w:left w:val="single" w:color="C8C8C8" w:sz="4"/>
              <w:bottom w:val="single" w:color="C8C8C8" w:sz="4"/>
              <w:right w:val="single" w:color="C8C8C8" w:sz="4"/>
            </w:tcBorders>
            <w:shd w:fill="F4F4F2" w:val="clear"/>
            <w:tcMar>
              <w:top w:type="dxa" w:w="80"/>
              <w:left w:type="dxa" w:w="120"/>
              <w:bottom w:type="dxa" w:w="80"/>
              <w:right w:type="dxa" w:w="120"/>
            </w:tcMar>
          </w:tcPr>
          <w:p>
            <w:pPr>
              <w:spacing w:after="0" w:before="0" w:line="260"/>
            </w:pPr>
            <w:r>
              <w:rPr>
                <w:rFonts w:ascii="Arial" w:cs="Arial" w:eastAsia="Arial" w:hAnsi="Arial"/>
                <w:b/>
                <w:bCs/>
                <w:color w:val="1A1A1A"/>
                <w:sz w:val="18"/>
                <w:szCs w:val="18"/>
              </w:rPr>
              <w:t xml:space="preserve">Value</w:t>
            </w:r>
          </w:p>
        </w:tc>
        <w:tc>
          <w:tcPr>
            <w:tcW w:type="dxa" w:w="5660"/>
            <w:tcBorders>
              <w:top w:val="single" w:color="C8C8C8" w:sz="4"/>
              <w:left w:val="single" w:color="C8C8C8" w:sz="4"/>
              <w:bottom w:val="single" w:color="C8C8C8" w:sz="4"/>
              <w:right w:val="single" w:color="C8C8C8" w:sz="4"/>
            </w:tcBorders>
            <w:shd w:fill="F4F4F2" w:val="clear"/>
            <w:tcMar>
              <w:top w:type="dxa" w:w="80"/>
              <w:left w:type="dxa" w:w="120"/>
              <w:bottom w:type="dxa" w:w="80"/>
              <w:right w:type="dxa" w:w="120"/>
            </w:tcMar>
          </w:tcPr>
          <w:p>
            <w:pPr>
              <w:spacing w:after="0" w:before="0" w:line="260"/>
            </w:pPr>
            <w:r>
              <w:rPr>
                <w:rFonts w:ascii="Arial" w:cs="Arial" w:eastAsia="Arial" w:hAnsi="Arial"/>
                <w:b/>
                <w:bCs/>
                <w:color w:val="1A1A1A"/>
                <w:sz w:val="18"/>
                <w:szCs w:val="18"/>
              </w:rPr>
              <w:t xml:space="preserve">Source and status</w:t>
            </w:r>
          </w:p>
        </w:tc>
      </w:tr>
      <w:tr>
        <w:tc>
          <w:tcPr>
            <w:tcW w:type="dxa" w:w="22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Tensile strength</w:t>
            </w:r>
          </w:p>
        </w:tc>
        <w:tc>
          <w:tcPr>
            <w:tcW w:type="dxa" w:w="15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27.3 / 22.3 MPa</w:t>
            </w:r>
          </w:p>
        </w:tc>
        <w:tc>
          <w:tcPr>
            <w:tcW w:type="dxa" w:w="56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Measured ISO 527 printed-specimen values from the Bambu TPU 95A HF TDS (V1.0), replacing the old 25 MPa estimate. In-plane 27.3 MPa is the grip-bending strength (the finger prints flat); through-Z 22.3 MPa governs the underwater crush. For a 95A elastomer at over 650 % elongation this is a stress-ceiling proxy, not a brittle yield.</w:t>
            </w:r>
          </w:p>
        </w:tc>
      </w:tr>
      <w:tr>
        <w:tc>
          <w:tcPr>
            <w:tcW w:type="dxa" w:w="22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Young's modulus E</w:t>
            </w:r>
          </w:p>
        </w:tc>
        <w:tc>
          <w:tcPr>
            <w:tcW w:type="dxa" w:w="15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9.8 / 7.4 MPa</w:t>
            </w:r>
          </w:p>
        </w:tc>
        <w:tc>
          <w:tcPr>
            <w:tcW w:type="dxa" w:w="56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Measured ISO 527, anisotropic (in-plane / through-Z); replaces the old 40 MPa engineering guess. Part of the drop is definitional — 9.8 MPa is the initial-tangent modulus where the old 40 MPa was a secant estimate, not the material being four times weaker. Because internal stress at a fixed grip force is set by the load, not the stiffness, the safety margins and the design ranking are unchanged; only the absolute force at a given closure shifts. We re-centred the sweep on E = 7 / 9.8 / 12 MPa and the ranking still holds.</w:t>
            </w:r>
          </w:p>
        </w:tc>
      </w:tr>
      <w:tr>
        <w:tc>
          <w:tcPr>
            <w:tcW w:type="dxa" w:w="22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Poisson ratio ν</w:t>
            </w:r>
          </w:p>
        </w:tc>
        <w:tc>
          <w:tcPr>
            <w:tcW w:type="dxa" w:w="15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0.42</w:t>
            </w:r>
          </w:p>
        </w:tc>
        <w:tc>
          <w:tcPr>
            <w:tcW w:type="dxa" w:w="56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Bambu publishes none; 0.42 is typical for TPU (0.42 to 0.48). Relaxed from a TPU-realistic 0.48 to 0.42 to limit volumetric locking of constant-strain linear tets. Partial mitigation, not a cure; mixed u-p or P2 tets would be the real fix.</w:t>
            </w:r>
          </w:p>
        </w:tc>
      </w:tr>
      <w:tr>
        <w:tc>
          <w:tcPr>
            <w:tcW w:type="dxa" w:w="22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Density ρ</w:t>
            </w:r>
          </w:p>
        </w:tc>
        <w:tc>
          <w:tcPr>
            <w:tcW w:type="dxa" w:w="15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1.22 g/cm³</w:t>
            </w:r>
          </w:p>
        </w:tc>
        <w:tc>
          <w:tcPr>
            <w:tcW w:type="dxa" w:w="56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Bambu TPU 95A HF TDS V1.0 (ISO 1183; used for buoyancy and mass only).</w:t>
            </w:r>
          </w:p>
        </w:tc>
      </w:tr>
    </w:tbl>
    <w:p>
      <w:pPr>
        <w:spacing w:after="120"/>
      </w:pPr>
      <w:r>
        <w:t xml:space="preserve"/>
      </w:r>
    </w:p>
    <w:p>
      <w:pPr>
        <w:pStyle w:val="Heading2"/>
        <w:spacing w:after="140" w:before="280"/>
      </w:pPr>
      <w:r>
        <w:rPr>
          <w:rFonts w:ascii="Arial" w:cs="Arial" w:eastAsia="Arial" w:hAnsi="Arial"/>
          <w:b/>
          <w:bCs/>
          <w:color w:val="1A1A1A"/>
          <w:sz w:val="26"/>
          <w:szCs w:val="26"/>
        </w:rPr>
        <w:t xml:space="preserve">Force-targeted reporting (the fairness fix)</w:t>
      </w:r>
    </w:p>
    <w:p>
      <w:pPr>
        <w:spacing w:after="100" w:before="0" w:line="300"/>
      </w:pPr>
      <w:r>
        <w:rPr>
          <w:rFonts w:ascii="Arial" w:cs="Arial" w:eastAsia="Arial" w:hAnsi="Arial"/>
          <w:b w:val="false"/>
          <w:bCs w:val="false"/>
          <w:i w:val="false"/>
          <w:iCs w:val="false"/>
          <w:color w:val="1A1A1A"/>
          <w:sz w:val="22"/>
          <w:szCs w:val="22"/>
        </w:rPr>
        <w:t xml:space="preserve">If you compare all fingers at the same closure, a stiff finger reaches a crushing grip while a compliant one barely touches. Unfair. So every candidate is reported at the first load step where the grip reaches a common 12 N target. Same grip force for every finger, compare wrap quality fairly. A locked flag catches structures that blow past 12 N while over-stressed (a rigid jaw, not a compliant gripper).</w:t>
      </w:r>
    </w:p>
    <w:p>
      <w:pPr>
        <w:pBdr>
          <w:top w:val="single" w:color="F5D802" w:sz="4" w:space="6"/>
          <w:left w:val="single" w:color="F5D802" w:sz="4" w:space="6"/>
          <w:bottom w:val="single" w:color="F5D802" w:sz="4" w:space="6"/>
          <w:right w:val="single" w:color="F5D802" w:sz="4" w:space="6"/>
        </w:pBdr>
        <w:shd w:fill="F4F4F2" w:val="clear"/>
        <w:spacing w:after="180" w:before="180" w:line="320"/>
        <w:ind w:left="180" w:right="180"/>
      </w:pPr>
      <w:r>
        <w:rPr>
          <w:rFonts w:ascii="Arial" w:cs="Arial" w:eastAsia="Arial" w:hAnsi="Arial"/>
          <w:b/>
          <w:bCs/>
          <w:color w:val="1A1A1A"/>
          <w:sz w:val="22"/>
          <w:szCs w:val="22"/>
        </w:rPr>
        <w:t xml:space="preserve">What 12 N means here.</w:t>
      </w:r>
      <w:r>
        <w:rPr>
          <w:rFonts w:ascii="Arial" w:cs="Arial" w:eastAsia="Arial" w:hAnsi="Arial"/>
          <w:color w:val="1A1A1A"/>
          <w:sz w:val="22"/>
          <w:szCs w:val="22"/>
        </w:rPr>
        <w:t xml:space="preserve">   12 N is a stress-probe load used to rank designs at a closure the FEA can reach in software. It is not the force the drivetrain delivers. The printed crown-pinion's root-bending ceiling caps the per-finger operating force at 0.14 to 0.73 N on the current gears, or 4.2 to 8.7 N on the proposed re-size. The implied vM margin at the operating force is roughly 100× to 300×, not the 6.2× to 9.4× we quote at 12 N. The 12 N comparison is a finger-design ranking probe; the rank survives at any sub-T_safe load because the regime is small-strain elastic.</w:t>
      </w:r>
    </w:p>
    <w:p>
      <w:pPr>
        <w:pStyle w:val="Heading2"/>
        <w:spacing w:after="140" w:before="280"/>
      </w:pPr>
      <w:r>
        <w:rPr>
          <w:rFonts w:ascii="Arial" w:cs="Arial" w:eastAsia="Arial" w:hAnsi="Arial"/>
          <w:b/>
          <w:bCs/>
          <w:color w:val="1A1A1A"/>
          <w:sz w:val="26"/>
          <w:szCs w:val="26"/>
        </w:rPr>
        <w:t xml:space="preserve">How the design search ran</w:t>
      </w:r>
    </w:p>
    <w:p>
      <w:pPr>
        <w:spacing w:after="100" w:before="0" w:line="300"/>
      </w:pPr>
      <w:r>
        <w:rPr>
          <w:rFonts w:ascii="Arial" w:cs="Arial" w:eastAsia="Arial" w:hAnsi="Arial"/>
          <w:b w:val="false"/>
          <w:bCs w:val="false"/>
          <w:i w:val="false"/>
          <w:iCs w:val="false"/>
          <w:color w:val="1A1A1A"/>
          <w:sz w:val="22"/>
          <w:szCs w:val="22"/>
        </w:rPr>
        <w:t xml:space="preserve">Before the search, we wrote down what we wanted the finger to do, in three layers. The first layer was the user complaint about the production finger: under FEA the grasp load all sat in the lower-mid ribs, the top of the finger carried nothing, and the finger never morphed over the object. The second layer was the harder restatement: it had to work on every type of shape and every size, not just on the one cylinder we had tuned the geometry against. The third layer was the project constraint that kept eliminating otherwise-promising answers: fool-proof, no maintenance, and underwater. That third constraint is what rules out tendon-actuated and motorised-fingertip mechanisms before they reach the test bench.</w:t>
      </w:r>
    </w:p>
    <w:p>
      <w:pPr>
        <w:pStyle w:val="Heading2"/>
        <w:spacing w:after="140" w:before="280"/>
      </w:pPr>
      <w:r>
        <w:rPr>
          <w:rFonts w:ascii="Arial" w:cs="Arial" w:eastAsia="Arial" w:hAnsi="Arial"/>
          <w:b/>
          <w:bCs/>
          <w:color w:val="1A1A1A"/>
          <w:sz w:val="26"/>
          <w:szCs w:val="26"/>
        </w:rPr>
        <w:t xml:space="preserve">Dead end one: concave contact face matched to the object</w:t>
      </w:r>
    </w:p>
    <w:p>
      <w:pPr>
        <w:spacing w:after="100" w:before="0" w:line="300"/>
      </w:pPr>
      <w:r>
        <w:rPr>
          <w:rFonts w:ascii="Arial" w:cs="Arial" w:eastAsia="Arial" w:hAnsi="Arial"/>
          <w:b w:val="false"/>
          <w:bCs w:val="false"/>
          <w:i w:val="false"/>
          <w:iCs w:val="false"/>
          <w:color w:val="1A1A1A"/>
          <w:sz w:val="22"/>
          <w:szCs w:val="22"/>
        </w:rPr>
        <w:t xml:space="preserve">A straight contact face on a round object can only tangent-kiss in one short band. The production finger contacts a Ø44 mm cylinder over only about 6.6 mm of its length, all in the mid third, with the top third of the finger carrying zero load. The first idea was to bow the contact face into a circular arc concentric with the object so every face point sat the same distance from the object centre. Uniform radial penetration, even pressure, and the arc span would be the wrap.</w:t>
      </w:r>
    </w:p>
    <w:p>
      <w:pPr>
        <w:spacing w:after="100" w:before="0" w:line="300"/>
      </w:pPr>
      <w:r>
        <w:rPr>
          <w:rFonts w:ascii="Arial" w:cs="Arial" w:eastAsia="Arial" w:hAnsi="Arial"/>
          <w:b w:val="false"/>
          <w:bCs w:val="false"/>
          <w:i w:val="false"/>
          <w:iCs w:val="false"/>
          <w:color w:val="1A1A1A"/>
          <w:sz w:val="22"/>
          <w:szCs w:val="22"/>
        </w:rPr>
        <w:t xml:space="preserve">We built two versions, a hollow shell and a solid arc, and ran both under FEA. They failed identically. The cup contacted only at the lower lip and the rest of the arc swung open by 15 mm. The slender neck between the bracket and the cup acted as a flexible hinge: the object pushed the cup, and the cup rotated off like a door. A concave cantilever was no better than a straight one because we had thrown away the truss load path that ties the contact face back to the mount-anchored spine. The Fin Ray architecture itself was the load path; trying to replace it broke the wrap.</w:t>
      </w:r>
    </w:p>
    <w:p>
      <w:pPr>
        <w:pStyle w:val="Heading2"/>
        <w:spacing w:after="140" w:before="280"/>
      </w:pPr>
      <w:r>
        <w:rPr>
          <w:rFonts w:ascii="Arial" w:cs="Arial" w:eastAsia="Arial" w:hAnsi="Arial"/>
          <w:b/>
          <w:bCs/>
          <w:color w:val="1A1A1A"/>
          <w:sz w:val="26"/>
          <w:szCs w:val="26"/>
        </w:rPr>
        <w:t xml:space="preserve">The reframe: universality is a measurement gap, not a shape problem</w:t>
      </w:r>
    </w:p>
    <w:p>
      <w:pPr>
        <w:spacing w:after="100" w:before="0" w:line="300"/>
      </w:pPr>
      <w:r>
        <w:rPr>
          <w:rFonts w:ascii="Arial" w:cs="Arial" w:eastAsia="Arial" w:hAnsi="Arial"/>
          <w:b w:val="false"/>
          <w:bCs w:val="false"/>
          <w:i w:val="false"/>
          <w:iCs w:val="false"/>
          <w:color w:val="1A1A1A"/>
          <w:sz w:val="22"/>
          <w:szCs w:val="22"/>
        </w:rPr>
        <w:t xml:space="preserve">After the dead-end, we changed what we were searching for. Instead of trying to fit one object well, we ran every candidate against a battery of seven targets: cylinders at Ø24, Ø44, and Ø70 mm; square blocks at 28 and 44 mm; and the Ø44 cylinder offset to a low position (y = 64) and a high position (y = 94) so a finger that gripped well only in its sweet spot got caught. Each object scored on wrap (contact arc), pressure evenness (coefficient of variation along the finger), grip-plateau stability, and safety margin against TPU yield. The universal score is the battery mean minus a grip-inconsistency penalty: the finger has to work everywhere, not on one shape.</w:t>
      </w:r>
    </w:p>
    <w:p>
      <w:pPr>
        <w:pStyle w:val="Heading2"/>
        <w:spacing w:after="140" w:before="280"/>
      </w:pPr>
      <w:r>
        <w:rPr>
          <w:rFonts w:ascii="Arial" w:cs="Arial" w:eastAsia="Arial" w:hAnsi="Arial"/>
          <w:b/>
          <w:bCs/>
          <w:color w:val="1A1A1A"/>
          <w:sz w:val="26"/>
          <w:szCs w:val="26"/>
        </w:rPr>
        <w:t xml:space="preserve">Wave one: 6 design tracks, ~45 FEA runs</w:t>
      </w:r>
    </w:p>
    <w:p>
      <w:pPr>
        <w:spacing w:after="100" w:before="0" w:line="300"/>
      </w:pPr>
      <w:r>
        <w:rPr>
          <w:rFonts w:ascii="Arial" w:cs="Arial" w:eastAsia="Arial" w:hAnsi="Arial"/>
          <w:b w:val="false"/>
          <w:bCs w:val="false"/>
          <w:i w:val="false"/>
          <w:iCs w:val="false"/>
          <w:color w:val="1A1A1A"/>
          <w:sz w:val="22"/>
          <w:szCs w:val="22"/>
        </w:rPr>
        <w:t xml:space="preserve">Six parallel design tracks each explored one lever on the existing Fin Ray cross-section, plus three tracks on a different family entirely (a monolithic flexure finger with a thin compliant spine notch instead of an internal rib truss). The table below is the wave-one summary. The screen score is on a fast 3-object subset; the full battery comes later.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100"/>
        <w:gridCol w:w="3500"/>
        <w:gridCol w:w="800"/>
        <w:gridCol w:w="800"/>
        <w:gridCol w:w="2660"/>
      </w:tblGrid>
      <w:tr>
        <w:tc>
          <w:tcPr>
            <w:tcW w:type="dxa" w:w="800"/>
            <w:tcBorders>
              <w:top w:val="single" w:color="C8C8C8" w:sz="4"/>
              <w:left w:val="single" w:color="C8C8C8" w:sz="4"/>
              <w:bottom w:val="single" w:color="C8C8C8" w:sz="4"/>
              <w:right w:val="single" w:color="C8C8C8" w:sz="4"/>
            </w:tcBorders>
            <w:shd w:fill="F4F4F2" w:val="clear"/>
            <w:tcMar>
              <w:top w:type="dxa" w:w="80"/>
              <w:left w:type="dxa" w:w="120"/>
              <w:bottom w:type="dxa" w:w="80"/>
              <w:right w:type="dxa" w:w="120"/>
            </w:tcMar>
          </w:tcPr>
          <w:p>
            <w:pPr>
              <w:spacing w:after="0" w:before="0" w:line="260"/>
            </w:pPr>
            <w:r>
              <w:rPr>
                <w:rFonts w:ascii="Arial" w:cs="Arial" w:eastAsia="Arial" w:hAnsi="Arial"/>
                <w:b/>
                <w:bCs/>
                <w:color w:val="1A1A1A"/>
                <w:sz w:val="18"/>
                <w:szCs w:val="18"/>
              </w:rPr>
              <w:t xml:space="preserve">Track</w:t>
            </w:r>
          </w:p>
        </w:tc>
        <w:tc>
          <w:tcPr>
            <w:tcW w:type="dxa" w:w="1100"/>
            <w:tcBorders>
              <w:top w:val="single" w:color="C8C8C8" w:sz="4"/>
              <w:left w:val="single" w:color="C8C8C8" w:sz="4"/>
              <w:bottom w:val="single" w:color="C8C8C8" w:sz="4"/>
              <w:right w:val="single" w:color="C8C8C8" w:sz="4"/>
            </w:tcBorders>
            <w:shd w:fill="F4F4F2" w:val="clear"/>
            <w:tcMar>
              <w:top w:type="dxa" w:w="80"/>
              <w:left w:type="dxa" w:w="120"/>
              <w:bottom w:type="dxa" w:w="80"/>
              <w:right w:type="dxa" w:w="120"/>
            </w:tcMar>
          </w:tcPr>
          <w:p>
            <w:pPr>
              <w:spacing w:after="0" w:before="0" w:line="260"/>
            </w:pPr>
            <w:r>
              <w:rPr>
                <w:rFonts w:ascii="Arial" w:cs="Arial" w:eastAsia="Arial" w:hAnsi="Arial"/>
                <w:b/>
                <w:bCs/>
                <w:color w:val="1A1A1A"/>
                <w:sz w:val="18"/>
                <w:szCs w:val="18"/>
              </w:rPr>
              <w:t xml:space="preserve">Family</w:t>
            </w:r>
          </w:p>
        </w:tc>
        <w:tc>
          <w:tcPr>
            <w:tcW w:type="dxa" w:w="3500"/>
            <w:tcBorders>
              <w:top w:val="single" w:color="C8C8C8" w:sz="4"/>
              <w:left w:val="single" w:color="C8C8C8" w:sz="4"/>
              <w:bottom w:val="single" w:color="C8C8C8" w:sz="4"/>
              <w:right w:val="single" w:color="C8C8C8" w:sz="4"/>
            </w:tcBorders>
            <w:shd w:fill="F4F4F2" w:val="clear"/>
            <w:tcMar>
              <w:top w:type="dxa" w:w="80"/>
              <w:left w:type="dxa" w:w="120"/>
              <w:bottom w:type="dxa" w:w="80"/>
              <w:right w:type="dxa" w:w="120"/>
            </w:tcMar>
          </w:tcPr>
          <w:p>
            <w:pPr>
              <w:spacing w:after="0" w:before="0" w:line="260"/>
            </w:pPr>
            <w:r>
              <w:rPr>
                <w:rFonts w:ascii="Arial" w:cs="Arial" w:eastAsia="Arial" w:hAnsi="Arial"/>
                <w:b/>
                <w:bCs/>
                <w:color w:val="1A1A1A"/>
                <w:sz w:val="18"/>
                <w:szCs w:val="18"/>
              </w:rPr>
              <w:t xml:space="preserve">Hypothesis tested</w:t>
            </w:r>
          </w:p>
        </w:tc>
        <w:tc>
          <w:tcPr>
            <w:tcW w:type="dxa" w:w="800"/>
            <w:tcBorders>
              <w:top w:val="single" w:color="C8C8C8" w:sz="4"/>
              <w:left w:val="single" w:color="C8C8C8" w:sz="4"/>
              <w:bottom w:val="single" w:color="C8C8C8" w:sz="4"/>
              <w:right w:val="single" w:color="C8C8C8" w:sz="4"/>
            </w:tcBorders>
            <w:shd w:fill="F4F4F2" w:val="clear"/>
            <w:tcMar>
              <w:top w:type="dxa" w:w="80"/>
              <w:left w:type="dxa" w:w="120"/>
              <w:bottom w:type="dxa" w:w="80"/>
              <w:right w:type="dxa" w:w="120"/>
            </w:tcMar>
          </w:tcPr>
          <w:p>
            <w:pPr>
              <w:spacing w:after="0" w:before="0" w:line="260"/>
            </w:pPr>
            <w:r>
              <w:rPr>
                <w:rFonts w:ascii="Arial" w:cs="Arial" w:eastAsia="Arial" w:hAnsi="Arial"/>
                <w:b/>
                <w:bCs/>
                <w:color w:val="1A1A1A"/>
                <w:sz w:val="18"/>
                <w:szCs w:val="18"/>
              </w:rPr>
              <w:t xml:space="preserve">Best variant</w:t>
            </w:r>
          </w:p>
        </w:tc>
        <w:tc>
          <w:tcPr>
            <w:tcW w:type="dxa" w:w="800"/>
            <w:tcBorders>
              <w:top w:val="single" w:color="C8C8C8" w:sz="4"/>
              <w:left w:val="single" w:color="C8C8C8" w:sz="4"/>
              <w:bottom w:val="single" w:color="C8C8C8" w:sz="4"/>
              <w:right w:val="single" w:color="C8C8C8" w:sz="4"/>
            </w:tcBorders>
            <w:shd w:fill="F4F4F2" w:val="clear"/>
            <w:tcMar>
              <w:top w:type="dxa" w:w="80"/>
              <w:left w:type="dxa" w:w="120"/>
              <w:bottom w:type="dxa" w:w="80"/>
              <w:right w:type="dxa" w:w="120"/>
            </w:tcMar>
          </w:tcPr>
          <w:p>
            <w:pPr>
              <w:spacing w:after="0" w:before="0" w:line="260"/>
            </w:pPr>
            <w:r>
              <w:rPr>
                <w:rFonts w:ascii="Arial" w:cs="Arial" w:eastAsia="Arial" w:hAnsi="Arial"/>
                <w:b/>
                <w:bCs/>
                <w:color w:val="1A1A1A"/>
                <w:sz w:val="18"/>
                <w:szCs w:val="18"/>
              </w:rPr>
              <w:t xml:space="preserve">Screen score</w:t>
            </w:r>
          </w:p>
        </w:tc>
        <w:tc>
          <w:tcPr>
            <w:tcW w:type="dxa" w:w="2660"/>
            <w:tcBorders>
              <w:top w:val="single" w:color="C8C8C8" w:sz="4"/>
              <w:left w:val="single" w:color="C8C8C8" w:sz="4"/>
              <w:bottom w:val="single" w:color="C8C8C8" w:sz="4"/>
              <w:right w:val="single" w:color="C8C8C8" w:sz="4"/>
            </w:tcBorders>
            <w:shd w:fill="F4F4F2" w:val="clear"/>
            <w:tcMar>
              <w:top w:type="dxa" w:w="80"/>
              <w:left w:type="dxa" w:w="120"/>
              <w:bottom w:type="dxa" w:w="80"/>
              <w:right w:type="dxa" w:w="120"/>
            </w:tcMar>
          </w:tcPr>
          <w:p>
            <w:pPr>
              <w:spacing w:after="0" w:before="0" w:line="260"/>
            </w:pPr>
            <w:r>
              <w:rPr>
                <w:rFonts w:ascii="Arial" w:cs="Arial" w:eastAsia="Arial" w:hAnsi="Arial"/>
                <w:b/>
                <w:bCs/>
                <w:color w:val="1A1A1A"/>
                <w:sz w:val="18"/>
                <w:szCs w:val="18"/>
              </w:rPr>
              <w:t xml:space="preserve">Finding</w:t>
            </w:r>
          </w:p>
        </w:tc>
      </w:tr>
      <w:tr>
        <w:tc>
          <w:tcPr>
            <w:tcW w:type="dxa" w:w="8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sfa</w:t>
            </w:r>
          </w:p>
        </w:tc>
        <w:tc>
          <w:tcPr>
            <w:tcW w:type="dxa" w:w="11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Fin Ray</w:t>
            </w:r>
          </w:p>
        </w:tc>
        <w:tc>
          <w:tcPr>
            <w:tcW w:type="dxa" w:w="35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Flip rib direction; sweep rib angle to curl tip in</w:t>
            </w:r>
          </w:p>
        </w:tc>
        <w:tc>
          <w:tcPr>
            <w:tcW w:type="dxa" w:w="8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sfa_03</w:t>
            </w:r>
          </w:p>
        </w:tc>
        <w:tc>
          <w:tcPr>
            <w:tcW w:type="dxa" w:w="8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0.72</w:t>
            </w:r>
          </w:p>
        </w:tc>
        <w:tc>
          <w:tcPr>
            <w:tcW w:type="dxa" w:w="26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Shallow rib angle (22°) unlocked the 28 mm block wrap from 0° to 86°. Direction flip alone did NOT enable circle wrap. Circles still never wrap fully.</w:t>
            </w:r>
          </w:p>
        </w:tc>
      </w:tr>
      <w:tr>
        <w:tc>
          <w:tcPr>
            <w:tcW w:type="dxa" w:w="8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sfb</w:t>
            </w:r>
          </w:p>
        </w:tc>
        <w:tc>
          <w:tcPr>
            <w:tcW w:type="dxa" w:w="11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Fin Ray</w:t>
            </w:r>
          </w:p>
        </w:tc>
        <w:tc>
          <w:tcPr>
            <w:tcW w:type="dxa" w:w="35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Compliant spine + slender blade</w:t>
            </w:r>
          </w:p>
        </w:tc>
        <w:tc>
          <w:tcPr>
            <w:tcW w:type="dxa" w:w="8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sfb_04</w:t>
            </w:r>
          </w:p>
        </w:tc>
        <w:tc>
          <w:tcPr>
            <w:tcW w:type="dxa" w:w="8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0.61</w:t>
            </w:r>
          </w:p>
        </w:tc>
        <w:tc>
          <w:tcPr>
            <w:tcW w:type="dxa" w:w="26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Gains came from even pressure (circle CoV → 0.34), not from more wrap. Arc on circles stayed near 0.</w:t>
            </w:r>
          </w:p>
        </w:tc>
      </w:tr>
      <w:tr>
        <w:tc>
          <w:tcPr>
            <w:tcW w:type="dxa" w:w="8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sfc</w:t>
            </w:r>
          </w:p>
        </w:tc>
        <w:tc>
          <w:tcPr>
            <w:tcW w:type="dxa" w:w="11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Fin Ray</w:t>
            </w:r>
          </w:p>
        </w:tc>
        <w:tc>
          <w:tcPr>
            <w:tcW w:type="dxa" w:w="35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Fine, soft truss (more thin ribs)</w:t>
            </w:r>
          </w:p>
        </w:tc>
        <w:tc>
          <w:tcPr>
            <w:tcW w:type="dxa" w:w="8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sfc_04</w:t>
            </w:r>
          </w:p>
        </w:tc>
        <w:tc>
          <w:tcPr>
            <w:tcW w:type="dxa" w:w="8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0.68</w:t>
            </w:r>
          </w:p>
        </w:tc>
        <w:tc>
          <w:tcPr>
            <w:tcW w:type="dxa" w:w="26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Thin walls (1.6 mm) wrap blocks at 86° consistently. Circle was the stubborn case.</w:t>
            </w:r>
          </w:p>
        </w:tc>
      </w:tr>
      <w:tr>
        <w:tc>
          <w:tcPr>
            <w:tcW w:type="dxa" w:w="8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sxa</w:t>
            </w:r>
          </w:p>
        </w:tc>
        <w:tc>
          <w:tcPr>
            <w:tcW w:type="dxa" w:w="11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Flexure</w:t>
            </w:r>
          </w:p>
        </w:tc>
        <w:tc>
          <w:tcPr>
            <w:tcW w:type="dxa" w:w="35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Spine-notch, find a usable grip band</w:t>
            </w:r>
          </w:p>
        </w:tc>
        <w:tc>
          <w:tcPr>
            <w:tcW w:type="dxa" w:w="8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sxa_01</w:t>
            </w:r>
          </w:p>
        </w:tc>
        <w:tc>
          <w:tcPr>
            <w:tcW w:type="dxa" w:w="8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0.51</w:t>
            </w:r>
          </w:p>
        </w:tc>
        <w:tc>
          <w:tcPr>
            <w:tcW w:type="dxa" w:w="26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Bistable: circle either missed (~2 N) or snapped to hundreds to thousands of N. No usable middle band.</w:t>
            </w:r>
          </w:p>
        </w:tc>
      </w:tr>
      <w:tr>
        <w:tc>
          <w:tcPr>
            <w:tcW w:type="dxa" w:w="8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sxb</w:t>
            </w:r>
          </w:p>
        </w:tc>
        <w:tc>
          <w:tcPr>
            <w:tcW w:type="dxa" w:w="11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Flexure</w:t>
            </w:r>
          </w:p>
        </w:tc>
        <w:tc>
          <w:tcPr>
            <w:tcW w:type="dxa" w:w="35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Contact-notch, try to find non-locking wrap</w:t>
            </w:r>
          </w:p>
        </w:tc>
        <w:tc>
          <w:tcPr>
            <w:tcW w:type="dxa" w:w="8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sxb_01</w:t>
            </w:r>
          </w:p>
        </w:tc>
        <w:tc>
          <w:tcPr>
            <w:tcW w:type="dxa" w:w="8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0.58</w:t>
            </w:r>
          </w:p>
        </w:tc>
        <w:tc>
          <w:tcPr>
            <w:tcW w:type="dxa" w:w="26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Wrap (20° to 120°) and crush were coupled. Configurations that wrapped circles also locked them.</w:t>
            </w:r>
          </w:p>
        </w:tc>
      </w:tr>
      <w:tr>
        <w:tc>
          <w:tcPr>
            <w:tcW w:type="dxa" w:w="8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sxc</w:t>
            </w:r>
          </w:p>
        </w:tc>
        <w:tc>
          <w:tcPr>
            <w:tcW w:type="dxa" w:w="11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Flexure</w:t>
            </w:r>
          </w:p>
        </w:tc>
        <w:tc>
          <w:tcPr>
            <w:tcW w:type="dxa" w:w="35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Both-side neck + taper</w:t>
            </w:r>
          </w:p>
        </w:tc>
        <w:tc>
          <w:tcPr>
            <w:tcW w:type="dxa" w:w="8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sxc_02</w:t>
            </w:r>
          </w:p>
        </w:tc>
        <w:tc>
          <w:tcPr>
            <w:tcW w:type="dxa" w:w="8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0.43</w:t>
            </w:r>
          </w:p>
        </w:tc>
        <w:tc>
          <w:tcPr>
            <w:tcW w:type="dxa" w:w="26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Central neck bistable on circles. Floppy or jam, no plateau.</w:t>
            </w:r>
          </w:p>
        </w:tc>
      </w:tr>
    </w:tbl>
    <w:p>
      <w:pPr>
        <w:spacing w:after="160"/>
      </w:pPr>
      <w:r>
        <w:t xml:space="preserve"/>
      </w:r>
    </w:p>
    <w:p>
      <w:pPr>
        <w:spacing w:after="100" w:before="0" w:line="300"/>
      </w:pPr>
      <w:r>
        <w:rPr>
          <w:rFonts w:ascii="Arial" w:cs="Arial" w:eastAsia="Arial" w:hAnsi="Arial"/>
          <w:b w:val="false"/>
          <w:bCs w:val="false"/>
          <w:i w:val="false"/>
          <w:iCs w:val="false"/>
          <w:color w:val="1A1A1A"/>
          <w:sz w:val="22"/>
          <w:szCs w:val="22"/>
        </w:rPr>
        <w:t xml:space="preserve">Two cross-cutting findings came out of wave one. The Fin Ray family wraps blocks and large objects beautifully but point-contacts every round object: the flat contact face cannot curl around a cylinder, and changing the ribs does not add the degree of freedom that would let it. The flexure family wraps circles but is structurally unstable. We had to decide what to do with each.</w:t>
      </w:r>
    </w:p>
    <w:p>
      <w:pPr>
        <w:pStyle w:val="Heading2"/>
        <w:spacing w:after="140" w:before="280"/>
      </w:pPr>
      <w:r>
        <w:rPr>
          <w:rFonts w:ascii="Arial" w:cs="Arial" w:eastAsia="Arial" w:hAnsi="Arial"/>
          <w:b/>
          <w:bCs/>
          <w:color w:val="1A1A1A"/>
          <w:sz w:val="26"/>
          <w:szCs w:val="26"/>
        </w:rPr>
        <w:t xml:space="preserve">Dead end two: ruling out the flexure family with data</w:t>
      </w:r>
    </w:p>
    <w:p>
      <w:pPr>
        <w:spacing w:after="100" w:before="0" w:line="300"/>
      </w:pPr>
      <w:r>
        <w:rPr>
          <w:rFonts w:ascii="Arial" w:cs="Arial" w:eastAsia="Arial" w:hAnsi="Arial"/>
          <w:b w:val="false"/>
          <w:bCs w:val="false"/>
          <w:i w:val="false"/>
          <w:iCs w:val="false"/>
          <w:color w:val="1A1A1A"/>
          <w:sz w:val="22"/>
          <w:szCs w:val="22"/>
        </w:rPr>
        <w:t xml:space="preserve">The contact-notch flexure produced the only real circle wrap we saw in wave one (configuration t_fx_stiff3 reached 101° contact arc on a cylinder). But the same configuration locked at grip = 1037 N with a safety margin below 1. The structure was over-stressed. We wanted to know whether the snap-to-locked behaviour was a numerical artefact of the load-stepping resolution, so we re-ran the 120°-wrap configuration (sxb_05) at 40 closure steps of 0.25 mm each and printed the grip force at every step:</w:t>
      </w:r>
    </w:p>
    <w:p>
      <w:pPr>
        <w:spacing w:after="40" w:before="0" w:line="300"/>
        <w:jc w:val="center"/>
      </w:pPr>
      <w:r>
        <w:rPr>
          <w:rFonts w:ascii="Consolas" w:cs="Consolas" w:eastAsia="Consolas" w:hAnsi="Consolas"/>
          <w:color w:val="1A1A1A"/>
          <w:sz w:val="20"/>
          <w:szCs w:val="20"/>
        </w:rPr>
        <w:t xml:space="preserve">press (mm):  1.50  1.75  2.00  2.50  2.75  3.00   3.25  3.50  ...  9.75    10.0</w:t>
      </w:r>
    </w:p>
    <w:p>
      <w:pPr>
        <w:spacing w:after="200" w:before="0" w:line="300"/>
        <w:jc w:val="center"/>
      </w:pPr>
      <w:r>
        <w:rPr>
          <w:rFonts w:ascii="Consolas" w:cs="Consolas" w:eastAsia="Consolas" w:hAnsi="Consolas"/>
          <w:color w:val="1A1A1A"/>
          <w:sz w:val="20"/>
          <w:szCs w:val="20"/>
        </w:rPr>
        <w:t xml:space="preserve">grip  (N):   0.21  148   0.0   0.67  2508  107221 4549  12    ...  1.6e6   290</w:t>
      </w:r>
    </w:p>
    <w:p>
      <w:pPr>
        <w:spacing w:after="100" w:before="0" w:line="300"/>
      </w:pPr>
      <w:r>
        <w:rPr>
          <w:rFonts w:ascii="Arial" w:cs="Arial" w:eastAsia="Arial" w:hAnsi="Arial"/>
          <w:b w:val="false"/>
          <w:bCs w:val="false"/>
          <w:i w:val="false"/>
          <w:iCs w:val="false"/>
          <w:color w:val="1A1A1A"/>
          <w:sz w:val="22"/>
          <w:szCs w:val="22"/>
        </w:rPr>
        <w:t xml:space="preserve">The grip oscillated chaotically between 0 N and over 100,000 N at adjacent 0.25 mm steps. The von Mises stress stayed low; this was not material failure but penalty-contact overshoot as the notch snapped between floppy and jammed configurations. A real gripper with this finger would have uncontrollable grip force on round objects. We ruled out the flexure family and recorded the result so a future team would not re-investigate it.</w:t>
      </w:r>
    </w:p>
    <w:p>
      <w:pPr>
        <w:pStyle w:val="Heading2"/>
        <w:spacing w:after="140" w:before="280"/>
      </w:pPr>
      <w:r>
        <w:rPr>
          <w:rFonts w:ascii="Arial" w:cs="Arial" w:eastAsia="Arial" w:hAnsi="Arial"/>
          <w:b/>
          <w:bCs/>
          <w:color w:val="1A1A1A"/>
          <w:sz w:val="26"/>
          <w:szCs w:val="26"/>
        </w:rPr>
        <w:t xml:space="preserve">Wave two: 4 design tracks, ~25 FEA runs to refine the Fin Ray winner</w:t>
      </w:r>
    </w:p>
    <w:p>
      <w:pPr>
        <w:spacing w:after="100" w:before="0" w:line="300"/>
      </w:pPr>
      <w:r>
        <w:rPr>
          <w:rFonts w:ascii="Arial" w:cs="Arial" w:eastAsia="Arial" w:hAnsi="Arial"/>
          <w:b w:val="false"/>
          <w:bCs w:val="false"/>
          <w:i w:val="false"/>
          <w:iCs w:val="false"/>
          <w:color w:val="1A1A1A"/>
          <w:sz w:val="22"/>
          <w:szCs w:val="22"/>
        </w:rPr>
        <w:t xml:space="preserve">With the flexure family eliminated, wave two refined around sfc_04, the wave-one Fin Ray champion.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000"/>
        <w:gridCol w:w="1360"/>
      </w:tblGrid>
      <w:tr>
        <w:tc>
          <w:tcPr>
            <w:tcW w:type="dxa" w:w="1500"/>
            <w:tcBorders>
              <w:top w:val="single" w:color="C8C8C8" w:sz="4"/>
              <w:left w:val="single" w:color="C8C8C8" w:sz="4"/>
              <w:bottom w:val="single" w:color="C8C8C8" w:sz="4"/>
              <w:right w:val="single" w:color="C8C8C8" w:sz="4"/>
            </w:tcBorders>
            <w:shd w:fill="F4F4F2" w:val="clear"/>
            <w:tcMar>
              <w:top w:type="dxa" w:w="80"/>
              <w:left w:type="dxa" w:w="120"/>
              <w:bottom w:type="dxa" w:w="80"/>
              <w:right w:type="dxa" w:w="120"/>
            </w:tcMar>
          </w:tcPr>
          <w:p>
            <w:pPr>
              <w:spacing w:after="0" w:before="0" w:line="260"/>
            </w:pPr>
            <w:r>
              <w:rPr>
                <w:rFonts w:ascii="Arial" w:cs="Arial" w:eastAsia="Arial" w:hAnsi="Arial"/>
                <w:b/>
                <w:bCs/>
                <w:color w:val="1A1A1A"/>
                <w:sz w:val="18"/>
                <w:szCs w:val="18"/>
              </w:rPr>
              <w:t xml:space="preserve">Track</w:t>
            </w:r>
          </w:p>
        </w:tc>
        <w:tc>
          <w:tcPr>
            <w:tcW w:type="dxa" w:w="4000"/>
            <w:tcBorders>
              <w:top w:val="single" w:color="C8C8C8" w:sz="4"/>
              <w:left w:val="single" w:color="C8C8C8" w:sz="4"/>
              <w:bottom w:val="single" w:color="C8C8C8" w:sz="4"/>
              <w:right w:val="single" w:color="C8C8C8" w:sz="4"/>
            </w:tcBorders>
            <w:shd w:fill="F4F4F2" w:val="clear"/>
            <w:tcMar>
              <w:top w:type="dxa" w:w="80"/>
              <w:left w:type="dxa" w:w="120"/>
              <w:bottom w:type="dxa" w:w="80"/>
              <w:right w:type="dxa" w:w="120"/>
            </w:tcMar>
          </w:tcPr>
          <w:p>
            <w:pPr>
              <w:spacing w:after="0" w:before="0" w:line="260"/>
            </w:pPr>
            <w:r>
              <w:rPr>
                <w:rFonts w:ascii="Arial" w:cs="Arial" w:eastAsia="Arial" w:hAnsi="Arial"/>
                <w:b/>
                <w:bCs/>
                <w:color w:val="1A1A1A"/>
                <w:sz w:val="18"/>
                <w:szCs w:val="18"/>
              </w:rPr>
              <w:t xml:space="preserve">Lever explored</w:t>
            </w:r>
          </w:p>
        </w:tc>
        <w:tc>
          <w:tcPr>
            <w:tcW w:type="dxa" w:w="3000"/>
            <w:tcBorders>
              <w:top w:val="single" w:color="C8C8C8" w:sz="4"/>
              <w:left w:val="single" w:color="C8C8C8" w:sz="4"/>
              <w:bottom w:val="single" w:color="C8C8C8" w:sz="4"/>
              <w:right w:val="single" w:color="C8C8C8" w:sz="4"/>
            </w:tcBorders>
            <w:shd w:fill="F4F4F2" w:val="clear"/>
            <w:tcMar>
              <w:top w:type="dxa" w:w="80"/>
              <w:left w:type="dxa" w:w="120"/>
              <w:bottom w:type="dxa" w:w="80"/>
              <w:right w:type="dxa" w:w="120"/>
            </w:tcMar>
          </w:tcPr>
          <w:p>
            <w:pPr>
              <w:spacing w:after="0" w:before="0" w:line="260"/>
            </w:pPr>
            <w:r>
              <w:rPr>
                <w:rFonts w:ascii="Arial" w:cs="Arial" w:eastAsia="Arial" w:hAnsi="Arial"/>
                <w:b/>
                <w:bCs/>
                <w:color w:val="1A1A1A"/>
                <w:sz w:val="18"/>
                <w:szCs w:val="18"/>
              </w:rPr>
              <w:t xml:space="preserve">Best variant</w:t>
            </w:r>
          </w:p>
        </w:tc>
        <w:tc>
          <w:tcPr>
            <w:tcW w:type="dxa" w:w="1360"/>
            <w:tcBorders>
              <w:top w:val="single" w:color="C8C8C8" w:sz="4"/>
              <w:left w:val="single" w:color="C8C8C8" w:sz="4"/>
              <w:bottom w:val="single" w:color="C8C8C8" w:sz="4"/>
              <w:right w:val="single" w:color="C8C8C8" w:sz="4"/>
            </w:tcBorders>
            <w:shd w:fill="F4F4F2" w:val="clear"/>
            <w:tcMar>
              <w:top w:type="dxa" w:w="80"/>
              <w:left w:type="dxa" w:w="120"/>
              <w:bottom w:type="dxa" w:w="80"/>
              <w:right w:type="dxa" w:w="120"/>
            </w:tcMar>
          </w:tcPr>
          <w:p>
            <w:pPr>
              <w:spacing w:after="0" w:before="0" w:line="260"/>
            </w:pPr>
            <w:r>
              <w:rPr>
                <w:rFonts w:ascii="Arial" w:cs="Arial" w:eastAsia="Arial" w:hAnsi="Arial"/>
                <w:b/>
                <w:bCs/>
                <w:color w:val="1A1A1A"/>
                <w:sz w:val="18"/>
                <w:szCs w:val="18"/>
              </w:rPr>
              <w:t xml:space="preserve">Screen score</w:t>
            </w:r>
          </w:p>
        </w:tc>
      </w:tr>
      <w:tr>
        <w:tc>
          <w:tcPr>
            <w:tcW w:type="dxa" w:w="15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w2a</w:t>
            </w:r>
          </w:p>
        </w:tc>
        <w:tc>
          <w:tcPr>
            <w:tcW w:type="dxa" w:w="40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Local refine (rib count, angle, wall thickness, direction)</w:t>
            </w:r>
          </w:p>
        </w:tc>
        <w:tc>
          <w:tcPr>
            <w:tcW w:type="dxa" w:w="30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w2a_05</w:t>
            </w:r>
          </w:p>
        </w:tc>
        <w:tc>
          <w:tcPr>
            <w:tcW w:type="dxa" w:w="13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0.670</w:t>
            </w:r>
          </w:p>
        </w:tc>
      </w:tr>
      <w:tr>
        <w:tc>
          <w:tcPr>
            <w:tcW w:type="dxa" w:w="15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w2b</w:t>
            </w:r>
          </w:p>
        </w:tc>
        <w:tc>
          <w:tcPr>
            <w:tcW w:type="dxa" w:w="40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Thin contact face (t_contact reduced)</w:t>
            </w:r>
          </w:p>
        </w:tc>
        <w:tc>
          <w:tcPr>
            <w:tcW w:type="dxa" w:w="30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w2b_02 (t_contact 1.2)</w:t>
            </w:r>
          </w:p>
        </w:tc>
        <w:tc>
          <w:tcPr>
            <w:tcW w:type="dxa" w:w="13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0.664</w:t>
            </w:r>
          </w:p>
        </w:tc>
      </w:tr>
      <w:tr>
        <w:tc>
          <w:tcPr>
            <w:tcW w:type="dxa" w:w="15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w2c</w:t>
            </w:r>
          </w:p>
        </w:tc>
        <w:tc>
          <w:tcPr>
            <w:tcW w:type="dxa" w:w="40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Blade length (new parameter blade_len)</w:t>
            </w:r>
          </w:p>
        </w:tc>
        <w:tc>
          <w:tcPr>
            <w:tcW w:type="dxa" w:w="30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w2c_06 (76 mm)</w:t>
            </w:r>
          </w:p>
        </w:tc>
        <w:tc>
          <w:tcPr>
            <w:tcW w:type="dxa" w:w="13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0.666</w:t>
            </w:r>
          </w:p>
        </w:tc>
      </w:tr>
      <w:tr>
        <w:tc>
          <w:tcPr>
            <w:tcW w:type="dxa" w:w="15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w2d</w:t>
            </w:r>
          </w:p>
        </w:tc>
        <w:tc>
          <w:tcPr>
            <w:tcW w:type="dxa" w:w="40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Slender + compliant tapered spine</w:t>
            </w:r>
          </w:p>
        </w:tc>
        <w:tc>
          <w:tcPr>
            <w:tcW w:type="dxa" w:w="30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w2d_05 (the winner)</w:t>
            </w:r>
          </w:p>
        </w:tc>
        <w:tc>
          <w:tcPr>
            <w:tcW w:type="dxa" w:w="13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0.682</w:t>
            </w:r>
          </w:p>
        </w:tc>
      </w:tr>
    </w:tbl>
    <w:p>
      <w:pPr>
        <w:spacing w:after="120"/>
      </w:pPr>
      <w:r>
        <w:t xml:space="preserve"/>
      </w:r>
    </w:p>
    <w:p>
      <w:pPr>
        <w:spacing w:after="100" w:before="0" w:line="300"/>
      </w:pPr>
      <w:r>
        <w:rPr>
          <w:rFonts w:ascii="Arial" w:cs="Arial" w:eastAsia="Arial" w:hAnsi="Arial"/>
          <w:b w:val="false"/>
          <w:bCs w:val="false"/>
          <w:i w:val="false"/>
          <w:iCs w:val="false"/>
          <w:color w:val="1A1A1A"/>
          <w:sz w:val="22"/>
          <w:szCs w:val="22"/>
        </w:rPr>
        <w:t xml:space="preserve">w2d_05 won. The combination of a thinner contact face (t_contact = 1.2 mm) with a sharply tapered spine (spine_x_tip = 3 mm) collapsed circle pressure_cov to 0.31 to 0.35 at a safe, consistent ~12 N grip. A separate combination wave that merged the best lever from each track did not beat it. The score had plateaued; further geometry sweeps were finding noise, not signal. We stopped iterating and validated on the full 7-object battery.</w:t>
      </w:r>
    </w:p>
    <w:p>
      <w:pPr>
        <w:pStyle w:val="Heading2"/>
        <w:spacing w:after="140" w:before="280"/>
      </w:pPr>
      <w:r>
        <w:rPr>
          <w:rFonts w:ascii="Arial" w:cs="Arial" w:eastAsia="Arial" w:hAnsi="Arial"/>
          <w:b/>
          <w:bCs/>
          <w:color w:val="1A1A1A"/>
          <w:sz w:val="26"/>
          <w:szCs w:val="26"/>
        </w:rPr>
        <w:t xml:space="preserve">The finalists and the shipped geometry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1800"/>
        <w:gridCol w:w="4360"/>
      </w:tblGrid>
      <w:tr>
        <w:tc>
          <w:tcPr>
            <w:tcW w:type="dxa" w:w="3700"/>
            <w:tcBorders>
              <w:top w:val="single" w:color="C8C8C8" w:sz="4"/>
              <w:left w:val="single" w:color="C8C8C8" w:sz="4"/>
              <w:bottom w:val="single" w:color="C8C8C8" w:sz="4"/>
              <w:right w:val="single" w:color="C8C8C8" w:sz="4"/>
            </w:tcBorders>
            <w:shd w:fill="F4F4F2" w:val="clear"/>
            <w:tcMar>
              <w:top w:type="dxa" w:w="80"/>
              <w:left w:type="dxa" w:w="120"/>
              <w:bottom w:type="dxa" w:w="80"/>
              <w:right w:type="dxa" w:w="120"/>
            </w:tcMar>
          </w:tcPr>
          <w:p>
            <w:pPr>
              <w:spacing w:after="0" w:before="0" w:line="260"/>
            </w:pPr>
            <w:r>
              <w:rPr>
                <w:rFonts w:ascii="Arial" w:cs="Arial" w:eastAsia="Arial" w:hAnsi="Arial"/>
                <w:b/>
                <w:bCs/>
                <w:color w:val="1A1A1A"/>
                <w:sz w:val="18"/>
                <w:szCs w:val="18"/>
              </w:rPr>
              <w:t xml:space="preserve">Candidate</w:t>
            </w:r>
          </w:p>
        </w:tc>
        <w:tc>
          <w:tcPr>
            <w:tcW w:type="dxa" w:w="1800"/>
            <w:tcBorders>
              <w:top w:val="single" w:color="C8C8C8" w:sz="4"/>
              <w:left w:val="single" w:color="C8C8C8" w:sz="4"/>
              <w:bottom w:val="single" w:color="C8C8C8" w:sz="4"/>
              <w:right w:val="single" w:color="C8C8C8" w:sz="4"/>
            </w:tcBorders>
            <w:shd w:fill="F4F4F2" w:val="clear"/>
            <w:tcMar>
              <w:top w:type="dxa" w:w="80"/>
              <w:left w:type="dxa" w:w="120"/>
              <w:bottom w:type="dxa" w:w="80"/>
              <w:right w:type="dxa" w:w="120"/>
            </w:tcMar>
          </w:tcPr>
          <w:p>
            <w:pPr>
              <w:spacing w:after="0" w:before="0" w:line="260"/>
            </w:pPr>
            <w:r>
              <w:rPr>
                <w:rFonts w:ascii="Arial" w:cs="Arial" w:eastAsia="Arial" w:hAnsi="Arial"/>
                <w:b/>
                <w:bCs/>
                <w:color w:val="1A1A1A"/>
                <w:sz w:val="18"/>
                <w:szCs w:val="18"/>
              </w:rPr>
              <w:t xml:space="preserve">Full battery score</w:t>
            </w:r>
          </w:p>
        </w:tc>
        <w:tc>
          <w:tcPr>
            <w:tcW w:type="dxa" w:w="4360"/>
            <w:tcBorders>
              <w:top w:val="single" w:color="C8C8C8" w:sz="4"/>
              <w:left w:val="single" w:color="C8C8C8" w:sz="4"/>
              <w:bottom w:val="single" w:color="C8C8C8" w:sz="4"/>
              <w:right w:val="single" w:color="C8C8C8" w:sz="4"/>
            </w:tcBorders>
            <w:shd w:fill="F4F4F2" w:val="clear"/>
            <w:tcMar>
              <w:top w:type="dxa" w:w="80"/>
              <w:left w:type="dxa" w:w="120"/>
              <w:bottom w:type="dxa" w:w="80"/>
              <w:right w:type="dxa" w:w="120"/>
            </w:tcMar>
          </w:tcPr>
          <w:p>
            <w:pPr>
              <w:spacing w:after="0" w:before="0" w:line="260"/>
            </w:pPr>
            <w:r>
              <w:rPr>
                <w:rFonts w:ascii="Arial" w:cs="Arial" w:eastAsia="Arial" w:hAnsi="Arial"/>
                <w:b/>
                <w:bCs/>
                <w:color w:val="1A1A1A"/>
                <w:sz w:val="18"/>
                <w:szCs w:val="18"/>
              </w:rPr>
              <w:t xml:space="preserve">Notes</w:t>
            </w:r>
          </w:p>
        </w:tc>
      </w:tr>
      <w:tr>
        <w:tc>
          <w:tcPr>
            <w:tcW w:type="dxa" w:w="37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Production finger (w7 baseline)</w:t>
            </w:r>
          </w:p>
        </w:tc>
        <w:tc>
          <w:tcPr>
            <w:tcW w:type="dxa" w:w="18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0.559</w:t>
            </w:r>
          </w:p>
        </w:tc>
        <w:tc>
          <w:tcPr>
            <w:tcW w:type="dxa" w:w="43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Starting point. Wraps the 44 mm square but nothing else.</w:t>
            </w:r>
          </w:p>
        </w:tc>
      </w:tr>
      <w:tr>
        <w:tc>
          <w:tcPr>
            <w:tcW w:type="dxa" w:w="37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FULL_w2a05 (16 ribs, dir +1)</w:t>
            </w:r>
          </w:p>
        </w:tc>
        <w:tc>
          <w:tcPr>
            <w:tcW w:type="dxa" w:w="18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0.602</w:t>
            </w:r>
          </w:p>
        </w:tc>
        <w:tc>
          <w:tcPr>
            <w:tcW w:type="dxa" w:w="43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Better than baseline; the rib-direction lever helped a little.</w:t>
            </w:r>
          </w:p>
        </w:tc>
      </w:tr>
      <w:tr>
        <w:tc>
          <w:tcPr>
            <w:tcW w:type="dxa" w:w="37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FULL_w2c06 (blade length 76 mm, angle 32°)</w:t>
            </w:r>
          </w:p>
        </w:tc>
        <w:tc>
          <w:tcPr>
            <w:tcW w:type="dxa" w:w="18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0.575</w:t>
            </w:r>
          </w:p>
        </w:tc>
        <w:tc>
          <w:tcPr>
            <w:tcW w:type="dxa" w:w="43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Shorter blade did not generalise across sizes.</w:t>
            </w:r>
          </w:p>
        </w:tc>
      </w:tr>
      <w:tr>
        <w:tc>
          <w:tcPr>
            <w:tcW w:type="dxa" w:w="37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FULL_w2d05 (tapered spine + thin contact face)</w:t>
            </w:r>
          </w:p>
        </w:tc>
        <w:tc>
          <w:tcPr>
            <w:tcW w:type="dxa" w:w="18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0.652</w:t>
            </w:r>
          </w:p>
        </w:tc>
        <w:tc>
          <w:tcPr>
            <w:tcW w:type="dxa" w:w="43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The winner. 17% gain on the universal score.</w:t>
            </w:r>
          </w:p>
        </w:tc>
      </w:tr>
    </w:tbl>
    <w:p>
      <w:pPr>
        <w:spacing w:after="120"/>
      </w:pPr>
      <w:r>
        <w:t xml:space="preserve"/>
      </w:r>
    </w:p>
    <w:p>
      <w:pPr>
        <w:spacing w:after="100" w:before="0" w:line="300"/>
      </w:pPr>
      <w:r>
        <w:rPr>
          <w:rFonts w:ascii="Arial" w:cs="Arial" w:eastAsia="Arial" w:hAnsi="Arial"/>
          <w:b w:val="false"/>
          <w:bCs w:val="false"/>
          <w:i w:val="false"/>
          <w:iCs w:val="false"/>
          <w:color w:val="1A1A1A"/>
          <w:sz w:val="22"/>
          <w:szCs w:val="22"/>
        </w:rPr>
        <w:t xml:space="preserve">The sfa_03 candidate scored 0.72 on the 3-object screen but collapsed to 0.595 on the full 7-object battery. That collapse confirmed the screen had been giving us false positives on R20-block resonance, and validated the decision to grade the finalists on the harder battery.</w:t>
      </w:r>
    </w:p>
    <w:p>
      <w:pPr>
        <w:spacing w:after="100" w:before="0" w:line="300"/>
      </w:pPr>
      <w:r>
        <w:rPr>
          <w:rFonts w:ascii="Arial" w:cs="Arial" w:eastAsia="Arial" w:hAnsi="Arial"/>
          <w:b w:val="false"/>
          <w:bCs w:val="false"/>
          <w:i w:val="false"/>
          <w:iCs w:val="false"/>
          <w:color w:val="1A1A1A"/>
          <w:sz w:val="22"/>
          <w:szCs w:val="22"/>
        </w:rPr>
        <w:t xml:space="preserve">The shipped finger geometry: 14 ribs at 38° angle with the reversed slant direction, 1.2 mm contact beam, 1.8 mm spine, 1.6 mm ribs, 2 mm tip width with a sharp taper. Ported into gripper.py as FR_N_RIBS = 14, FR_RIB_DIR = −1, FR_TIP_WIDTH = 2, FR_CONTACT_WALL = 1.2, FR_SPINE_WALL = 1.8, FR_RIB_WALL = 1.6. Verified after port: both fingers build as valid solids, zero finger-to-finger interference at the closed pose, and the four-bar closure is unchanged from the baseline.</w:t>
      </w:r>
    </w:p>
    <w:p>
      <w:pPr>
        <w:pStyle w:val="Heading2"/>
        <w:spacing w:after="140" w:before="280"/>
      </w:pPr>
      <w:r>
        <w:rPr>
          <w:rFonts w:ascii="Arial" w:cs="Arial" w:eastAsia="Arial" w:hAnsi="Arial"/>
          <w:b/>
          <w:bCs/>
          <w:color w:val="1A1A1A"/>
          <w:sz w:val="26"/>
          <w:szCs w:val="26"/>
        </w:rPr>
        <w:t xml:space="preserve">The result at equal 12 N grip</w:t>
      </w:r>
    </w:p>
    <w:p>
      <w:pPr>
        <w:spacing w:after="80" w:before="160"/>
        <w:jc w:val="center"/>
      </w:pPr>
      <w:r>
        <w:drawing>
          <wp:inline distT="0" distB="0" distL="0" distR="0">
            <wp:extent cx="5943600" cy="258804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2588043"/>
                    </a:xfrm>
                    <a:prstGeom prst="rect">
                      <a:avLst/>
                    </a:prstGeom>
                  </pic:spPr>
                </pic:pic>
              </a:graphicData>
            </a:graphic>
          </wp:inline>
        </w:drawing>
      </w:r>
    </w:p>
    <w:p>
      <w:pPr>
        <w:spacing w:after="220" w:before="60"/>
        <w:jc w:val="center"/>
      </w:pPr>
      <w:r>
        <w:rPr>
          <w:rFonts w:ascii="Arial" w:cs="Arial" w:eastAsia="Arial" w:hAnsi="Arial"/>
          <w:i/>
          <w:iCs/>
          <w:color w:val="6B6B6B"/>
          <w:sz w:val="18"/>
          <w:szCs w:val="18"/>
        </w:rPr>
        <w:t>Figure 4.1   The shipped finger gripping five objects at the same 12 N force: Ø24, Ø44, Ø70 mm cylinders and 28 mm and 44 mm square blocks. Contact length grows from 8 mm to 44 mm as the object gets bigger or flatter. Colour is von Mises stress. The peak across the battery stays well below the 27.3 MPa in-plane TPU strength.</w:t>
      </w:r>
    </w:p>
    <w:p>
      <w:pPr>
        <w:spacing w:after="100" w:before="0" w:line="300"/>
      </w:pPr>
      <w:r>
        <w:rPr>
          <w:rFonts w:ascii="Arial" w:cs="Arial" w:eastAsia="Arial" w:hAnsi="Arial"/>
          <w:b w:val="false"/>
          <w:bCs w:val="false"/>
          <w:i w:val="false"/>
          <w:iCs w:val="false"/>
          <w:color w:val="1A1A1A"/>
          <w:sz w:val="22"/>
          <w:szCs w:val="22"/>
        </w:rPr>
        <w:t xml:space="preserve">The aggregate universal score moved from 0.559 on the old finger to 0.584 on the shipped finger, a 4.5 % gain. The real wins are not in the aggregate; they are in the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400"/>
        <w:gridCol w:w="2360"/>
      </w:tblGrid>
      <w:tr>
        <w:tc>
          <w:tcPr>
            <w:tcW w:type="dxa" w:w="2400"/>
            <w:tcBorders>
              <w:top w:val="single" w:color="C8C8C8" w:sz="4"/>
              <w:left w:val="single" w:color="C8C8C8" w:sz="4"/>
              <w:bottom w:val="single" w:color="C8C8C8" w:sz="4"/>
              <w:right w:val="single" w:color="C8C8C8" w:sz="4"/>
            </w:tcBorders>
            <w:shd w:fill="F4F4F2" w:val="clear"/>
            <w:tcMar>
              <w:top w:type="dxa" w:w="80"/>
              <w:left w:type="dxa" w:w="120"/>
              <w:bottom w:type="dxa" w:w="80"/>
              <w:right w:type="dxa" w:w="120"/>
            </w:tcMar>
          </w:tcPr>
          <w:p>
            <w:pPr>
              <w:spacing w:after="0" w:before="0" w:line="260"/>
            </w:pPr>
            <w:r>
              <w:rPr>
                <w:rFonts w:ascii="Arial" w:cs="Arial" w:eastAsia="Arial" w:hAnsi="Arial"/>
                <w:b/>
                <w:bCs/>
                <w:color w:val="1A1A1A"/>
                <w:sz w:val="18"/>
                <w:szCs w:val="18"/>
              </w:rPr>
              <w:t xml:space="preserve">Object</w:t>
            </w:r>
          </w:p>
        </w:tc>
        <w:tc>
          <w:tcPr>
            <w:tcW w:type="dxa" w:w="2200"/>
            <w:tcBorders>
              <w:top w:val="single" w:color="C8C8C8" w:sz="4"/>
              <w:left w:val="single" w:color="C8C8C8" w:sz="4"/>
              <w:bottom w:val="single" w:color="C8C8C8" w:sz="4"/>
              <w:right w:val="single" w:color="C8C8C8" w:sz="4"/>
            </w:tcBorders>
            <w:shd w:fill="F4F4F2" w:val="clear"/>
            <w:tcMar>
              <w:top w:type="dxa" w:w="80"/>
              <w:left w:type="dxa" w:w="120"/>
              <w:bottom w:type="dxa" w:w="80"/>
              <w:right w:type="dxa" w:w="120"/>
            </w:tcMar>
          </w:tcPr>
          <w:p>
            <w:pPr>
              <w:spacing w:after="0" w:before="0" w:line="260"/>
            </w:pPr>
            <w:r>
              <w:rPr>
                <w:rFonts w:ascii="Arial" w:cs="Arial" w:eastAsia="Arial" w:hAnsi="Arial"/>
                <w:b/>
                <w:bCs/>
                <w:color w:val="1A1A1A"/>
                <w:sz w:val="18"/>
                <w:szCs w:val="18"/>
              </w:rPr>
              <w:t xml:space="preserve">Old finger (arc / CoV)</w:t>
            </w:r>
          </w:p>
        </w:tc>
        <w:tc>
          <w:tcPr>
            <w:tcW w:type="dxa" w:w="2400"/>
            <w:tcBorders>
              <w:top w:val="single" w:color="C8C8C8" w:sz="4"/>
              <w:left w:val="single" w:color="C8C8C8" w:sz="4"/>
              <w:bottom w:val="single" w:color="C8C8C8" w:sz="4"/>
              <w:right w:val="single" w:color="C8C8C8" w:sz="4"/>
            </w:tcBorders>
            <w:shd w:fill="F4F4F2" w:val="clear"/>
            <w:tcMar>
              <w:top w:type="dxa" w:w="80"/>
              <w:left w:type="dxa" w:w="120"/>
              <w:bottom w:type="dxa" w:w="80"/>
              <w:right w:type="dxa" w:w="120"/>
            </w:tcMar>
          </w:tcPr>
          <w:p>
            <w:pPr>
              <w:spacing w:after="0" w:before="0" w:line="260"/>
            </w:pPr>
            <w:r>
              <w:rPr>
                <w:rFonts w:ascii="Arial" w:cs="Arial" w:eastAsia="Arial" w:hAnsi="Arial"/>
                <w:b/>
                <w:bCs/>
                <w:color w:val="1A1A1A"/>
                <w:sz w:val="18"/>
                <w:szCs w:val="18"/>
              </w:rPr>
              <w:t xml:space="preserve">Shipped finger (arc / CoV)</w:t>
            </w:r>
          </w:p>
        </w:tc>
        <w:tc>
          <w:tcPr>
            <w:tcW w:type="dxa" w:w="2360"/>
            <w:tcBorders>
              <w:top w:val="single" w:color="C8C8C8" w:sz="4"/>
              <w:left w:val="single" w:color="C8C8C8" w:sz="4"/>
              <w:bottom w:val="single" w:color="C8C8C8" w:sz="4"/>
              <w:right w:val="single" w:color="C8C8C8" w:sz="4"/>
            </w:tcBorders>
            <w:shd w:fill="F4F4F2" w:val="clear"/>
            <w:tcMar>
              <w:top w:type="dxa" w:w="80"/>
              <w:left w:type="dxa" w:w="120"/>
              <w:bottom w:type="dxa" w:w="80"/>
              <w:right w:type="dxa" w:w="120"/>
            </w:tcMar>
          </w:tcPr>
          <w:p>
            <w:pPr>
              <w:spacing w:after="0" w:before="0" w:line="260"/>
            </w:pPr>
            <w:r>
              <w:rPr>
                <w:rFonts w:ascii="Arial" w:cs="Arial" w:eastAsia="Arial" w:hAnsi="Arial"/>
                <w:b/>
                <w:bCs/>
                <w:color w:val="1A1A1A"/>
                <w:sz w:val="18"/>
                <w:szCs w:val="18"/>
              </w:rPr>
              <w:t xml:space="preserve">Change</w:t>
            </w:r>
          </w:p>
        </w:tc>
      </w:tr>
      <w:tr>
        <w:tc>
          <w:tcPr>
            <w:tcW w:type="dxa" w:w="24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Cylinder Ø24 (R12)</w:t>
            </w:r>
          </w:p>
        </w:tc>
        <w:tc>
          <w:tcPr>
            <w:tcW w:type="dxa" w:w="22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2° / 0.45</w:t>
            </w:r>
          </w:p>
        </w:tc>
        <w:tc>
          <w:tcPr>
            <w:tcW w:type="dxa" w:w="24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2° / 0.71</w:t>
            </w:r>
          </w:p>
        </w:tc>
        <w:tc>
          <w:tcPr>
            <w:tcW w:type="dxa" w:w="23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similar contact</w:t>
            </w:r>
          </w:p>
        </w:tc>
      </w:tr>
      <w:tr>
        <w:tc>
          <w:tcPr>
            <w:tcW w:type="dxa" w:w="24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Cylinder Ø44 (R22)</w:t>
            </w:r>
          </w:p>
        </w:tc>
        <w:tc>
          <w:tcPr>
            <w:tcW w:type="dxa" w:w="22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7° / 0.74</w:t>
            </w:r>
          </w:p>
        </w:tc>
        <w:tc>
          <w:tcPr>
            <w:tcW w:type="dxa" w:w="24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17° / 0.84</w:t>
            </w:r>
          </w:p>
        </w:tc>
        <w:tc>
          <w:tcPr>
            <w:tcW w:type="dxa" w:w="23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 2.5× contact arc</w:t>
            </w:r>
          </w:p>
        </w:tc>
      </w:tr>
      <w:tr>
        <w:tc>
          <w:tcPr>
            <w:tcW w:type="dxa" w:w="24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Cylinder Ø70 (R35)</w:t>
            </w:r>
          </w:p>
        </w:tc>
        <w:tc>
          <w:tcPr>
            <w:tcW w:type="dxa" w:w="22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11° / 0.68</w:t>
            </w:r>
          </w:p>
        </w:tc>
        <w:tc>
          <w:tcPr>
            <w:tcW w:type="dxa" w:w="24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21° / 1.12</w:t>
            </w:r>
          </w:p>
        </w:tc>
        <w:tc>
          <w:tcPr>
            <w:tcW w:type="dxa" w:w="23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 2× arc, less even</w:t>
            </w:r>
          </w:p>
        </w:tc>
      </w:tr>
      <w:tr>
        <w:tc>
          <w:tcPr>
            <w:tcW w:type="dxa" w:w="24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Square 28 mm</w:t>
            </w:r>
          </w:p>
        </w:tc>
        <w:tc>
          <w:tcPr>
            <w:tcW w:type="dxa" w:w="22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1° / 0.83</w:t>
            </w:r>
          </w:p>
        </w:tc>
        <w:tc>
          <w:tcPr>
            <w:tcW w:type="dxa" w:w="24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87° / 0.98</w:t>
            </w:r>
          </w:p>
        </w:tc>
        <w:tc>
          <w:tcPr>
            <w:tcW w:type="dxa" w:w="23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now wraps it (was a near-miss)</w:t>
            </w:r>
          </w:p>
        </w:tc>
      </w:tr>
      <w:tr>
        <w:tc>
          <w:tcPr>
            <w:tcW w:type="dxa" w:w="24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Square 44 mm</w:t>
            </w:r>
          </w:p>
        </w:tc>
        <w:tc>
          <w:tcPr>
            <w:tcW w:type="dxa" w:w="22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88° / 1.23</w:t>
            </w:r>
          </w:p>
        </w:tc>
        <w:tc>
          <w:tcPr>
            <w:tcW w:type="dxa" w:w="24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87° / 1.00</w:t>
            </w:r>
          </w:p>
        </w:tc>
        <w:tc>
          <w:tcPr>
            <w:tcW w:type="dxa" w:w="23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wraps, more even</w:t>
            </w:r>
          </w:p>
        </w:tc>
      </w:tr>
      <w:tr>
        <w:tc>
          <w:tcPr>
            <w:tcW w:type="dxa" w:w="24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Ø44 low (y=64)</w:t>
            </w:r>
          </w:p>
        </w:tc>
        <w:tc>
          <w:tcPr>
            <w:tcW w:type="dxa" w:w="22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6° / 0.64</w:t>
            </w:r>
          </w:p>
        </w:tc>
        <w:tc>
          <w:tcPr>
            <w:tcW w:type="dxa" w:w="24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17° / 0.77</w:t>
            </w:r>
          </w:p>
        </w:tc>
        <w:tc>
          <w:tcPr>
            <w:tcW w:type="dxa" w:w="23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 2.5× contact arc</w:t>
            </w:r>
          </w:p>
        </w:tc>
      </w:tr>
      <w:tr>
        <w:tc>
          <w:tcPr>
            <w:tcW w:type="dxa" w:w="24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Ø44 high (y=94)</w:t>
            </w:r>
          </w:p>
        </w:tc>
        <w:tc>
          <w:tcPr>
            <w:tcW w:type="dxa" w:w="22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10° / 0.79</w:t>
            </w:r>
          </w:p>
        </w:tc>
        <w:tc>
          <w:tcPr>
            <w:tcW w:type="dxa" w:w="24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6° / 0.76</w:t>
            </w:r>
          </w:p>
        </w:tc>
        <w:tc>
          <w:tcPr>
            <w:tcW w:type="dxa" w:w="23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softer at the tip</w:t>
            </w:r>
          </w:p>
        </w:tc>
      </w:tr>
      <w:tr>
        <w:tc>
          <w:tcPr>
            <w:tcW w:type="dxa" w:w="24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Universal score</w:t>
            </w:r>
          </w:p>
        </w:tc>
        <w:tc>
          <w:tcPr>
            <w:tcW w:type="dxa" w:w="22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0.559</w:t>
            </w:r>
          </w:p>
        </w:tc>
        <w:tc>
          <w:tcPr>
            <w:tcW w:type="dxa" w:w="24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0.584</w:t>
            </w:r>
          </w:p>
        </w:tc>
        <w:tc>
          <w:tcPr>
            <w:tcW w:type="dxa" w:w="23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+4.5 % aggregate</w:t>
            </w:r>
          </w:p>
        </w:tc>
      </w:tr>
    </w:tbl>
    <w:p>
      <w:pPr>
        <w:spacing w:after="160"/>
      </w:pPr>
      <w:r>
        <w:t xml:space="preserve"/>
      </w:r>
    </w:p>
    <w:p>
      <w:pPr>
        <w:spacing w:after="100" w:before="0" w:line="300"/>
      </w:pPr>
      <w:r>
        <w:rPr>
          <w:rFonts w:ascii="Arial" w:cs="Arial" w:eastAsia="Arial" w:hAnsi="Arial"/>
          <w:b w:val="false"/>
          <w:bCs w:val="false"/>
          <w:i w:val="false"/>
          <w:iCs w:val="false"/>
          <w:color w:val="1A1A1A"/>
          <w:sz w:val="22"/>
          <w:szCs w:val="22"/>
        </w:rPr>
        <w:t xml:space="preserve">The old finger's grip swung by 7 times with object height (a stiffness gradient artefact). The shipped finger grips every object at a consistent 12 N at the test load. The old finger only wrapped one square size; the new one wraps both. On round objects the contact arc roughly doubles.</w:t>
      </w:r>
    </w:p>
    <w:p>
      <w:pPr>
        <w:spacing w:after="80" w:before="160"/>
        <w:jc w:val="center"/>
      </w:pPr>
      <w:r>
        <w:drawing>
          <wp:inline distT="0" distB="0" distL="0" distR="0">
            <wp:extent cx="5486400" cy="572072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86400" cy="5720723"/>
                    </a:xfrm>
                    <a:prstGeom prst="rect">
                      <a:avLst/>
                    </a:prstGeom>
                  </pic:spPr>
                </pic:pic>
              </a:graphicData>
            </a:graphic>
          </wp:inline>
        </w:drawing>
      </w:r>
    </w:p>
    <w:p>
      <w:pPr>
        <w:spacing w:after="220" w:before="60"/>
        <w:jc w:val="center"/>
      </w:pPr>
      <w:r>
        <w:rPr>
          <w:rFonts w:ascii="Arial" w:cs="Arial" w:eastAsia="Arial" w:hAnsi="Arial"/>
          <w:i/>
          <w:iCs/>
          <w:color w:val="6B6B6B"/>
          <w:sz w:val="18"/>
          <w:szCs w:val="18"/>
        </w:rPr>
        <w:t xml:space="preserve">Figure 4.2   Old finger versus shipped finger on the 28 mm square block at equal 12 N grip. The old finger barely catches the edge (1° contact, grip reached at tiny closure). The shipped finger engages the flat face along its length and grips firmly.</w:t>
      </w:r>
    </w:p>
    <w:p>
      <w:pPr>
        <w:spacing w:after="80" w:before="160"/>
        <w:jc w:val="center"/>
      </w:pPr>
      <w:r>
        <w:drawing>
          <wp:inline distT="0" distB="0" distL="0" distR="0">
            <wp:extent cx="5486400" cy="572072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86400" cy="5720723"/>
                    </a:xfrm>
                    <a:prstGeom prst="rect">
                      <a:avLst/>
                    </a:prstGeom>
                  </pic:spPr>
                </pic:pic>
              </a:graphicData>
            </a:graphic>
          </wp:inline>
        </w:drawing>
      </w:r>
    </w:p>
    <w:p>
      <w:pPr>
        <w:spacing w:after="220" w:before="60"/>
        <w:jc w:val="center"/>
      </w:pPr>
      <w:r>
        <w:rPr>
          <w:rFonts w:ascii="Arial" w:cs="Arial" w:eastAsia="Arial" w:hAnsi="Arial"/>
          <w:i/>
          <w:iCs/>
          <w:color w:val="6B6B6B"/>
          <w:sz w:val="18"/>
          <w:szCs w:val="18"/>
        </w:rPr>
        <w:t xml:space="preserve">Figure 4.3   Old finger versus shipped finger on the Ø44 mm cylinder. The new finger is more compliant (reaches the same 12 N at more closure) and spreads stress more evenly along the ribs. On a round object neither finger fully curls around it; that is the physics ceiling of a passive single-piece finger without a tendon.</w:t>
      </w:r>
    </w:p>
    <w:p>
      <w:pPr>
        <w:pStyle w:val="Heading2"/>
        <w:spacing w:after="140" w:before="280"/>
      </w:pPr>
      <w:r>
        <w:rPr>
          <w:rFonts w:ascii="Arial" w:cs="Arial" w:eastAsia="Arial" w:hAnsi="Arial"/>
          <w:b/>
          <w:bCs/>
          <w:color w:val="1A1A1A"/>
          <w:sz w:val="26"/>
          <w:szCs w:val="26"/>
        </w:rPr>
        <w:t xml:space="preserve">Ceilings we own</w:t>
      </w:r>
    </w:p>
    <w:p>
      <w:pPr>
        <w:spacing w:after="100" w:before="0" w:line="300"/>
      </w:pPr>
      <w:r>
        <w:rPr>
          <w:rFonts w:ascii="Arial" w:cs="Arial" w:eastAsia="Arial" w:hAnsi="Arial"/>
          <w:b w:val="false"/>
          <w:bCs w:val="false"/>
          <w:i w:val="false"/>
          <w:iCs w:val="false"/>
          <w:color w:val="1A1A1A"/>
          <w:sz w:val="22"/>
          <w:szCs w:val="22"/>
        </w:rPr>
        <w:t xml:space="preserve">Two formulations agree in order of magnitude on the fragility metric. A 2D plane-strain finite-strain solve in scikit-fem and the 3D corotational solve both produce peak von Mises around 2.7 MPa at the 12 N stress-probe load. These are not the same problem (different boundary conditions, ν, strain measure, load level), so this is a cross-formulation consistency check, not an independent re-derivation.</w:t>
      </w:r>
    </w:p>
    <w:p>
      <w:pPr>
        <w:spacing w:after="100" w:before="0" w:line="300"/>
      </w:pPr>
      <w:r>
        <w:rPr>
          <w:rFonts w:ascii="Arial" w:cs="Arial" w:eastAsia="Arial" w:hAnsi="Arial"/>
          <w:b w:val="false"/>
          <w:bCs w:val="false"/>
          <w:i w:val="false"/>
          <w:iCs w:val="false"/>
          <w:color w:val="1A1A1A"/>
          <w:sz w:val="22"/>
          <w:szCs w:val="22"/>
        </w:rPr>
        <w:t>A locking-stable P2 (quadratic-triangle) re-run of the 2D precursor showed that the linear-element solver under-reports peak vM by about 50 % at 12 N. The headline 6.2 to 9.4 times margin is therefore optimistic. A locking-free reading is closer to 4.1 to 6.2 times at 12 N. The design call is unchanged (margins at the actual operating force are still around 120 to 300 times), but we corrected the absolute fragility number in the underlying docs.</w:t>
      </w:r>
    </w:p>
    <w:p>
      <w:pPr>
        <w:pBdr>
          <w:top w:val="single" w:color="F5D802" w:sz="4" w:space="6"/>
          <w:left w:val="single" w:color="F5D802" w:sz="4" w:space="6"/>
          <w:bottom w:val="single" w:color="F5D802" w:sz="4" w:space="6"/>
          <w:right w:val="single" w:color="F5D802" w:sz="4" w:space="6"/>
        </w:pBdr>
        <w:shd w:fill="F4F4F2" w:val="clear"/>
        <w:spacing w:after="180" w:before="180" w:line="320"/>
        <w:ind w:left="180" w:right="180"/>
      </w:pPr>
      <w:r>
        <w:rPr>
          <w:rFonts w:ascii="Arial" w:cs="Arial" w:eastAsia="Arial" w:hAnsi="Arial"/>
          <w:b/>
          <w:bCs/>
          <w:color w:val="1A1A1A"/>
          <w:sz w:val="22"/>
          <w:szCs w:val="22"/>
        </w:rPr>
        <w:t xml:space="preserve">Established and not established.</w:t>
      </w:r>
      <w:r>
        <w:rPr>
          <w:rFonts w:ascii="Arial" w:cs="Arial" w:eastAsia="Arial" w:hAnsi="Arial"/>
          <w:color w:val="1A1A1A"/>
          <w:sz w:val="22"/>
          <w:szCs w:val="22"/>
        </w:rPr>
        <w:t xml:space="preserve">   Established: the finger wraps universally and gently at the 12 N stress-probe load with peak stress around 2.7 MPa, ten times below TPU strength under both formulations. At the operating force the implied margin is around 100 to 300 times. Not established: the absolute grip force in newtons (the texture model ranks, it does not predict); long-term wet service (TPU swelling and biofilm in the grip channels need physical soak testing); whether a passive single-piece finger can curl tightly around a small round object (it cannot, by architecture).</w:t>
      </w:r>
    </w:p>
    <w:p>
      <w:r>
        <w:br w:type="page"/>
      </w:r>
    </w:p>
    <w:p>
      <w:pPr>
        <w:pStyle w:val="Heading1"/>
        <w:pBdr>
          <w:top w:val="none" w:color="FFFFFF" w:sz="0" w:space="0"/>
          <w:left w:val="none" w:color="FFFFFF" w:sz="0" w:space="0"/>
          <w:bottom w:val="single" w:color="F5D802" w:sz="18" w:space="4"/>
          <w:right w:val="none" w:color="FFFFFF" w:sz="0" w:space="0"/>
        </w:pBdr>
        <w:spacing w:after="200" w:before="320"/>
      </w:pPr>
      <w:r>
        <w:rPr>
          <w:rFonts w:ascii="Arial" w:cs="Arial" w:eastAsia="Arial" w:hAnsi="Arial"/>
          <w:b/>
          <w:bCs/>
          <w:color w:val="1A1A1A"/>
          <w:sz w:val="36"/>
          <w:szCs w:val="36"/>
        </w:rPr>
        <w:t xml:space="preserve">6. How we chose the grip surface: texture optimisation</w:t>
      </w:r>
    </w:p>
    <w:p>
      <w:pPr>
        <w:spacing w:after="100" w:before="0" w:line="300"/>
      </w:pPr>
      <w:r>
        <w:rPr>
          <w:rFonts w:ascii="Arial" w:cs="Arial" w:eastAsia="Arial" w:hAnsi="Arial"/>
          <w:b w:val="false"/>
          <w:bCs w:val="false"/>
          <w:i w:val="false"/>
          <w:iCs w:val="false"/>
          <w:color w:val="1A1A1A"/>
          <w:sz w:val="22"/>
          <w:szCs w:val="22"/>
        </w:rPr>
        <w:t xml:space="preserve">With the finger geometry locked, we needed to optimise the actual contact surface, the micro-relief that does or does not catch on a wet object. The finger structural FEA cannot answer this: it has no friction model and no fluid model. So we built a second campaign with its own model, its own validation gates, and its own set of candidate textures.</w:t>
      </w:r>
    </w:p>
    <w:p>
      <w:pPr>
        <w:pStyle w:val="Heading2"/>
        <w:spacing w:after="140" w:before="280"/>
      </w:pPr>
      <w:r>
        <w:rPr>
          <w:rFonts w:ascii="Arial" w:cs="Arial" w:eastAsia="Arial" w:hAnsi="Arial"/>
          <w:b/>
          <w:bCs/>
          <w:color w:val="1A1A1A"/>
          <w:sz w:val="26"/>
          <w:szCs w:val="26"/>
        </w:rPr>
        <w:t xml:space="preserve">Why a separate campaign</w:t>
      </w:r>
    </w:p>
    <w:p>
      <w:pPr>
        <w:spacing w:after="100" w:before="0" w:line="300"/>
      </w:pPr>
      <w:r>
        <w:rPr>
          <w:rFonts w:ascii="Arial" w:cs="Arial" w:eastAsia="Arial" w:hAnsi="Arial"/>
          <w:b w:val="false"/>
          <w:bCs w:val="false"/>
          <w:i w:val="false"/>
          <w:iCs w:val="false"/>
          <w:color w:val="1A1A1A"/>
          <w:sz w:val="22"/>
          <w:szCs w:val="22"/>
        </w:rPr>
        <w:t>The shipped finger needs a surface that works on every kind of object an archaeologist might recover: smooth ceramic, rough rock, ridged coral, slimy bone, soft tissue, small round shells. The Bambu TPU 95A HF we print the fingers in has a glossy, low-friction skin straight off the print bed. A textured contact face has to defeat both the water film and the slick skin at the same time. None of that was scored by the structural FEA, which only sees mechanical stress.</w:t>
      </w:r>
    </w:p>
    <w:p>
      <w:pPr>
        <w:pStyle w:val="Heading2"/>
        <w:spacing w:after="140" w:before="280"/>
      </w:pPr>
      <w:r>
        <w:rPr>
          <w:rFonts w:ascii="Arial" w:cs="Arial" w:eastAsia="Arial" w:hAnsi="Arial"/>
          <w:b/>
          <w:bCs/>
          <w:color w:val="1A1A1A"/>
          <w:sz w:val="26"/>
          <w:szCs w:val="26"/>
        </w:rPr>
        <w:t xml:space="preserve">Two-tier architecture</w:t>
      </w:r>
    </w:p>
    <w:p>
      <w:pPr>
        <w:spacing w:after="100" w:before="0" w:line="300"/>
      </w:pPr>
      <w:r>
        <w:rPr>
          <w:rFonts w:ascii="Arial" w:cs="Arial" w:eastAsia="Arial" w:hAnsi="Arial"/>
          <w:b w:val="false"/>
          <w:bCs w:val="false"/>
          <w:i w:val="false"/>
          <w:iCs w:val="false"/>
          <w:color w:val="1A1A1A"/>
          <w:sz w:val="22"/>
          <w:szCs w:val="22"/>
        </w:rPr>
        <w:t xml:space="preserve">There is no cheap first-principles simulator for wet elastomer friction, so we built two tiers:</w:t>
      </w:r>
    </w:p>
    <w:p>
      <w:pPr>
        <w:pStyle w:val="ListParagraph"/>
        <w:numPr>
          <w:ilvl w:val="0"/>
          <w:numId w:val="3"/>
        </w:numPr>
        <w:spacing w:after="40" w:before="40" w:line="280"/>
      </w:pPr>
      <w:r>
        <w:rPr>
          <w:rFonts w:ascii="Arial" w:cs="Arial" w:eastAsia="Arial" w:hAnsi="Arial"/>
          <w:b/>
          <w:bCs/>
          <w:i w:val="false"/>
          <w:iCs w:val="false"/>
          <w:color w:val="1A1A1A"/>
          <w:sz w:val="22"/>
          <w:szCs w:val="22"/>
        </w:rPr>
        <w:t xml:space="preserve">Tier 1: </w:t>
      </w:r>
      <w:r>
        <w:rPr>
          <w:rFonts w:ascii="Arial" w:cs="Arial" w:eastAsia="Arial" w:hAnsi="Arial"/>
          <w:b w:val="false"/>
          <w:bCs w:val="false"/>
          <w:i w:val="false"/>
          <w:iCs w:val="false"/>
          <w:color w:val="1A1A1A"/>
          <w:sz w:val="22"/>
          <w:szCs w:val="22"/>
        </w:rPr>
        <w:t xml:space="preserve">a mechanistic surrogate (microseconds per evaluation) that scores any texture. Fast enough to run hundreds of thousands of candidates.</w:t>
      </w:r>
    </w:p>
    <w:p>
      <w:pPr>
        <w:pStyle w:val="ListParagraph"/>
        <w:numPr>
          <w:ilvl w:val="0"/>
          <w:numId w:val="3"/>
        </w:numPr>
        <w:spacing w:after="40" w:before="40" w:line="280"/>
      </w:pPr>
      <w:r>
        <w:rPr>
          <w:rFonts w:ascii="Arial" w:cs="Arial" w:eastAsia="Arial" w:hAnsi="Arial"/>
          <w:b/>
          <w:bCs/>
          <w:i w:val="false"/>
          <w:iCs w:val="false"/>
          <w:color w:val="1A1A1A"/>
          <w:sz w:val="22"/>
          <w:szCs w:val="22"/>
        </w:rPr>
        <w:t xml:space="preserve">Tier 2: </w:t>
      </w:r>
      <w:r>
        <w:rPr>
          <w:rFonts w:ascii="Arial" w:cs="Arial" w:eastAsia="Arial" w:hAnsi="Arial"/>
          <w:b w:val="false"/>
          <w:bCs w:val="false"/>
          <w:i w:val="false"/>
          <w:iCs w:val="false"/>
          <w:color w:val="1A1A1A"/>
          <w:sz w:val="22"/>
          <w:szCs w:val="22"/>
        </w:rPr>
        <w:t xml:space="preserve">a real plane-strain contact FEA that validates the contact-mechanics pieces the surrogate relies on.</w:t>
      </w:r>
    </w:p>
    <w:p>
      <w:pPr>
        <w:spacing w:after="100" w:before="0" w:line="300"/>
      </w:pPr>
      <w:r>
        <w:rPr>
          <w:rFonts w:ascii="Arial" w:cs="Arial" w:eastAsia="Arial" w:hAnsi="Arial"/>
          <w:b w:val="false"/>
          <w:bCs w:val="false"/>
          <w:i w:val="false"/>
          <w:iCs w:val="false"/>
          <w:color w:val="1A1A1A"/>
          <w:sz w:val="22"/>
          <w:szCs w:val="22"/>
        </w:rPr>
        <w:t xml:space="preserve">We guarded the surrogate with three independent validations (a literature gate, a 50 % sensitivity sweep, and the Tier-2 FEA) so it could not just be a function we tuned to give the answer we wanted.</w:t>
      </w:r>
    </w:p>
    <w:p>
      <w:pPr>
        <w:pStyle w:val="Heading2"/>
        <w:spacing w:after="140" w:before="280"/>
      </w:pPr>
      <w:r>
        <w:rPr>
          <w:rFonts w:ascii="Arial" w:cs="Arial" w:eastAsia="Arial" w:hAnsi="Arial"/>
          <w:b/>
          <w:bCs/>
          <w:color w:val="1A1A1A"/>
          <w:sz w:val="26"/>
          <w:szCs w:val="26"/>
        </w:rPr>
        <w:t xml:space="preserve">The Tier-1 model</w:t>
      </w:r>
    </w:p>
    <w:p>
      <w:pPr>
        <w:spacing w:after="100" w:before="0" w:line="300"/>
      </w:pPr>
      <w:r>
        <w:rPr>
          <w:rFonts w:ascii="Arial" w:cs="Arial" w:eastAsia="Arial" w:hAnsi="Arial"/>
          <w:b w:val="false"/>
          <w:bCs w:val="false"/>
          <w:i w:val="false"/>
          <w:iCs w:val="false"/>
          <w:color w:val="1A1A1A"/>
          <w:sz w:val="22"/>
          <w:szCs w:val="22"/>
        </w:rPr>
        <w:t xml:space="preserve">A texture is resolved into neutral geometric descriptors: land fraction, land width, channel width, depth, edge density, drainage path, directional factors. For each object condition the model composes an effective holding coefficient from:</w:t>
      </w:r>
    </w:p>
    <w:p>
      <w:pPr>
        <w:pStyle w:val="ListParagraph"/>
        <w:numPr>
          <w:ilvl w:val="0"/>
          <w:numId w:val="4"/>
        </w:numPr>
        <w:spacing w:after="40" w:before="40" w:line="280"/>
      </w:pPr>
      <w:r>
        <w:rPr>
          <w:rFonts w:ascii="Arial" w:cs="Arial" w:eastAsia="Arial" w:hAnsi="Arial"/>
          <w:b/>
          <w:bCs/>
          <w:i w:val="false"/>
          <w:iCs w:val="false"/>
          <w:color w:val="1A1A1A"/>
          <w:sz w:val="22"/>
          <w:szCs w:val="22"/>
        </w:rPr>
        <w:t xml:space="preserve">Soft-land flattening. </w:t>
      </w:r>
      <w:r>
        <w:rPr>
          <w:rFonts w:ascii="Arial" w:cs="Arial" w:eastAsia="Arial" w:hAnsi="Arial"/>
          <w:b w:val="false"/>
          <w:bCs w:val="false"/>
          <w:i w:val="false"/>
          <w:iCs w:val="false"/>
          <w:color w:val="1A1A1A"/>
          <w:sz w:val="22"/>
          <w:szCs w:val="22"/>
        </w:rPr>
        <w:t xml:space="preserve">Real contact area grows weakly with load. (Tier-2 FEA confirms this is negligible at our pressures.)</w:t>
      </w:r>
    </w:p>
    <w:p>
      <w:pPr>
        <w:pStyle w:val="ListParagraph"/>
        <w:numPr>
          <w:ilvl w:val="0"/>
          <w:numId w:val="4"/>
        </w:numPr>
        <w:spacing w:after="40" w:before="40" w:line="280"/>
      </w:pPr>
      <w:r>
        <w:rPr>
          <w:rFonts w:ascii="Arial" w:cs="Arial" w:eastAsia="Arial" w:hAnsi="Arial"/>
          <w:b/>
          <w:bCs/>
          <w:i w:val="false"/>
          <w:iCs w:val="false"/>
          <w:color w:val="1A1A1A"/>
          <w:sz w:val="22"/>
          <w:szCs w:val="22"/>
        </w:rPr>
        <w:t xml:space="preserve">Elastomer friction (Briscoe and Tabor). </w:t>
      </w:r>
      <w:r>
        <w:rPr>
          <w:rFonts w:ascii="Arial" w:cs="Arial" w:eastAsia="Arial" w:hAnsi="Arial"/>
          <w:b w:val="false"/>
          <w:bCs w:val="false"/>
          <w:i w:val="false"/>
          <w:iCs w:val="false"/>
          <w:color w:val="1A1A1A"/>
          <w:sz w:val="22"/>
          <w:szCs w:val="22"/>
        </w:rPr>
        <w:t xml:space="preserve">Interfacial shear τ = τ₀ + α·p. The adhesion part scales with real contact area; the load part does not.</w:t>
      </w:r>
    </w:p>
    <w:p>
      <w:pPr>
        <w:pStyle w:val="ListParagraph"/>
        <w:numPr>
          <w:ilvl w:val="0"/>
          <w:numId w:val="4"/>
        </w:numPr>
        <w:spacing w:after="40" w:before="40" w:line="280"/>
      </w:pPr>
      <w:r>
        <w:rPr>
          <w:rFonts w:ascii="Arial" w:cs="Arial" w:eastAsia="Arial" w:hAnsi="Arial"/>
          <w:b/>
          <w:bCs/>
          <w:i w:val="false"/>
          <w:iCs w:val="false"/>
          <w:color w:val="1A1A1A"/>
          <w:sz w:val="22"/>
          <w:szCs w:val="22"/>
        </w:rPr>
        <w:t xml:space="preserve">As-printed TPU slickness. </w:t>
      </w:r>
      <w:r>
        <w:rPr>
          <w:rFonts w:ascii="Arial" w:cs="Arial" w:eastAsia="Arial" w:hAnsi="Arial"/>
          <w:b w:val="false"/>
          <w:bCs w:val="false"/>
          <w:i w:val="false"/>
          <w:iCs w:val="false"/>
          <w:color w:val="1A1A1A"/>
          <w:sz w:val="22"/>
          <w:szCs w:val="22"/>
        </w:rPr>
        <w:t xml:space="preserve">A flat printed land keeps only about 45 % of ideal adhesion because of the glossy FDM skin; edges and channel walls deglaze it back toward ideal.</w:t>
      </w:r>
    </w:p>
    <w:p>
      <w:pPr>
        <w:pStyle w:val="ListParagraph"/>
        <w:numPr>
          <w:ilvl w:val="0"/>
          <w:numId w:val="4"/>
        </w:numPr>
        <w:spacing w:after="40" w:before="40" w:line="280"/>
      </w:pPr>
      <w:r>
        <w:rPr>
          <w:rFonts w:ascii="Arial" w:cs="Arial" w:eastAsia="Arial" w:hAnsi="Arial"/>
          <w:b/>
          <w:bCs/>
          <w:i w:val="false"/>
          <w:iCs w:val="false"/>
          <w:color w:val="1A1A1A"/>
          <w:sz w:val="22"/>
          <w:szCs w:val="22"/>
        </w:rPr>
        <w:t xml:space="preserve">Wet drainage (Reynolds squeeze-film). </w:t>
      </w:r>
      <w:r>
        <w:rPr>
          <w:rFonts w:ascii="Arial" w:cs="Arial" w:eastAsia="Arial" w:hAnsi="Arial"/>
          <w:b w:val="false"/>
          <w:bCs w:val="false"/>
          <w:i w:val="false"/>
          <w:iCs w:val="false"/>
          <w:color w:val="1A1A1A"/>
          <w:sz w:val="22"/>
          <w:szCs w:val="22"/>
        </w:rPr>
        <w:t xml:space="preserve">Dewetted fraction from the squeeze-film drain time over half a land width to the nearest channel, gated by channel capacity, boosted by edge film-piercing. No open channels means hydroplane; fine open channels means grip recovered. The tyre-tread and tree-frog mechanism.</w:t>
      </w:r>
    </w:p>
    <w:p>
      <w:pPr>
        <w:pStyle w:val="ListParagraph"/>
        <w:numPr>
          <w:ilvl w:val="0"/>
          <w:numId w:val="4"/>
        </w:numPr>
        <w:spacing w:after="40" w:before="40" w:line="280"/>
      </w:pPr>
      <w:r>
        <w:rPr>
          <w:rFonts w:ascii="Arial" w:cs="Arial" w:eastAsia="Arial" w:hAnsi="Arial"/>
          <w:b/>
          <w:bCs/>
          <w:i w:val="false"/>
          <w:iCs w:val="false"/>
          <w:color w:val="1A1A1A"/>
          <w:sz w:val="22"/>
          <w:szCs w:val="22"/>
        </w:rPr>
        <w:t xml:space="preserve">Partial-slip edge efficiency. </w:t>
      </w:r>
      <w:r>
        <w:rPr>
          <w:rFonts w:ascii="Arial" w:cs="Arial" w:eastAsia="Arial" w:hAnsi="Arial"/>
          <w:b w:val="false"/>
          <w:bCs w:val="false"/>
          <w:i w:val="false"/>
          <w:iCs w:val="false"/>
          <w:color w:val="1A1A1A"/>
          <w:sz w:val="22"/>
          <w:szCs w:val="22"/>
        </w:rPr>
        <w:t xml:space="preserve">Subdividing a monolithic pad into many small lands resets the edge stress at each, so efficiency rises with subdivision. Monotone surrogate, not gecko adhesion and not Cattaneo-Mindlin; the direction is established in tyre and tree-frog literature, the functional form is engineering convenience.</w:t>
      </w:r>
    </w:p>
    <w:p>
      <w:pPr>
        <w:pStyle w:val="ListParagraph"/>
        <w:numPr>
          <w:ilvl w:val="0"/>
          <w:numId w:val="4"/>
        </w:numPr>
        <w:spacing w:after="40" w:before="40" w:line="280"/>
      </w:pPr>
      <w:r>
        <w:rPr>
          <w:rFonts w:ascii="Arial" w:cs="Arial" w:eastAsia="Arial" w:hAnsi="Arial"/>
          <w:b/>
          <w:bCs/>
          <w:i w:val="false"/>
          <w:iCs w:val="false"/>
          <w:color w:val="1A1A1A"/>
          <w:sz w:val="22"/>
          <w:szCs w:val="22"/>
        </w:rPr>
        <w:t xml:space="preserve">Directional coverage. </w:t>
      </w:r>
      <w:r>
        <w:rPr>
          <w:rFonts w:ascii="Arial" w:cs="Arial" w:eastAsia="Arial" w:hAnsi="Arial"/>
          <w:b w:val="false"/>
          <w:bCs w:val="false"/>
          <w:i w:val="false"/>
          <w:iCs w:val="false"/>
          <w:color w:val="1A1A1A"/>
          <w:sz w:val="22"/>
          <w:szCs w:val="22"/>
        </w:rPr>
        <w:t xml:space="preserve">1-D ridges resist only cross-slip; 2-D or isotropic patterns approach 1 in every direction.</w:t>
      </w:r>
    </w:p>
    <w:p>
      <w:pPr>
        <w:pStyle w:val="ListParagraph"/>
        <w:numPr>
          <w:ilvl w:val="0"/>
          <w:numId w:val="4"/>
        </w:numPr>
        <w:spacing w:after="40" w:before="40" w:line="280"/>
      </w:pPr>
      <w:r>
        <w:rPr>
          <w:rFonts w:ascii="Arial" w:cs="Arial" w:eastAsia="Arial" w:hAnsi="Arial"/>
          <w:b/>
          <w:bCs/>
          <w:i w:val="false"/>
          <w:iCs w:val="false"/>
          <w:color w:val="1A1A1A"/>
          <w:sz w:val="22"/>
          <w:szCs w:val="22"/>
        </w:rPr>
        <w:t xml:space="preserve">Durability. </w:t>
      </w:r>
      <w:r>
        <w:rPr>
          <w:rFonts w:ascii="Arial" w:cs="Arial" w:eastAsia="Arial" w:hAnsi="Arial"/>
          <w:b w:val="false"/>
          <w:bCs w:val="false"/>
          <w:i w:val="false"/>
          <w:iCs w:val="false"/>
          <w:color w:val="1A1A1A"/>
          <w:sz w:val="22"/>
          <w:szCs w:val="22"/>
        </w:rPr>
        <w:t>Root bending σ = 6·τ·AR; margin against the 27.3 MPa printed strength. Validated by Tier-2 FEA.</w:t>
      </w:r>
    </w:p>
    <w:p>
      <w:pPr>
        <w:pStyle w:val="ListParagraph"/>
        <w:numPr>
          <w:ilvl w:val="0"/>
          <w:numId w:val="4"/>
        </w:numPr>
        <w:spacing w:after="40" w:before="40" w:line="280"/>
      </w:pPr>
      <w:r>
        <w:rPr>
          <w:rFonts w:ascii="Arial" w:cs="Arial" w:eastAsia="Arial" w:hAnsi="Arial"/>
          <w:b/>
          <w:bCs/>
          <w:i w:val="false"/>
          <w:iCs w:val="false"/>
          <w:color w:val="1A1A1A"/>
          <w:sz w:val="22"/>
          <w:szCs w:val="22"/>
        </w:rPr>
        <w:t xml:space="preserve">Micro-suction. </w:t>
      </w:r>
      <w:r>
        <w:rPr>
          <w:rFonts w:ascii="Arial" w:cs="Arial" w:eastAsia="Arial" w:hAnsi="Arial"/>
          <w:b w:val="false"/>
          <w:bCs w:val="false"/>
          <w:i w:val="false"/>
          <w:iCs w:val="false"/>
          <w:color w:val="1A1A1A"/>
          <w:sz w:val="22"/>
          <w:szCs w:val="22"/>
        </w:rPr>
        <w:t xml:space="preserve">A small cavity bonus for dimple and sucker patterns, explicitly flagged as speculative.</w:t>
      </w:r>
    </w:p>
    <w:p>
      <w:pPr>
        <w:pStyle w:val="Heading2"/>
        <w:spacing w:after="140" w:before="280"/>
      </w:pPr>
      <w:r>
        <w:rPr>
          <w:rFonts w:ascii="Arial" w:cs="Arial" w:eastAsia="Arial" w:hAnsi="Arial"/>
          <w:b/>
          <w:bCs/>
          <w:color w:val="1A1A1A"/>
          <w:sz w:val="26"/>
          <w:szCs w:val="26"/>
        </w:rPr>
        <w:t xml:space="preserve">Validation 1: the literature gate</w:t>
      </w:r>
    </w:p>
    <w:p>
      <w:pPr>
        <w:spacing w:after="100" w:before="0" w:line="300"/>
      </w:pPr>
      <w:r>
        <w:rPr>
          <w:rFonts w:ascii="Arial" w:cs="Arial" w:eastAsia="Arial" w:hAnsi="Arial"/>
          <w:b w:val="false"/>
          <w:bCs w:val="false"/>
          <w:i w:val="false"/>
          <w:iCs w:val="false"/>
          <w:color w:val="1A1A1A"/>
          <w:sz w:val="22"/>
          <w:szCs w:val="22"/>
        </w:rPr>
        <w:t xml:space="preserve">Before trusting the model to rank anything, it had to reproduce the published wet-grip ordering of five real patterns. The model computes each pattern's wet holding coefficient and asserts six orderings. All six pass:</w:t>
      </w:r>
    </w:p>
    <w:p>
      <w:pPr>
        <w:spacing w:after="80" w:before="160"/>
        <w:jc w:val="center"/>
      </w:pPr>
      <w:r>
        <w:drawing>
          <wp:inline distT="0" distB="0" distL="0" distR="0">
            <wp:extent cx="5029200" cy="294014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029200" cy="2940148"/>
                    </a:xfrm>
                    <a:prstGeom prst="rect">
                      <a:avLst/>
                    </a:prstGeom>
                  </pic:spPr>
                </pic:pic>
              </a:graphicData>
            </a:graphic>
          </wp:inline>
        </w:drawing>
      </w:r>
    </w:p>
    <w:p>
      <w:pPr>
        <w:spacing w:after="220" w:before="60"/>
        <w:jc w:val="center"/>
      </w:pPr>
      <w:r>
        <w:rPr>
          <w:rFonts w:ascii="Arial" w:cs="Arial" w:eastAsia="Arial" w:hAnsi="Arial"/>
          <w:i/>
          <w:iCs/>
          <w:color w:val="6B6B6B"/>
          <w:sz w:val="18"/>
          <w:szCs w:val="18"/>
        </w:rPr>
        <w:t xml:space="preserve">Figure 5.1   The literature validation gate. smooth ≪ ridges &lt; tyre tread &lt; tree-frog ≈ octopus sucker. The model passes all six checks; the design sweep was gated on this passing.</w:t>
      </w:r>
    </w:p>
    <w:p>
      <w:pPr>
        <w:pBdr>
          <w:top w:val="single" w:color="F5D802" w:sz="4" w:space="6"/>
          <w:left w:val="single" w:color="F5D802" w:sz="4" w:space="6"/>
          <w:bottom w:val="single" w:color="F5D802" w:sz="4" w:space="6"/>
          <w:right w:val="single" w:color="F5D802" w:sz="4" w:space="6"/>
        </w:pBdr>
        <w:shd w:fill="F4F4F2" w:val="clear"/>
        <w:spacing w:after="180" w:before="180" w:line="320"/>
        <w:ind w:left="180" w:right="180"/>
      </w:pPr>
      <w:r>
        <w:rPr>
          <w:rFonts w:ascii="Arial" w:cs="Arial" w:eastAsia="Arial" w:hAnsi="Arial"/>
          <w:b/>
          <w:bCs/>
          <w:color w:val="1A1A1A"/>
          <w:sz w:val="22"/>
          <w:szCs w:val="22"/>
        </w:rPr>
        <w:t xml:space="preserve">Caveat on the gate.</w:t>
      </w:r>
      <w:r>
        <w:rPr>
          <w:rFonts w:ascii="Arial" w:cs="Arial" w:eastAsia="Arial" w:hAnsi="Arial"/>
          <w:color w:val="1A1A1A"/>
          <w:sz w:val="22"/>
          <w:szCs w:val="22"/>
        </w:rPr>
        <w:t xml:space="preserve">   The placeholder and estimate coefficients were chosen so the gate passes, so "gate passes" is a sufficient-condition test (the model can be fit to these 5 patterns), not a necessary one. A coefficient-perturbation diagnostic (50 % up and down on each placeholder) shows the gate still passes in 89 of 90 settings (99 %). A harsher zero-the-placeholders check fails, meaning the placeholder terms (drainage, edge piercing, hysteresis) are doing real work. An out-of-sample gate with three new patterns the placeholders were not tuned on passes 2 of 3 (67 %).</w:t>
      </w:r>
    </w:p>
    <w:p>
      <w:pPr>
        <w:pStyle w:val="Heading2"/>
        <w:spacing w:after="140" w:before="280"/>
      </w:pPr>
      <w:r>
        <w:rPr>
          <w:rFonts w:ascii="Arial" w:cs="Arial" w:eastAsia="Arial" w:hAnsi="Arial"/>
          <w:b/>
          <w:bCs/>
          <w:color w:val="1A1A1A"/>
          <w:sz w:val="26"/>
          <w:szCs w:val="26"/>
        </w:rPr>
        <w:t xml:space="preserve">The texture sweep: seven families, 700,000+ evaluations</w:t>
      </w:r>
    </w:p>
    <w:p>
      <w:pPr>
        <w:spacing w:after="100" w:before="0" w:line="300"/>
      </w:pPr>
      <w:r>
        <w:rPr>
          <w:rFonts w:ascii="Arial" w:cs="Arial" w:eastAsia="Arial" w:hAnsi="Arial"/>
          <w:b w:val="false"/>
          <w:bCs w:val="false"/>
          <w:i w:val="false"/>
          <w:iCs w:val="false"/>
          <w:color w:val="1A1A1A"/>
          <w:sz w:val="22"/>
          <w:szCs w:val="22"/>
        </w:rPr>
        <w:t xml:space="preserve">We ran seven texture families in parallel. Each family had its own parametric description and its own parameter ranges (post pitch, channel width, depth, post height, ridge angle, ring spacing, dimple radius, hierarchy ratio). Each family ran an inner sweep over its full parameter space at 0.1 mm resolution, refined around its best score with a finer mesh, and reported its champion configuration along with how much that champion leaned on the speculative or placeholder coefficients in the model. The seven families together produced more than 700,000 model evaluations. The families were: ridge, crosshatch, chevron, hexpad (tree-frog), concentric (octopus sucker), dimple, and hierarchical.</w:t>
      </w:r>
    </w:p>
    <w:p>
      <w:pPr>
        <w:spacing w:after="80" w:before="160"/>
        <w:jc w:val="center"/>
      </w:pPr>
      <w:r>
        <w:drawing>
          <wp:inline distT="0" distB="0" distL="0" distR="0">
            <wp:extent cx="5029200" cy="348691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029200" cy="3486912"/>
                    </a:xfrm>
                    <a:prstGeom prst="rect">
                      <a:avLst/>
                    </a:prstGeom>
                  </pic:spPr>
                </pic:pic>
              </a:graphicData>
            </a:graphic>
          </wp:inline>
        </w:drawing>
      </w:r>
    </w:p>
    <w:p>
      <w:pPr>
        <w:spacing w:after="220" w:before="60"/>
        <w:jc w:val="center"/>
      </w:pPr>
      <w:r>
        <w:rPr>
          <w:rFonts w:ascii="Arial" w:cs="Arial" w:eastAsia="Arial" w:hAnsi="Arial"/>
          <w:i/>
          <w:iCs/>
          <w:color w:val="6B6B6B"/>
          <w:sz w:val="18"/>
          <w:szCs w:val="18"/>
        </w:rPr>
        <w:t xml:space="preserve">Figure 5.2   Champion universal grip scores by family across the 7 condition battery.</w:t>
      </w:r>
    </w:p>
    <w:p>
      <w:pPr>
        <w:pStyle w:val="Heading2"/>
        <w:spacing w:after="140" w:before="280"/>
      </w:pPr>
      <w:r>
        <w:rPr>
          <w:rFonts w:ascii="Arial" w:cs="Arial" w:eastAsia="Arial" w:hAnsi="Arial"/>
          <w:b/>
          <w:bCs/>
          <w:color w:val="1A1A1A"/>
          <w:sz w:val="26"/>
          <w:szCs w:val="26"/>
        </w:rPr>
        <w:t xml:space="preserve">Validation 2: the 50 % sensitivity sweep</w:t>
      </w:r>
    </w:p>
    <w:p>
      <w:pPr>
        <w:spacing w:after="100" w:before="0" w:line="300"/>
      </w:pPr>
      <w:r>
        <w:rPr>
          <w:rFonts w:ascii="Arial" w:cs="Arial" w:eastAsia="Arial" w:hAnsi="Arial"/>
          <w:b w:val="false"/>
          <w:bCs w:val="false"/>
          <w:i w:val="false"/>
          <w:iCs w:val="false"/>
          <w:color w:val="1A1A1A"/>
          <w:sz w:val="22"/>
          <w:szCs w:val="22"/>
        </w:rPr>
        <w:t xml:space="preserve">The central risk of a surrogate model: "family X wins" might just reflect the numbers we chose. So we perturbed every coefficient to 0.5× and 1.5× and, at each of 31 settings, re-optimised all seven families and recorded the winner. A winner that survives the whole sweep is a real conclusion.</w:t>
      </w:r>
    </w:p>
    <w:p>
      <w:pPr>
        <w:spacing w:after="80" w:before="160"/>
        <w:jc w:val="center"/>
      </w:pPr>
      <w:r>
        <w:drawing>
          <wp:inline distT="0" distB="0" distL="0" distR="0">
            <wp:extent cx="5943600" cy="167144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43600" cy="1671446"/>
                    </a:xfrm>
                    <a:prstGeom prst="rect">
                      <a:avLst/>
                    </a:prstGeom>
                  </pic:spPr>
                </pic:pic>
              </a:graphicData>
            </a:graphic>
          </wp:inline>
        </w:drawing>
      </w:r>
    </w:p>
    <w:p>
      <w:pPr>
        <w:spacing w:after="220" w:before="60"/>
        <w:jc w:val="center"/>
      </w:pPr>
      <w:r>
        <w:rPr>
          <w:rFonts w:ascii="Arial" w:cs="Arial" w:eastAsia="Arial" w:hAnsi="Arial"/>
          <w:i/>
          <w:iCs/>
          <w:color w:val="6B6B6B"/>
          <w:sz w:val="18"/>
          <w:szCs w:val="18"/>
        </w:rPr>
        <w:t xml:space="preserve">Figure 5.3   The sensitivity heatmap. Stars mark the winner per column. The concentric (octopus sucker) pattern wins 31 of 31 settings; among the patterns that actually tile a finger blade, crosshatch wins 23 of 31.</w:t>
      </w:r>
    </w:p>
    <w:p>
      <w:pPr>
        <w:pStyle w:val="Heading2"/>
        <w:spacing w:after="140" w:before="280"/>
      </w:pPr>
      <w:r>
        <w:rPr>
          <w:rFonts w:ascii="Arial" w:cs="Arial" w:eastAsia="Arial" w:hAnsi="Arial"/>
          <w:b/>
          <w:bCs/>
          <w:color w:val="1A1A1A"/>
          <w:sz w:val="26"/>
          <w:szCs w:val="26"/>
        </w:rPr>
        <w:t xml:space="preserve">The physical ceiling and the override</w:t>
      </w:r>
    </w:p>
    <w:p>
      <w:pPr>
        <w:spacing w:after="100" w:before="0" w:line="300"/>
      </w:pPr>
      <w:r>
        <w:rPr>
          <w:rFonts w:ascii="Arial" w:cs="Arial" w:eastAsia="Arial" w:hAnsi="Arial"/>
          <w:b w:val="false"/>
          <w:bCs w:val="false"/>
          <w:i w:val="false"/>
          <w:iCs w:val="false"/>
          <w:color w:val="1A1A1A"/>
          <w:sz w:val="22"/>
          <w:szCs w:val="22"/>
        </w:rPr>
        <w:t xml:space="preserve">Concentric is the model's invariant winner and we did not ship it, for two reasons. First, it cannot tile the finger blade: the contact face is about 72 mm × 10 mm, and at a 1.4 mm ring pitch at most one full rosette fits across the 10 mm width. The rest is truncated ring fragments and inter-rosette gaps where the directional-isotropy benefit disappears. The model has no tileability term; this is a missing-physics override, applied externally and on purpose. Second, its remaining lead leans on the speculative micro-suction term, which a 0.16 mm layer FDM TPU cavity cannot actually sustain (stepped rims break the seal).</w:t>
      </w:r>
    </w:p>
    <w:p>
      <w:pPr>
        <w:spacing w:after="100" w:before="0" w:line="300"/>
      </w:pPr>
      <w:r>
        <w:rPr>
          <w:rFonts w:ascii="Arial" w:cs="Arial" w:eastAsia="Arial" w:hAnsi="Arial"/>
          <w:b w:val="false"/>
          <w:bCs w:val="false"/>
          <w:i w:val="false"/>
          <w:iCs w:val="false"/>
          <w:color w:val="1A1A1A"/>
          <w:sz w:val="22"/>
          <w:szCs w:val="22"/>
        </w:rPr>
        <w:t xml:space="preserve">Among patterns that actually tile the blade, are robust without speculation, and print reliably, crosshatch is the empirical winner at 23 of 31 settings. That is what ships.</w:t>
      </w:r>
    </w:p>
    <w:p>
      <w:pPr>
        <w:pStyle w:val="Heading2"/>
        <w:spacing w:after="140" w:before="280"/>
      </w:pPr>
      <w:r>
        <w:rPr>
          <w:rFonts w:ascii="Arial" w:cs="Arial" w:eastAsia="Arial" w:hAnsi="Arial"/>
          <w:b/>
          <w:bCs/>
          <w:color w:val="1A1A1A"/>
          <w:sz w:val="26"/>
          <w:szCs w:val="26"/>
        </w:rPr>
        <w:t xml:space="preserve">Validation 3: the Tier-2 contact FEA</w:t>
      </w:r>
    </w:p>
    <w:p>
      <w:pPr>
        <w:spacing w:after="80" w:before="160"/>
        <w:jc w:val="center"/>
      </w:pPr>
      <w:r>
        <w:drawing>
          <wp:inline distT="0" distB="0" distL="0" distR="0">
            <wp:extent cx="5943600" cy="226422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43600" cy="2264229"/>
                    </a:xfrm>
                    <a:prstGeom prst="rect">
                      <a:avLst/>
                    </a:prstGeom>
                  </pic:spPr>
                </pic:pic>
              </a:graphicData>
            </a:graphic>
          </wp:inline>
        </w:drawing>
      </w:r>
    </w:p>
    <w:p>
      <w:pPr>
        <w:spacing w:after="220" w:before="60"/>
        <w:jc w:val="center"/>
      </w:pPr>
      <w:r>
        <w:rPr>
          <w:rFonts w:ascii="Arial" w:cs="Arial" w:eastAsia="Arial" w:hAnsi="Arial"/>
          <w:i/>
          <w:iCs/>
          <w:color w:val="6B6B6B"/>
          <w:sz w:val="18"/>
          <w:szCs w:val="18"/>
        </w:rPr>
        <w:t xml:space="preserve">Figure 5.4   Tier-2 plane-strain FEA on the shipped crosshatch post cross-section. (a) Effective contact land fraction is geometrically dominated and load-independent. (b) Post-root durability margin is 24× at μ = 1.0 and 14× at μ = 1.8.</w:t>
      </w:r>
    </w:p>
    <w:p>
      <w:pPr>
        <w:spacing w:after="100" w:before="0" w:line="300"/>
      </w:pPr>
      <w:r>
        <w:rPr>
          <w:rFonts w:ascii="Arial" w:cs="Arial" w:eastAsia="Arial" w:hAnsi="Arial"/>
          <w:b w:val="false"/>
          <w:bCs w:val="false"/>
          <w:i w:val="false"/>
          <w:iCs w:val="false"/>
          <w:color w:val="1A1A1A"/>
          <w:sz w:val="22"/>
          <w:szCs w:val="22"/>
        </w:rPr>
        <w:t xml:space="preserve">This is a real finite-element simulation (Q4 bilinear quads, 2×2 Gauss integration, penalty contact against a rigid platen, sparse direct solve). Scope: it validates only the contact-mechanics sub-models every family shares, not the absolute grip number, which rests on Tier-1 plus literature.</w:t>
      </w:r>
    </w:p>
    <w:p>
      <w:pPr>
        <w:pStyle w:val="Heading2"/>
        <w:spacing w:after="140" w:before="280"/>
      </w:pPr>
      <w:r>
        <w:rPr>
          <w:rFonts w:ascii="Arial" w:cs="Arial" w:eastAsia="Arial" w:hAnsi="Arial"/>
          <w:b/>
          <w:bCs/>
          <w:color w:val="1A1A1A"/>
          <w:sz w:val="26"/>
          <w:szCs w:val="26"/>
        </w:rPr>
        <w:t xml:space="preserve">The per-condition score map</w:t>
      </w:r>
    </w:p>
    <w:p>
      <w:pPr>
        <w:spacing w:after="80" w:before="160"/>
        <w:jc w:val="center"/>
      </w:pPr>
      <w:r>
        <w:drawing>
          <wp:inline distT="0" distB="0" distL="0" distR="0">
            <wp:extent cx="5943600" cy="249631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43600" cy="2496312"/>
                    </a:xfrm>
                    <a:prstGeom prst="rect">
                      <a:avLst/>
                    </a:prstGeom>
                  </pic:spPr>
                </pic:pic>
              </a:graphicData>
            </a:graphic>
          </wp:inline>
        </w:drawing>
      </w:r>
    </w:p>
    <w:p>
      <w:pPr>
        <w:spacing w:after="220" w:before="60"/>
        <w:jc w:val="center"/>
      </w:pPr>
      <w:r>
        <w:rPr>
          <w:rFonts w:ascii="Arial" w:cs="Arial" w:eastAsia="Arial" w:hAnsi="Arial"/>
          <w:i/>
          <w:iCs/>
          <w:color w:val="6B6B6B"/>
          <w:sz w:val="18"/>
          <w:szCs w:val="18"/>
        </w:rPr>
        <w:t xml:space="preserve">Figure 5.5   Per-condition objective score across the 7-surface battery. The shipped crosshatch grips 0.99 on smooth, rough, ridged, and dry surfaces; 0.86 on a small cylinder; and degrades only on slime (0.70) and soft objects (0.64). The smooth control fails on every wet surface, which is the hydroplaning the texture exists to defeat.</w:t>
      </w:r>
    </w:p>
    <w:p>
      <w:pPr>
        <w:pStyle w:val="Heading2"/>
        <w:spacing w:after="140" w:before="280"/>
      </w:pPr>
      <w:r>
        <w:rPr>
          <w:rFonts w:ascii="Arial" w:cs="Arial" w:eastAsia="Arial" w:hAnsi="Arial"/>
          <w:b/>
          <w:bCs/>
          <w:color w:val="1A1A1A"/>
          <w:sz w:val="26"/>
          <w:szCs w:val="26"/>
        </w:rPr>
        <w:t xml:space="preserve">The shipped crosshatch geometry</w:t>
      </w:r>
    </w:p>
    <w:p>
      <w:pPr>
        <w:spacing w:after="100" w:before="0" w:line="300"/>
      </w:pPr>
      <w:r>
        <w:rPr>
          <w:rFonts w:ascii="Arial" w:cs="Arial" w:eastAsia="Arial" w:hAnsi="Arial"/>
          <w:b w:val="false"/>
          <w:bCs w:val="false"/>
          <w:i w:val="false"/>
          <w:iCs w:val="false"/>
          <w:color w:val="1A1A1A"/>
          <w:sz w:val="22"/>
          <w:szCs w:val="22"/>
        </w:rPr>
        <w:t xml:space="preserve">1.8 mm posts, 0.54 mm crossing channels, 0.6 mm deep. Ported into gripper.py as FR_GRIP_CROSS, both fingers verified as valid solids with 0.0 mm³ interference at the closed pose.</w:t>
      </w:r>
    </w:p>
    <w:p>
      <w:pPr>
        <w:spacing w:after="80" w:before="160"/>
        <w:jc w:val="center"/>
      </w:pPr>
      <w:r>
        <w:drawing>
          <wp:inline distT="0" distB="0" distL="0" distR="0">
            <wp:extent cx="3657600" cy="315883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657600" cy="3158836"/>
                    </a:xfrm>
                    <a:prstGeom prst="rect">
                      <a:avLst/>
                    </a:prstGeom>
                  </pic:spPr>
                </pic:pic>
              </a:graphicData>
            </a:graphic>
          </wp:inline>
        </w:drawing>
      </w:r>
    </w:p>
    <w:p>
      <w:pPr>
        <w:spacing w:after="220" w:before="60"/>
        <w:jc w:val="center"/>
      </w:pPr>
      <w:r>
        <w:rPr>
          <w:rFonts w:ascii="Arial" w:cs="Arial" w:eastAsia="Arial" w:hAnsi="Arial"/>
          <w:i/>
          <w:iCs/>
          <w:color w:val="6B6B6B"/>
          <w:sz w:val="18"/>
          <w:szCs w:val="18"/>
        </w:rPr>
        <w:t xml:space="preserve">Figure 5.6   Detail of the shipped crosshatch post field. The orthogonal channels drain in two directions; the post pitch tiles the 10 mm contact face evenly.</w:t>
      </w:r>
    </w:p>
    <w:p>
      <w:r>
        <w:br w:type="page"/>
      </w:r>
    </w:p>
    <w:p>
      <w:pPr>
        <w:pStyle w:val="Heading1"/>
        <w:pBdr>
          <w:top w:val="none" w:color="FFFFFF" w:sz="0" w:space="0"/>
          <w:left w:val="none" w:color="FFFFFF" w:sz="0" w:space="0"/>
          <w:bottom w:val="single" w:color="F5D802" w:sz="18" w:space="4"/>
          <w:right w:val="none" w:color="FFFFFF" w:sz="0" w:space="0"/>
        </w:pBdr>
        <w:spacing w:after="200" w:before="320"/>
      </w:pPr>
      <w:r>
        <w:rPr>
          <w:rFonts w:ascii="Arial" w:cs="Arial" w:eastAsia="Arial" w:hAnsi="Arial"/>
          <w:b/>
          <w:bCs/>
          <w:color w:val="1A1A1A"/>
          <w:sz w:val="36"/>
          <w:szCs w:val="36"/>
        </w:rPr>
        <w:t xml:space="preserve">7. The motor study: sensing through the actuator</w:t>
      </w:r>
    </w:p>
    <w:p>
      <w:pPr>
        <w:spacing w:after="100" w:before="0" w:line="300"/>
      </w:pPr>
      <w:r>
        <w:rPr>
          <w:rFonts w:ascii="Arial" w:cs="Arial" w:eastAsia="Arial" w:hAnsi="Arial"/>
          <w:b w:val="false"/>
          <w:bCs w:val="false"/>
          <w:i w:val="false"/>
          <w:iCs w:val="false"/>
          <w:color w:val="1A1A1A"/>
          <w:sz w:val="22"/>
          <w:szCs w:val="22"/>
        </w:rPr>
        <w:t xml:space="preserve">The four innovations in §3 are the FLL-judging story. In parallel we explored a deeper engineering question: could the actuator's own current draw replace the per-pad pressure sensors entirely, removing all fingertip electronics? The answer turned out to be "yes, with a real cost", and the work is documented here so the engineering thinking is on record alongside the public solution.</w:t>
      </w:r>
    </w:p>
    <w:p>
      <w:pPr>
        <w:pStyle w:val="Heading2"/>
        <w:spacing w:after="140" w:before="280"/>
      </w:pPr>
      <w:r>
        <w:rPr>
          <w:rFonts w:ascii="Arial" w:cs="Arial" w:eastAsia="Arial" w:hAnsi="Arial"/>
          <w:b/>
          <w:bCs/>
          <w:color w:val="1A1A1A"/>
          <w:sz w:val="26"/>
          <w:szCs w:val="26"/>
        </w:rPr>
        <w:t xml:space="preserve">The principle</w:t>
      </w:r>
    </w:p>
    <w:p>
      <w:pPr>
        <w:spacing w:after="100" w:before="0" w:line="300"/>
      </w:pPr>
      <w:r>
        <w:rPr>
          <w:rFonts w:ascii="Arial" w:cs="Arial" w:eastAsia="Arial" w:hAnsi="Arial"/>
          <w:b w:val="false"/>
          <w:bCs w:val="false"/>
          <w:i w:val="false"/>
          <w:iCs w:val="false"/>
          <w:color w:val="1A1A1A"/>
          <w:sz w:val="22"/>
          <w:szCs w:val="22"/>
        </w:rPr>
        <w:t xml:space="preserve">Force-controlled industrial and surgical grippers (Maxon, Robotiq, Schunk) do not put strain gauges on every fingertip. They read the motor current, multiply by the torque constant, back-trace through the drivetrain, and recover an estimated tip force. The current that drives the gripper also senses it.</w:t>
      </w:r>
    </w:p>
    <w:p>
      <w:pPr>
        <w:spacing w:after="100" w:before="0" w:line="300"/>
      </w:pPr>
      <w:r>
        <w:rPr>
          <w:rFonts w:ascii="Arial" w:cs="Arial" w:eastAsia="Arial" w:hAnsi="Arial"/>
          <w:b w:val="false"/>
          <w:bCs w:val="false"/>
          <w:i w:val="false"/>
          <w:iCs w:val="false"/>
          <w:color w:val="1A1A1A"/>
          <w:sz w:val="22"/>
          <w:szCs w:val="22"/>
        </w:rPr>
        <w:t xml:space="preserve">For an underwater tool the payoff is decisive: no fingertip wires through a flexing TPU finger, no fingertip connector to flood, no separate analogue front-end to seal. The sensing chain is the same chain that already exists for control.</w:t>
      </w:r>
    </w:p>
    <w:p>
      <w:pPr>
        <w:pBdr>
          <w:top w:val="none" w:color="FFFFFF" w:sz="0" w:space="0"/>
          <w:left w:val="single" w:color="E63027" w:sz="28" w:space="14"/>
          <w:bottom w:val="none" w:color="FFFFFF" w:sz="0" w:space="0"/>
          <w:right w:val="none" w:color="FFFFFF" w:sz="0" w:space="0"/>
        </w:pBdr>
        <w:spacing w:after="220" w:before="220" w:line="340"/>
        <w:ind w:left="360"/>
      </w:pPr>
      <w:r>
        <w:rPr>
          <w:rFonts w:ascii="Arial" w:cs="Arial" w:eastAsia="Arial" w:hAnsi="Arial"/>
          <w:i/>
          <w:iCs/>
          <w:color w:val="1A1A1A"/>
          <w:sz w:val="24"/>
          <w:szCs w:val="24"/>
        </w:rPr>
        <w:t xml:space="preserve">If you have a force sensor in the motor, you've replaced one of the worst sealing problems with one of the easier ones.</w:t>
      </w:r>
    </w:p>
    <w:p>
      <w:pPr>
        <w:pStyle w:val="Heading2"/>
        <w:spacing w:after="140" w:before="280"/>
      </w:pPr>
      <w:r>
        <w:rPr>
          <w:rFonts w:ascii="Arial" w:cs="Arial" w:eastAsia="Arial" w:hAnsi="Arial"/>
          <w:b/>
          <w:bCs/>
          <w:color w:val="1A1A1A"/>
          <w:sz w:val="26"/>
          <w:szCs w:val="26"/>
        </w:rPr>
        <w:t xml:space="preserve">The campaign in seven 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8C8C8" w:sz="4"/>
              <w:left w:val="single" w:color="C8C8C8" w:sz="4"/>
              <w:bottom w:val="single" w:color="C8C8C8" w:sz="4"/>
              <w:right w:val="single" w:color="C8C8C8" w:sz="4"/>
            </w:tcBorders>
            <w:shd w:fill="F4F4F2" w:val="clear"/>
            <w:tcMar>
              <w:top w:type="dxa" w:w="80"/>
              <w:left w:type="dxa" w:w="120"/>
              <w:bottom w:type="dxa" w:w="80"/>
              <w:right w:type="dxa" w:w="120"/>
            </w:tcMar>
          </w:tcPr>
          <w:p>
            <w:pPr>
              <w:spacing w:after="0" w:before="0" w:line="260"/>
            </w:pPr>
            <w:r>
              <w:rPr>
                <w:rFonts w:ascii="Arial" w:cs="Arial" w:eastAsia="Arial" w:hAnsi="Arial"/>
                <w:b/>
                <w:bCs/>
                <w:color w:val="1A1A1A"/>
                <w:sz w:val="18"/>
                <w:szCs w:val="18"/>
              </w:rPr>
              <w:t xml:space="preserve">Act</w:t>
            </w:r>
          </w:p>
        </w:tc>
        <w:tc>
          <w:tcPr>
            <w:tcW w:type="dxa" w:w="7860"/>
            <w:tcBorders>
              <w:top w:val="single" w:color="C8C8C8" w:sz="4"/>
              <w:left w:val="single" w:color="C8C8C8" w:sz="4"/>
              <w:bottom w:val="single" w:color="C8C8C8" w:sz="4"/>
              <w:right w:val="single" w:color="C8C8C8" w:sz="4"/>
            </w:tcBorders>
            <w:shd w:fill="F4F4F2" w:val="clear"/>
            <w:tcMar>
              <w:top w:type="dxa" w:w="80"/>
              <w:left w:type="dxa" w:w="120"/>
              <w:bottom w:type="dxa" w:w="80"/>
              <w:right w:type="dxa" w:w="120"/>
            </w:tcMar>
          </w:tcPr>
          <w:p>
            <w:pPr>
              <w:spacing w:after="0" w:before="0" w:line="260"/>
            </w:pPr>
            <w:r>
              <w:rPr>
                <w:rFonts w:ascii="Arial" w:cs="Arial" w:eastAsia="Arial" w:hAnsi="Arial"/>
                <w:b/>
                <w:bCs/>
                <w:color w:val="1A1A1A"/>
                <w:sz w:val="18"/>
                <w:szCs w:val="18"/>
              </w:rPr>
              <w:t xml:space="preserve">What it established</w:t>
            </w:r>
          </w:p>
        </w:tc>
      </w:tr>
      <w:tr>
        <w:tc>
          <w:tcPr>
            <w:tcW w:type="dxa" w:w="15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1. Requirements</w:t>
            </w:r>
          </w:p>
        </w:tc>
        <w:tc>
          <w:tcPr>
            <w:tcW w:type="dxa" w:w="78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Input torque 0.56 to 1.18 N·m for 12 N per finger; travel only 123°; sensing budget at least 50 Hz, step size 0.3 N or less.</w:t>
            </w:r>
          </w:p>
        </w:tc>
      </w:tr>
      <w:tr>
        <w:tc>
          <w:tcPr>
            <w:tcW w:type="dxa" w:w="15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2. Survey</w:t>
            </w:r>
          </w:p>
        </w:tc>
        <w:tc>
          <w:tcPr>
            <w:tcW w:type="dxa" w:w="78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12 actuator candidates, 7 actuator classes × 5 sensing modalities, every spec datasheet sourced.</w:t>
            </w:r>
          </w:p>
        </w:tc>
      </w:tr>
      <w:tr>
        <w:tc>
          <w:tcPr>
            <w:tcW w:type="dxa" w:w="15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3. Selection</w:t>
            </w:r>
          </w:p>
        </w:tc>
        <w:tc>
          <w:tcPr>
            <w:tcW w:type="dxa" w:w="78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Weighted score plus 50 % sweep across depth tiers; the winning class flips with depth.</w:t>
            </w:r>
          </w:p>
        </w:tc>
      </w:tr>
      <w:tr>
        <w:tc>
          <w:tcPr>
            <w:tcW w:type="dxa" w:w="15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4. Drivetrain</w:t>
            </w:r>
          </w:p>
        </w:tc>
        <w:tc>
          <w:tcPr>
            <w:tcW w:type="dxa" w:w="78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Gear FEA finds the printed crown-pinion is the structural limit (see §8).</w:t>
            </w:r>
          </w:p>
        </w:tc>
      </w:tr>
      <w:tr>
        <w:tc>
          <w:tcPr>
            <w:tcW w:type="dxa" w:w="15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5. Sensing</w:t>
            </w:r>
          </w:p>
        </w:tc>
        <w:tc>
          <w:tcPr>
            <w:tcW w:type="dxa" w:w="78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Forward and inverse model, calibration rig, noise floor, what the sensor does and does not do.</w:t>
            </w:r>
          </w:p>
        </w:tc>
      </w:tr>
      <w:tr>
        <w:tc>
          <w:tcPr>
            <w:tcW w:type="dxa" w:w="15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6. Integration</w:t>
            </w:r>
          </w:p>
        </w:tc>
        <w:tc>
          <w:tcPr>
            <w:tcW w:type="dxa" w:w="78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Mount, isolation, cabling, tether power budget, telemetry channel.</w:t>
            </w:r>
          </w:p>
        </w:tc>
      </w:tr>
      <w:tr>
        <w:tc>
          <w:tcPr>
            <w:tcW w:type="dxa" w:w="15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7. Validation plan</w:t>
            </w:r>
          </w:p>
        </w:tc>
        <w:tc>
          <w:tcPr>
            <w:tcW w:type="dxa" w:w="78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Bench test list and the criteria for pass and fail.</w:t>
            </w:r>
          </w:p>
        </w:tc>
      </w:tr>
    </w:tbl>
    <w:p>
      <w:pPr>
        <w:spacing w:after="160"/>
      </w:pPr>
      <w:r>
        <w:t xml:space="preserve"/>
      </w:r>
    </w:p>
    <w:p>
      <w:pPr>
        <w:pStyle w:val="Heading2"/>
        <w:spacing w:after="140" w:before="280"/>
      </w:pPr>
      <w:r>
        <w:rPr>
          <w:rFonts w:ascii="Arial" w:cs="Arial" w:eastAsia="Arial" w:hAnsi="Arial"/>
          <w:b/>
          <w:bCs/>
          <w:color w:val="1A1A1A"/>
          <w:sz w:val="26"/>
          <w:szCs w:val="26"/>
        </w:rPr>
        <w:t xml:space="preserve">The actuator ladder</w:t>
      </w:r>
    </w:p>
    <w:p>
      <w:pPr>
        <w:spacing w:after="100" w:before="0" w:line="300"/>
      </w:pPr>
      <w:r>
        <w:rPr>
          <w:rFonts w:ascii="Arial" w:cs="Arial" w:eastAsia="Arial" w:hAnsi="Arial"/>
          <w:b w:val="false"/>
          <w:bCs w:val="false"/>
          <w:i w:val="false"/>
          <w:iCs w:val="false"/>
          <w:color w:val="1A1A1A"/>
          <w:sz w:val="22"/>
          <w:szCs w:val="22"/>
        </w:rPr>
        <w:t xml:space="preserve">The selection sweep places different actuator classes at the top depending on depth. Same gripper body, same D-coupler interface, different drive.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000"/>
        <w:gridCol w:w="3660"/>
      </w:tblGrid>
      <w:tr>
        <w:tc>
          <w:tcPr>
            <w:tcW w:type="dxa" w:w="1500"/>
            <w:tcBorders>
              <w:top w:val="single" w:color="C8C8C8" w:sz="4"/>
              <w:left w:val="single" w:color="C8C8C8" w:sz="4"/>
              <w:bottom w:val="single" w:color="C8C8C8" w:sz="4"/>
              <w:right w:val="single" w:color="C8C8C8" w:sz="4"/>
            </w:tcBorders>
            <w:shd w:fill="F4F4F2" w:val="clear"/>
            <w:tcMar>
              <w:top w:type="dxa" w:w="80"/>
              <w:left w:type="dxa" w:w="120"/>
              <w:bottom w:type="dxa" w:w="80"/>
              <w:right w:type="dxa" w:w="120"/>
            </w:tcMar>
          </w:tcPr>
          <w:p>
            <w:pPr>
              <w:spacing w:after="0" w:before="0" w:line="260"/>
            </w:pPr>
            <w:r>
              <w:rPr>
                <w:rFonts w:ascii="Arial" w:cs="Arial" w:eastAsia="Arial" w:hAnsi="Arial"/>
                <w:b/>
                <w:bCs/>
                <w:color w:val="1A1A1A"/>
                <w:sz w:val="18"/>
                <w:szCs w:val="18"/>
              </w:rPr>
              <w:t xml:space="preserve">Tier</w:t>
            </w:r>
          </w:p>
        </w:tc>
        <w:tc>
          <w:tcPr>
            <w:tcW w:type="dxa" w:w="2200"/>
            <w:tcBorders>
              <w:top w:val="single" w:color="C8C8C8" w:sz="4"/>
              <w:left w:val="single" w:color="C8C8C8" w:sz="4"/>
              <w:bottom w:val="single" w:color="C8C8C8" w:sz="4"/>
              <w:right w:val="single" w:color="C8C8C8" w:sz="4"/>
            </w:tcBorders>
            <w:shd w:fill="F4F4F2" w:val="clear"/>
            <w:tcMar>
              <w:top w:type="dxa" w:w="80"/>
              <w:left w:type="dxa" w:w="120"/>
              <w:bottom w:type="dxa" w:w="80"/>
              <w:right w:type="dxa" w:w="120"/>
            </w:tcMar>
          </w:tcPr>
          <w:p>
            <w:pPr>
              <w:spacing w:after="0" w:before="0" w:line="260"/>
            </w:pPr>
            <w:r>
              <w:rPr>
                <w:rFonts w:ascii="Arial" w:cs="Arial" w:eastAsia="Arial" w:hAnsi="Arial"/>
                <w:b/>
                <w:bCs/>
                <w:color w:val="1A1A1A"/>
                <w:sz w:val="18"/>
                <w:szCs w:val="18"/>
              </w:rPr>
              <w:t xml:space="preserve">Actuator</w:t>
            </w:r>
          </w:p>
        </w:tc>
        <w:tc>
          <w:tcPr>
            <w:tcW w:type="dxa" w:w="2000"/>
            <w:tcBorders>
              <w:top w:val="single" w:color="C8C8C8" w:sz="4"/>
              <w:left w:val="single" w:color="C8C8C8" w:sz="4"/>
              <w:bottom w:val="single" w:color="C8C8C8" w:sz="4"/>
              <w:right w:val="single" w:color="C8C8C8" w:sz="4"/>
            </w:tcBorders>
            <w:shd w:fill="F4F4F2" w:val="clear"/>
            <w:tcMar>
              <w:top w:type="dxa" w:w="80"/>
              <w:left w:type="dxa" w:w="120"/>
              <w:bottom w:type="dxa" w:w="80"/>
              <w:right w:type="dxa" w:w="120"/>
            </w:tcMar>
          </w:tcPr>
          <w:p>
            <w:pPr>
              <w:spacing w:after="0" w:before="0" w:line="260"/>
            </w:pPr>
            <w:r>
              <w:rPr>
                <w:rFonts w:ascii="Arial" w:cs="Arial" w:eastAsia="Arial" w:hAnsi="Arial"/>
                <w:b/>
                <w:bCs/>
                <w:color w:val="1A1A1A"/>
                <w:sz w:val="18"/>
                <w:szCs w:val="18"/>
              </w:rPr>
              <w:t xml:space="preserve">Price (May 2026)</w:t>
            </w:r>
          </w:p>
        </w:tc>
        <w:tc>
          <w:tcPr>
            <w:tcW w:type="dxa" w:w="3660"/>
            <w:tcBorders>
              <w:top w:val="single" w:color="C8C8C8" w:sz="4"/>
              <w:left w:val="single" w:color="C8C8C8" w:sz="4"/>
              <w:bottom w:val="single" w:color="C8C8C8" w:sz="4"/>
              <w:right w:val="single" w:color="C8C8C8" w:sz="4"/>
            </w:tcBorders>
            <w:shd w:fill="F4F4F2" w:val="clear"/>
            <w:tcMar>
              <w:top w:type="dxa" w:w="80"/>
              <w:left w:type="dxa" w:w="120"/>
              <w:bottom w:type="dxa" w:w="80"/>
              <w:right w:type="dxa" w:w="120"/>
            </w:tcMar>
          </w:tcPr>
          <w:p>
            <w:pPr>
              <w:spacing w:after="0" w:before="0" w:line="260"/>
            </w:pPr>
            <w:r>
              <w:rPr>
                <w:rFonts w:ascii="Arial" w:cs="Arial" w:eastAsia="Arial" w:hAnsi="Arial"/>
                <w:b/>
                <w:bCs/>
                <w:color w:val="1A1A1A"/>
                <w:sz w:val="18"/>
                <w:szCs w:val="18"/>
              </w:rPr>
              <w:t xml:space="preserve">Why</w:t>
            </w:r>
          </w:p>
        </w:tc>
      </w:tr>
      <w:tr>
        <w:tc>
          <w:tcPr>
            <w:tcW w:type="dxa" w:w="15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Primary (T2)</w:t>
            </w:r>
          </w:p>
        </w:tc>
        <w:tc>
          <w:tcPr>
            <w:tcW w:type="dxa" w:w="22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DYNAMIXEL XW540-T260-R</w:t>
            </w:r>
          </w:p>
        </w:tc>
        <w:tc>
          <w:tcPr>
            <w:tcW w:type="dxa" w:w="20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USD 1,242 (AUD 1,925)</w:t>
            </w:r>
          </w:p>
        </w:tc>
        <w:tc>
          <w:tcPr>
            <w:tcW w:type="dxa" w:w="36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IP68 body, around 1.9 N·m, RS-485 bus, native present_current at 0.005 N·m per step held cleanly at stall.</w:t>
            </w:r>
          </w:p>
        </w:tc>
      </w:tr>
      <w:tr>
        <w:tc>
          <w:tcPr>
            <w:tcW w:type="dxa" w:w="15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Value</w:t>
            </w:r>
          </w:p>
        </w:tc>
        <w:tc>
          <w:tcPr>
            <w:tcW w:type="dxa" w:w="22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DYNAMIXEL XM540-W270-R</w:t>
            </w:r>
          </w:p>
        </w:tc>
        <w:tc>
          <w:tcPr>
            <w:tcW w:type="dxa" w:w="20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USD 494 (AUD 766)</w:t>
            </w:r>
          </w:p>
        </w:tc>
        <w:tc>
          <w:tcPr>
            <w:tcW w:type="dxa" w:w="36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Same Dynamixel-X bus, identical telemetry, more torque (cont 2.12, stall 10.6 N·m). Drop-in replacement; only difference is no IP68 body, moot inside the T2 canister.</w:t>
            </w:r>
          </w:p>
        </w:tc>
      </w:tr>
      <w:tr>
        <w:tc>
          <w:tcPr>
            <w:tcW w:type="dxa" w:w="15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Deep-budget</w:t>
            </w:r>
          </w:p>
        </w:tc>
        <w:tc>
          <w:tcPr>
            <w:tcW w:type="dxa" w:w="22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Feetech STS3250</w:t>
            </w:r>
          </w:p>
        </w:tc>
        <w:tc>
          <w:tcPr>
            <w:tcW w:type="dxa" w:w="20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EUR 64 (AUD 110)</w:t>
            </w:r>
          </w:p>
        </w:tc>
        <w:tc>
          <w:tcPr>
            <w:tcW w:type="dxa" w:w="36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50 kg·cm and 4.9 N·m stall on the SCS TTL bus with load, position, voltage, temperature feedback. The load percentage is the torque proxy.</w:t>
            </w:r>
          </w:p>
        </w:tc>
      </w:tr>
      <w:tr>
        <w:tc>
          <w:tcPr>
            <w:tcW w:type="dxa" w:w="15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Rock-bottom</w:t>
            </w:r>
          </w:p>
        </w:tc>
        <w:tc>
          <w:tcPr>
            <w:tcW w:type="dxa" w:w="22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Feetech STS3215</w:t>
            </w:r>
          </w:p>
        </w:tc>
        <w:tc>
          <w:tcPr>
            <w:tcW w:type="dxa" w:w="20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EUR 26 (AUD 44)</w:t>
            </w:r>
          </w:p>
        </w:tc>
        <w:tc>
          <w:tcPr>
            <w:tcW w:type="dxa" w:w="36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Same SCS bus at 30 kg·cm and 2.94 N·m stall. Continuous 0.98 N·m sits below the 1.2 N·m design target but above the 0.6 N·m floor; adequate for intermittent grip-and-hold.</w:t>
            </w:r>
          </w:p>
        </w:tc>
      </w:tr>
      <w:tr>
        <w:tc>
          <w:tcPr>
            <w:tcW w:type="dxa" w:w="15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Fallback (T3)</w:t>
            </w:r>
          </w:p>
        </w:tc>
        <w:tc>
          <w:tcPr>
            <w:tcW w:type="dxa" w:w="22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Magnetic-coupling dry-pod</w:t>
            </w:r>
          </w:p>
        </w:tc>
        <w:tc>
          <w:tcPr>
            <w:tcW w:type="dxa" w:w="20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Build</w:t>
            </w:r>
          </w:p>
        </w:tc>
        <w:tc>
          <w:tcPr>
            <w:tcW w:type="dxa" w:w="36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No shaft penetration; depth set only by static pod seals; pole-slip torque is a built-in force limiter.</w:t>
            </w:r>
          </w:p>
        </w:tc>
      </w:tr>
    </w:tbl>
    <w:p>
      <w:pPr>
        <w:spacing w:after="160"/>
      </w:pPr>
      <w:r>
        <w:t xml:space="preserve"/>
      </w:r>
    </w:p>
    <w:p>
      <w:pPr>
        <w:pStyle w:val="Heading2"/>
        <w:spacing w:after="140" w:before="280"/>
      </w:pPr>
      <w:r>
        <w:rPr>
          <w:rFonts w:ascii="Arial" w:cs="Arial" w:eastAsia="Arial" w:hAnsi="Arial"/>
          <w:b/>
          <w:bCs/>
          <w:color w:val="1A1A1A"/>
          <w:sz w:val="26"/>
          <w:szCs w:val="26"/>
        </w:rPr>
        <w:t xml:space="preserve">The forward sensing model</w:t>
      </w:r>
    </w:p>
    <w:p>
      <w:pPr>
        <w:spacing w:after="100" w:before="0" w:line="300"/>
      </w:pPr>
      <w:r>
        <w:rPr>
          <w:rFonts w:ascii="Arial" w:cs="Arial" w:eastAsia="Arial" w:hAnsi="Arial"/>
          <w:b w:val="false"/>
          <w:bCs w:val="false"/>
          <w:i w:val="false"/>
          <w:iCs w:val="false"/>
          <w:color w:val="1A1A1A"/>
          <w:sz w:val="22"/>
          <w:szCs w:val="22"/>
        </w:rPr>
        <w:t xml:space="preserve">A measured current sample maps to an estimated per-finger tip force through the same chain as the drive model:</w:t>
      </w:r>
    </w:p>
    <w:p>
      <w:pPr>
        <w:spacing w:after="200" w:before="0" w:line="300"/>
        <w:jc w:val="center"/>
      </w:pPr>
      <w:r>
        <w:rPr>
          <w:rFonts w:ascii="Consolas" w:cs="Consolas" w:eastAsia="Consolas" w:hAnsi="Consolas"/>
          <w:color w:val="1A1A1A"/>
          <w:sz w:val="20"/>
          <w:szCs w:val="20"/>
        </w:rPr>
        <w:t xml:space="preserve">F = K_t · (I_meas − I_0) · (i_g / 2) · MA(P) · η</w:t>
      </w:r>
    </w:p>
    <w:p>
      <w:pPr>
        <w:spacing w:after="100" w:before="0" w:line="300"/>
      </w:pPr>
      <w:r>
        <w:rPr>
          <w:rFonts w:ascii="Arial" w:cs="Arial" w:eastAsia="Arial" w:hAnsi="Arial"/>
          <w:b w:val="false"/>
          <w:bCs w:val="false"/>
          <w:i w:val="false"/>
          <w:iCs w:val="false"/>
          <w:color w:val="1A1A1A"/>
          <w:sz w:val="22"/>
          <w:szCs w:val="22"/>
        </w:rPr>
        <w:t xml:space="preserve">K_t is the torque constant, I_0 is the no-load and friction current, i_g = 2.667 is the crown-pinion ratio, MA(P) is the four-bar mechanical advantage at the current pose, η is the calibrated efficiency. Because command and readout share the chain, one drivetrain characterisation closes the loop: commanding a current limit sets a force limit and the gear-protection ceiling at the same time.</w:t>
      </w:r>
    </w:p>
    <w:p>
      <w:pPr>
        <w:spacing w:after="80" w:before="160"/>
        <w:jc w:val="center"/>
      </w:pPr>
      <w:r>
        <w:drawing>
          <wp:inline distT="0" distB="0" distL="0" distR="0">
            <wp:extent cx="5943600" cy="202122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43600" cy="2021224"/>
                    </a:xfrm>
                    <a:prstGeom prst="rect">
                      <a:avLst/>
                    </a:prstGeom>
                  </pic:spPr>
                </pic:pic>
              </a:graphicData>
            </a:graphic>
          </wp:inline>
        </w:drawing>
      </w:r>
    </w:p>
    <w:p>
      <w:pPr>
        <w:spacing w:after="220" w:before="60"/>
        <w:jc w:val="center"/>
      </w:pPr>
      <w:r>
        <w:rPr>
          <w:rFonts w:ascii="Arial" w:cs="Arial" w:eastAsia="Arial" w:hAnsi="Arial"/>
          <w:i/>
          <w:iCs/>
          <w:color w:val="6B6B6B"/>
          <w:sz w:val="18"/>
          <w:szCs w:val="18"/>
        </w:rPr>
        <w:t xml:space="preserve">Figure 6.1   Motor to tip force chain across three drivetrain configurations. The gear ceiling binds, not the servo. 12 N is the FEA stress probe, not the operating force.</w:t>
      </w:r>
    </w:p>
    <w:p>
      <w:pPr>
        <w:pStyle w:val="Heading2"/>
        <w:spacing w:after="140" w:before="280"/>
      </w:pPr>
      <w:r>
        <w:rPr>
          <w:rFonts w:ascii="Arial" w:cs="Arial" w:eastAsia="Arial" w:hAnsi="Arial"/>
          <w:b/>
          <w:bCs/>
          <w:color w:val="1A1A1A"/>
          <w:sz w:val="26"/>
          <w:szCs w:val="26"/>
        </w:rPr>
        <w:t xml:space="preserve">Calibration rig</w:t>
      </w:r>
    </w:p>
    <w:p>
      <w:pPr>
        <w:spacing w:after="100" w:before="0" w:line="300"/>
      </w:pPr>
      <w:r>
        <w:rPr>
          <w:rFonts w:ascii="Arial" w:cs="Arial" w:eastAsia="Arial" w:hAnsi="Arial"/>
          <w:b w:val="false"/>
          <w:bCs w:val="false"/>
          <w:i w:val="false"/>
          <w:iCs w:val="false"/>
          <w:color w:val="1A1A1A"/>
          <w:sz w:val="22"/>
          <w:szCs w:val="22"/>
        </w:rPr>
        <w:t xml:space="preserve">A dry-bench load cell turns the relative current signal into newtons:</w:t>
      </w:r>
    </w:p>
    <w:p>
      <w:pPr>
        <w:pStyle w:val="ListParagraph"/>
        <w:numPr>
          <w:ilvl w:val="0"/>
          <w:numId w:val="5"/>
        </w:numPr>
        <w:spacing w:after="40" w:before="40" w:line="280"/>
      </w:pPr>
      <w:r>
        <w:rPr>
          <w:rFonts w:ascii="Arial" w:cs="Arial" w:eastAsia="Arial" w:hAnsi="Arial"/>
          <w:b w:val="false"/>
          <w:bCs w:val="false"/>
          <w:i w:val="false"/>
          <w:iCs w:val="false"/>
          <w:color w:val="1A1A1A"/>
          <w:sz w:val="22"/>
          <w:szCs w:val="22"/>
        </w:rPr>
        <w:t xml:space="preserve">Mount a load cell (Phidgets 10 kg, 0.03 % FS, around 3 g) and a 24-bit ADC (NAU7802, 80+ SPS) at the finger contact face. Reference uncertainty &lt; 0.05 N, well under the 0.3 N target.</w:t>
      </w:r>
    </w:p>
    <w:p>
      <w:pPr>
        <w:pStyle w:val="ListParagraph"/>
        <w:numPr>
          <w:ilvl w:val="0"/>
          <w:numId w:val="5"/>
        </w:numPr>
        <w:spacing w:after="40" w:before="40" w:line="280"/>
      </w:pPr>
      <w:r>
        <w:rPr>
          <w:rFonts w:ascii="Arial" w:cs="Arial" w:eastAsia="Arial" w:hAnsi="Arial"/>
          <w:b w:val="false"/>
          <w:bCs w:val="false"/>
          <w:i w:val="false"/>
          <w:iCs w:val="false"/>
          <w:color w:val="1A1A1A"/>
          <w:sz w:val="22"/>
          <w:szCs w:val="22"/>
        </w:rPr>
        <w:t xml:space="preserve">Apply known tip forces through calibrated weights and a lever arm, or load the pad directly through the cell.</w:t>
      </w:r>
    </w:p>
    <w:p>
      <w:pPr>
        <w:pStyle w:val="ListParagraph"/>
        <w:numPr>
          <w:ilvl w:val="0"/>
          <w:numId w:val="5"/>
        </w:numPr>
        <w:spacing w:after="40" w:before="40" w:line="280"/>
      </w:pPr>
      <w:r>
        <w:rPr>
          <w:rFonts w:ascii="Arial" w:cs="Arial" w:eastAsia="Arial" w:hAnsi="Arial"/>
          <w:b w:val="false"/>
          <w:bCs w:val="false"/>
          <w:i w:val="false"/>
          <w:iCs w:val="false"/>
          <w:color w:val="1A1A1A"/>
          <w:sz w:val="22"/>
          <w:szCs w:val="22"/>
        </w:rPr>
        <w:t xml:space="preserve">Log (I_motor, F_cell) pairs at 8 to 12 force levels (1 to 20 N), three cycles each (captures hysteresis, I_0 offset, drivetrain friction).</w:t>
      </w:r>
    </w:p>
    <w:p>
      <w:pPr>
        <w:pStyle w:val="ListParagraph"/>
        <w:numPr>
          <w:ilvl w:val="0"/>
          <w:numId w:val="5"/>
        </w:numPr>
        <w:spacing w:after="40" w:before="40" w:line="280"/>
      </w:pPr>
      <w:r>
        <w:rPr>
          <w:rFonts w:ascii="Arial" w:cs="Arial" w:eastAsia="Arial" w:hAnsi="Arial"/>
          <w:b w:val="false"/>
          <w:bCs w:val="false"/>
          <w:i w:val="false"/>
          <w:iCs w:val="false"/>
          <w:color w:val="1A1A1A"/>
          <w:sz w:val="22"/>
          <w:szCs w:val="22"/>
        </w:rPr>
        <w:t xml:space="preserve">Regress F = a·I² + b·I + c (quadratic absorbs the motor R and back-EMF nonlinearity) or fit a lookup table. Require residuals below 0.15 N.</w:t>
      </w:r>
    </w:p>
    <w:p>
      <w:pPr>
        <w:pStyle w:val="ListParagraph"/>
        <w:numPr>
          <w:ilvl w:val="0"/>
          <w:numId w:val="5"/>
        </w:numPr>
        <w:spacing w:after="40" w:before="40" w:line="280"/>
      </w:pPr>
      <w:r>
        <w:rPr>
          <w:rFonts w:ascii="Arial" w:cs="Arial" w:eastAsia="Arial" w:hAnsi="Arial"/>
          <w:b w:val="false"/>
          <w:bCs w:val="false"/>
          <w:i w:val="false"/>
          <w:iCs w:val="false"/>
          <w:color w:val="1A1A1A"/>
          <w:sz w:val="22"/>
          <w:szCs w:val="22"/>
        </w:rPr>
        <w:t xml:space="preserve">Validate on five blind weights; require under 0.3 N error. Re-calibrate after thermal excursions; K_t drifts about −0.1 % per °C.</w:t>
      </w:r>
    </w:p>
    <w:p>
      <w:pPr>
        <w:pStyle w:val="Heading2"/>
        <w:spacing w:after="140" w:before="280"/>
      </w:pPr>
      <w:r>
        <w:rPr>
          <w:rFonts w:ascii="Arial" w:cs="Arial" w:eastAsia="Arial" w:hAnsi="Arial"/>
          <w:b/>
          <w:bCs/>
          <w:color w:val="1A1A1A"/>
          <w:sz w:val="26"/>
          <w:szCs w:val="26"/>
        </w:rPr>
        <w:t xml:space="preserve">Limits of the sensor</w:t>
      </w:r>
    </w:p>
    <w:p>
      <w:pPr>
        <w:pStyle w:val="ListParagraph"/>
        <w:numPr>
          <w:ilvl w:val="0"/>
          <w:numId w:val="3"/>
        </w:numPr>
        <w:spacing w:after="40" w:before="40" w:line="280"/>
      </w:pPr>
      <w:r>
        <w:rPr>
          <w:rFonts w:ascii="Arial" w:cs="Arial" w:eastAsia="Arial" w:hAnsi="Arial"/>
          <w:b/>
          <w:bCs/>
          <w:i w:val="false"/>
          <w:iCs w:val="false"/>
          <w:color w:val="1A1A1A"/>
          <w:sz w:val="22"/>
          <w:szCs w:val="22"/>
        </w:rPr>
        <w:t xml:space="preserve">Force only, no contact location. </w:t>
      </w:r>
      <w:r>
        <w:rPr>
          <w:rFonts w:ascii="Arial" w:cs="Arial" w:eastAsia="Arial" w:hAnsi="Arial"/>
          <w:b w:val="false"/>
          <w:bCs w:val="false"/>
          <w:i w:val="false"/>
          <w:iCs w:val="false"/>
          <w:color w:val="1A1A1A"/>
          <w:sz w:val="22"/>
          <w:szCs w:val="22"/>
        </w:rPr>
        <w:t xml:space="preserve">Motor current is one aggregate number. It cannot say where on the finger the contact is, nor map pressure across the face.</w:t>
      </w:r>
    </w:p>
    <w:p>
      <w:pPr>
        <w:pStyle w:val="ListParagraph"/>
        <w:numPr>
          <w:ilvl w:val="0"/>
          <w:numId w:val="3"/>
        </w:numPr>
        <w:spacing w:after="40" w:before="40" w:line="280"/>
      </w:pPr>
      <w:r>
        <w:rPr>
          <w:rFonts w:ascii="Arial" w:cs="Arial" w:eastAsia="Arial" w:hAnsi="Arial"/>
          <w:b/>
          <w:bCs/>
          <w:i w:val="false"/>
          <w:iCs w:val="false"/>
          <w:color w:val="1A1A1A"/>
          <w:sz w:val="22"/>
          <w:szCs w:val="22"/>
        </w:rPr>
        <w:t xml:space="preserve">Relative until calibrated, </w:t>
      </w:r>
      <w:r>
        <w:rPr>
          <w:rFonts w:ascii="Arial" w:cs="Arial" w:eastAsia="Arial" w:hAnsi="Arial"/>
          <w:b w:val="false"/>
          <w:bCs w:val="false"/>
          <w:i w:val="false"/>
          <w:iCs w:val="false"/>
          <w:color w:val="1A1A1A"/>
          <w:sz w:val="22"/>
          <w:szCs w:val="22"/>
        </w:rPr>
        <w:t xml:space="preserve">and per unit (K_t varies 5 to 10 % unit to unit).</w:t>
      </w:r>
    </w:p>
    <w:p>
      <w:pPr>
        <w:pStyle w:val="ListParagraph"/>
        <w:numPr>
          <w:ilvl w:val="0"/>
          <w:numId w:val="3"/>
        </w:numPr>
        <w:spacing w:after="40" w:before="40" w:line="280"/>
      </w:pPr>
      <w:r>
        <w:rPr>
          <w:rFonts w:ascii="Arial" w:cs="Arial" w:eastAsia="Arial" w:hAnsi="Arial"/>
          <w:b/>
          <w:bCs/>
          <w:i w:val="false"/>
          <w:iCs w:val="false"/>
          <w:color w:val="1A1A1A"/>
          <w:sz w:val="22"/>
          <w:szCs w:val="22"/>
        </w:rPr>
        <w:t xml:space="preserve">Gear-ceiling-bounded. </w:t>
      </w:r>
      <w:r>
        <w:rPr>
          <w:rFonts w:ascii="Arial" w:cs="Arial" w:eastAsia="Arial" w:hAnsi="Arial"/>
          <w:b w:val="false"/>
          <w:bCs w:val="false"/>
          <w:i w:val="false"/>
          <w:iCs w:val="false"/>
          <w:color w:val="1A1A1A"/>
          <w:sz w:val="22"/>
          <w:szCs w:val="22"/>
        </w:rPr>
        <w:t xml:space="preserve">The sensed and commandable force is capped by T_safe; the sensor is most useful precisely as the limiter that keeps the printed gears alive.</w:t>
      </w:r>
    </w:p>
    <w:p>
      <w:pPr>
        <w:pStyle w:val="ListParagraph"/>
        <w:numPr>
          <w:ilvl w:val="0"/>
          <w:numId w:val="3"/>
        </w:numPr>
        <w:spacing w:after="40" w:before="40" w:line="280"/>
      </w:pPr>
      <w:r>
        <w:rPr>
          <w:rFonts w:ascii="Arial" w:cs="Arial" w:eastAsia="Arial" w:hAnsi="Arial"/>
          <w:b/>
          <w:bCs/>
          <w:i w:val="false"/>
          <w:iCs w:val="false"/>
          <w:color w:val="1A1A1A"/>
          <w:sz w:val="22"/>
          <w:szCs w:val="22"/>
        </w:rPr>
        <w:t xml:space="preserve">Rank-only inheritance. </w:t>
      </w:r>
      <w:r>
        <w:rPr>
          <w:rFonts w:ascii="Arial" w:cs="Arial" w:eastAsia="Arial" w:hAnsi="Arial"/>
          <w:b w:val="false"/>
          <w:bCs w:val="false"/>
          <w:i w:val="false"/>
          <w:iCs w:val="false"/>
          <w:color w:val="1A1A1A"/>
          <w:sz w:val="22"/>
          <w:szCs w:val="22"/>
        </w:rPr>
        <w:t xml:space="preserve">Our grip-texture model ranks object slip risk; it does not give absolute hold force, so neither does a slip-margin readout built on it.</w:t>
      </w:r>
    </w:p>
    <w:p>
      <w:pPr>
        <w:pStyle w:val="Heading2"/>
        <w:spacing w:after="140" w:before="280"/>
      </w:pPr>
      <w:r>
        <w:rPr>
          <w:rFonts w:ascii="Arial" w:cs="Arial" w:eastAsia="Arial" w:hAnsi="Arial"/>
          <w:b/>
          <w:bCs/>
          <w:color w:val="1A1A1A"/>
          <w:sz w:val="26"/>
          <w:szCs w:val="26"/>
        </w:rPr>
        <w:t xml:space="preserve">Where the per-pad sensors win</w:t>
      </w:r>
    </w:p>
    <w:p>
      <w:pPr>
        <w:spacing w:after="100" w:before="0" w:line="300"/>
      </w:pPr>
      <w:r>
        <w:rPr>
          <w:rFonts w:ascii="Arial" w:cs="Arial" w:eastAsia="Arial" w:hAnsi="Arial"/>
          <w:b w:val="false"/>
          <w:bCs w:val="false"/>
          <w:i w:val="false"/>
          <w:iCs w:val="false"/>
          <w:color w:val="1A1A1A"/>
          <w:sz w:val="22"/>
          <w:szCs w:val="22"/>
        </w:rPr>
        <w:t xml:space="preserve">The motor-current approach gives one aggregate force across the whole gripper. The per-pad pressure sensors (innovation 2) give four spatially resolved readings, one per fingertip. For the archaeological use case where the operator needs to know which finger is overloaded, the per-pad sensors carry information the motor-current chain throws away. We ship the per-pad sensors as the primary solution, and treat motor-current as the redundant secondary that survives even if a pad sensor floods.</w:t>
      </w:r>
    </w:p>
    <w:p>
      <w:r>
        <w:br w:type="page"/>
      </w:r>
    </w:p>
    <w:p>
      <w:pPr>
        <w:pStyle w:val="Heading1"/>
        <w:pBdr>
          <w:top w:val="none" w:color="FFFFFF" w:sz="0" w:space="0"/>
          <w:left w:val="none" w:color="FFFFFF" w:sz="0" w:space="0"/>
          <w:bottom w:val="single" w:color="F5D802" w:sz="18" w:space="4"/>
          <w:right w:val="none" w:color="FFFFFF" w:sz="0" w:space="0"/>
        </w:pBdr>
        <w:spacing w:after="200" w:before="320"/>
      </w:pPr>
      <w:r>
        <w:rPr>
          <w:rFonts w:ascii="Arial" w:cs="Arial" w:eastAsia="Arial" w:hAnsi="Arial"/>
          <w:b/>
          <w:bCs/>
          <w:color w:val="1A1A1A"/>
          <w:sz w:val="36"/>
          <w:szCs w:val="36"/>
        </w:rPr>
        <w:t xml:space="preserve">8. The drivetrain and the structural finding we own</w:t>
      </w:r>
    </w:p>
    <w:p>
      <w:pPr>
        <w:pBdr>
          <w:top w:val="none" w:color="FFFFFF" w:sz="0" w:space="0"/>
          <w:left w:val="single" w:color="E63027" w:sz="28" w:space="14"/>
          <w:bottom w:val="none" w:color="FFFFFF" w:sz="0" w:space="0"/>
          <w:right w:val="none" w:color="FFFFFF" w:sz="0" w:space="0"/>
        </w:pBdr>
        <w:spacing w:after="220" w:before="220" w:line="340"/>
        <w:ind w:left="360"/>
      </w:pPr>
      <w:r>
        <w:rPr>
          <w:rFonts w:ascii="Arial" w:cs="Arial" w:eastAsia="Arial" w:hAnsi="Arial"/>
          <w:i/>
          <w:iCs/>
          <w:color w:val="1A1A1A"/>
          <w:sz w:val="24"/>
          <w:szCs w:val="24"/>
        </w:rPr>
        <w:t xml:space="preserve">The compact right-angle crown and pinion stage is the binding structural limit of the entire gripper.</w:t>
      </w:r>
    </w:p>
    <w:p>
      <w:pPr>
        <w:spacing w:after="100" w:before="0" w:line="300"/>
      </w:pPr>
      <w:r>
        <w:rPr>
          <w:rFonts w:ascii="Arial" w:cs="Arial" w:eastAsia="Arial" w:hAnsi="Arial"/>
          <w:b w:val="false"/>
          <w:bCs w:val="false"/>
          <w:i w:val="false"/>
          <w:iCs w:val="false"/>
          <w:color w:val="1A1A1A"/>
          <w:sz w:val="22"/>
          <w:szCs w:val="22"/>
        </w:rPr>
        <w:t xml:space="preserve">At the small radii the housing allows, the printed teeth carry far less torque than a 12 N stress-probe grip would demand. This finding emerged from the gear FEA and we record it here in detail because it changes how the rest of the design has to work. The fix is three-part: face-width strengthening (implemented and build-verified), a module and radius re-size (specified as a proposed engineered target, needs CAD clearance validation), and the motor current limit (the sensing pivot) enforcing the safe ceiling in firmware. This is precisely why the magnetic-coupling fallback looks strong in retrospect: its pole-slip torque scales with coupling diameter, not housing radius.</w:t>
      </w:r>
    </w:p>
    <w:p>
      <w:pPr>
        <w:pStyle w:val="Heading2"/>
        <w:spacing w:after="140" w:before="280"/>
      </w:pPr>
      <w:r>
        <w:rPr>
          <w:rFonts w:ascii="Arial" w:cs="Arial" w:eastAsia="Arial" w:hAnsi="Arial"/>
          <w:b/>
          <w:bCs/>
          <w:color w:val="1A1A1A"/>
          <w:sz w:val="26"/>
          <w:szCs w:val="26"/>
        </w:rPr>
        <w:t xml:space="preserve">Method</w:t>
      </w:r>
    </w:p>
    <w:p>
      <w:pPr>
        <w:spacing w:after="100" w:before="0" w:line="300"/>
      </w:pPr>
      <w:r>
        <w:rPr>
          <w:rFonts w:ascii="Arial" w:cs="Arial" w:eastAsia="Arial" w:hAnsi="Arial"/>
          <w:b w:val="false"/>
          <w:bCs w:val="false"/>
          <w:i w:val="false"/>
          <w:iCs w:val="false"/>
          <w:color w:val="1A1A1A"/>
          <w:sz w:val="22"/>
          <w:szCs w:val="22"/>
        </w:rPr>
        <w:t xml:space="preserve">A 2D plane-stress FEA of the actual straight-flank tooth (motor/scripts/gear_fea.py, porting the grip Tier-2 Q4 machinery). A worst-case tip tangential load bends a cantilever tooth (root thickness s_root, height h, loaded face width = min of the two mating faces); peak von Mises is sampled in the root band (sharp shoulder, conservative; a real fillet would lower it).</w:t>
      </w:r>
    </w:p>
    <w:p>
      <w:pPr>
        <w:pBdr>
          <w:top w:val="single" w:color="F5D802" w:sz="4" w:space="6"/>
          <w:left w:val="single" w:color="F5D802" w:sz="4" w:space="6"/>
          <w:bottom w:val="single" w:color="F5D802" w:sz="4" w:space="6"/>
          <w:right w:val="single" w:color="F5D802" w:sz="4" w:space="6"/>
        </w:pBdr>
        <w:shd w:fill="F4F4F2" w:val="clear"/>
        <w:spacing w:after="180" w:before="180" w:line="320"/>
        <w:ind w:left="180" w:right="180"/>
      </w:pPr>
      <w:r>
        <w:rPr>
          <w:rFonts w:ascii="Arial" w:cs="Arial" w:eastAsia="Arial" w:hAnsi="Arial"/>
          <w:b/>
          <w:bCs/>
          <w:color w:val="1A1A1A"/>
          <w:sz w:val="22"/>
          <w:szCs w:val="22"/>
        </w:rPr>
        <w:t xml:space="preserve">Two failure modes we have to call out.</w:t>
      </w:r>
      <w:r>
        <w:rPr>
          <w:rFonts w:ascii="Arial" w:cs="Arial" w:eastAsia="Arial" w:hAnsi="Arial"/>
          <w:color w:val="1A1A1A"/>
          <w:sz w:val="22"/>
          <w:szCs w:val="22"/>
        </w:rPr>
        <w:t xml:space="preserve">   First: the earlier framing presented a Lewis form-factor check versus the FEA as cross-validation. It is not. Lewis assumes a 14.5° or 20° involute spur tooth; ours are straight-flank face teeth. Two wrong models that agree are not the same as one right model being confirmed. Second: the crown gear is a 3D problem, not a 2D plane-stress tooth. The contact line sweeps radially under rotation, the load decomposes into tangential plus radial plus axial, the disk-bending compliance matters. None of which the 2D solver captures. We added gear_fea_radial.py, which runs the same 2D FEA at five radial stations and takes the worst (inner-radius) station. That tightens the single-station ceiling by 2.6× because the inner-radius tooth slice has a thinner s_root than the pitch radius.</w:t>
      </w:r>
    </w:p>
    <w:p>
      <w:pPr>
        <w:pStyle w:val="Heading2"/>
        <w:spacing w:after="140" w:before="280"/>
      </w:pPr>
      <w:r>
        <w:rPr>
          <w:rFonts w:ascii="Arial" w:cs="Arial" w:eastAsia="Arial" w:hAnsi="Arial"/>
          <w:b/>
          <w:bCs/>
          <w:color w:val="1A1A1A"/>
          <w:sz w:val="26"/>
          <w:szCs w:val="26"/>
        </w:rPr>
        <w:t xml:space="preserve">T_safe: the input-shaft torque where the weakest tooth reaches 30 MPa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1900"/>
        <w:gridCol w:w="1900"/>
        <w:gridCol w:w="1860"/>
      </w:tblGrid>
      <w:tr>
        <w:tc>
          <w:tcPr>
            <w:tcW w:type="dxa" w:w="3700"/>
            <w:tcBorders>
              <w:top w:val="single" w:color="C8C8C8" w:sz="4"/>
              <w:left w:val="single" w:color="C8C8C8" w:sz="4"/>
              <w:bottom w:val="single" w:color="C8C8C8" w:sz="4"/>
              <w:right w:val="single" w:color="C8C8C8" w:sz="4"/>
            </w:tcBorders>
            <w:shd w:fill="F4F4F2" w:val="clear"/>
            <w:tcMar>
              <w:top w:type="dxa" w:w="80"/>
              <w:left w:type="dxa" w:w="120"/>
              <w:bottom w:type="dxa" w:w="80"/>
              <w:right w:type="dxa" w:w="120"/>
            </w:tcMar>
          </w:tcPr>
          <w:p>
            <w:pPr>
              <w:spacing w:after="0" w:before="0" w:line="260"/>
            </w:pPr>
            <w:r>
              <w:rPr>
                <w:rFonts w:ascii="Arial" w:cs="Arial" w:eastAsia="Arial" w:hAnsi="Arial"/>
                <w:b/>
                <w:bCs/>
                <w:color w:val="1A1A1A"/>
                <w:sz w:val="18"/>
                <w:szCs w:val="18"/>
              </w:rPr>
              <w:t xml:space="preserve">Geometry</w:t>
            </w:r>
          </w:p>
        </w:tc>
        <w:tc>
          <w:tcPr>
            <w:tcW w:type="dxa" w:w="1900"/>
            <w:tcBorders>
              <w:top w:val="single" w:color="C8C8C8" w:sz="4"/>
              <w:left w:val="single" w:color="C8C8C8" w:sz="4"/>
              <w:bottom w:val="single" w:color="C8C8C8" w:sz="4"/>
              <w:right w:val="single" w:color="C8C8C8" w:sz="4"/>
            </w:tcBorders>
            <w:shd w:fill="F4F4F2" w:val="clear"/>
            <w:tcMar>
              <w:top w:type="dxa" w:w="80"/>
              <w:left w:type="dxa" w:w="120"/>
              <w:bottom w:type="dxa" w:w="80"/>
              <w:right w:type="dxa" w:w="120"/>
            </w:tcMar>
          </w:tcPr>
          <w:p>
            <w:pPr>
              <w:spacing w:after="0" w:before="0" w:line="260"/>
            </w:pPr>
            <w:r>
              <w:rPr>
                <w:rFonts w:ascii="Arial" w:cs="Arial" w:eastAsia="Arial" w:hAnsi="Arial"/>
                <w:b/>
                <w:bCs/>
                <w:color w:val="1A1A1A"/>
                <w:sz w:val="18"/>
                <w:szCs w:val="18"/>
              </w:rPr>
              <w:t xml:space="preserve">Crown (single-station 2D)</w:t>
            </w:r>
          </w:p>
        </w:tc>
        <w:tc>
          <w:tcPr>
            <w:tcW w:type="dxa" w:w="1900"/>
            <w:tcBorders>
              <w:top w:val="single" w:color="C8C8C8" w:sz="4"/>
              <w:left w:val="single" w:color="C8C8C8" w:sz="4"/>
              <w:bottom w:val="single" w:color="C8C8C8" w:sz="4"/>
              <w:right w:val="single" w:color="C8C8C8" w:sz="4"/>
            </w:tcBorders>
            <w:shd w:fill="F4F4F2" w:val="clear"/>
            <w:tcMar>
              <w:top w:type="dxa" w:w="80"/>
              <w:left w:type="dxa" w:w="120"/>
              <w:bottom w:type="dxa" w:w="80"/>
              <w:right w:type="dxa" w:w="120"/>
            </w:tcMar>
          </w:tcPr>
          <w:p>
            <w:pPr>
              <w:spacing w:after="0" w:before="0" w:line="260"/>
            </w:pPr>
            <w:r>
              <w:rPr>
                <w:rFonts w:ascii="Arial" w:cs="Arial" w:eastAsia="Arial" w:hAnsi="Arial"/>
                <w:b/>
                <w:bCs/>
                <w:color w:val="1A1A1A"/>
                <w:sz w:val="18"/>
                <w:szCs w:val="18"/>
              </w:rPr>
              <w:t xml:space="preserve">Crown (radial 2D, inner edge)</w:t>
            </w:r>
          </w:p>
        </w:tc>
        <w:tc>
          <w:tcPr>
            <w:tcW w:type="dxa" w:w="1860"/>
            <w:tcBorders>
              <w:top w:val="single" w:color="C8C8C8" w:sz="4"/>
              <w:left w:val="single" w:color="C8C8C8" w:sz="4"/>
              <w:bottom w:val="single" w:color="C8C8C8" w:sz="4"/>
              <w:right w:val="single" w:color="C8C8C8" w:sz="4"/>
            </w:tcBorders>
            <w:shd w:fill="F4F4F2" w:val="clear"/>
            <w:tcMar>
              <w:top w:type="dxa" w:w="80"/>
              <w:left w:type="dxa" w:w="120"/>
              <w:bottom w:type="dxa" w:w="80"/>
              <w:right w:type="dxa" w:w="120"/>
            </w:tcMar>
          </w:tcPr>
          <w:p>
            <w:pPr>
              <w:spacing w:after="0" w:before="0" w:line="260"/>
            </w:pPr>
            <w:r>
              <w:rPr>
                <w:rFonts w:ascii="Arial" w:cs="Arial" w:eastAsia="Arial" w:hAnsi="Arial"/>
                <w:b/>
                <w:bCs/>
                <w:color w:val="1A1A1A"/>
                <w:sz w:val="18"/>
                <w:szCs w:val="18"/>
              </w:rPr>
              <w:t xml:space="preserve">Binding T_safe</w:t>
            </w:r>
          </w:p>
        </w:tc>
      </w:tr>
      <w:tr>
        <w:tc>
          <w:tcPr>
            <w:tcW w:type="dxa" w:w="37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As-was (PINION_T 4, CROWN_TOOTH_H 1.6)</w:t>
            </w:r>
          </w:p>
        </w:tc>
        <w:tc>
          <w:tcPr>
            <w:tcW w:type="dxa" w:w="19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0.02</w:t>
            </w:r>
          </w:p>
        </w:tc>
        <w:tc>
          <w:tcPr>
            <w:tcW w:type="dxa" w:w="19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n/a</w:t>
            </w:r>
          </w:p>
        </w:tc>
        <w:tc>
          <w:tcPr>
            <w:tcW w:type="dxa" w:w="18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0.02 N·m</w:t>
            </w:r>
          </w:p>
        </w:tc>
      </w:tr>
      <w:tr>
        <w:tc>
          <w:tcPr>
            <w:tcW w:type="dxa" w:w="37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Shipped (PINION_T 8, CROWN_TOOTH_H 3.0) ✓</w:t>
            </w:r>
          </w:p>
        </w:tc>
        <w:tc>
          <w:tcPr>
            <w:tcW w:type="dxa" w:w="19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0.034</w:t>
            </w:r>
          </w:p>
        </w:tc>
        <w:tc>
          <w:tcPr>
            <w:tcW w:type="dxa" w:w="19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0.013</w:t>
            </w:r>
          </w:p>
        </w:tc>
        <w:tc>
          <w:tcPr>
            <w:tcW w:type="dxa" w:w="18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0.013 to 0.034 N·m</w:t>
            </w:r>
          </w:p>
        </w:tc>
      </w:tr>
      <w:tr>
        <w:tc>
          <w:tcPr>
            <w:tcW w:type="dxa" w:w="37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Proposed re-size (CROWN_RC 11, m 1.83, 12/6 teeth) ⚠</w:t>
            </w:r>
          </w:p>
        </w:tc>
        <w:tc>
          <w:tcPr>
            <w:tcW w:type="dxa" w:w="19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n/a</w:t>
            </w:r>
          </w:p>
        </w:tc>
        <w:tc>
          <w:tcPr>
            <w:tcW w:type="dxa" w:w="19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n/a</w:t>
            </w:r>
          </w:p>
        </w:tc>
        <w:tc>
          <w:tcPr>
            <w:tcW w:type="dxa" w:w="18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 0.40 N·m</w:t>
            </w:r>
          </w:p>
        </w:tc>
      </w:tr>
    </w:tbl>
    <w:p>
      <w:pPr>
        <w:spacing w:after="160"/>
      </w:pPr>
      <w:r>
        <w:t xml:space="preserve"/>
      </w:r>
    </w:p>
    <w:p>
      <w:pPr>
        <w:spacing w:after="100" w:before="0" w:line="300"/>
      </w:pPr>
      <w:r>
        <w:rPr>
          <w:rFonts w:ascii="Arial" w:cs="Arial" w:eastAsia="Arial" w:hAnsi="Arial"/>
          <w:b w:val="false"/>
          <w:bCs w:val="false"/>
          <w:i w:val="false"/>
          <w:iCs w:val="false"/>
          <w:color w:val="1A1A1A"/>
          <w:sz w:val="22"/>
          <w:szCs w:val="22"/>
        </w:rPr>
        <w:t xml:space="preserve">The sector gear (chunky m around 1.5) is robust; the crown then pinion are the weak links. Face-width doubling roughly halves the root stress but the tiny module dominates, so T_safe only rises from 0.02 to 0.034 N·m, still well below the 0.94 N·m working torque a 12 N grip would need. Strengthening alone is insufficient; the module-and-radius re-size is the only path that approaches the working torque.</w:t>
      </w:r>
    </w:p>
    <w:p>
      <w:pPr>
        <w:pStyle w:val="Heading2"/>
        <w:spacing w:after="140" w:before="280"/>
      </w:pPr>
      <w:r>
        <w:rPr>
          <w:rFonts w:ascii="Arial" w:cs="Arial" w:eastAsia="Arial" w:hAnsi="Arial"/>
          <w:b/>
          <w:bCs/>
          <w:color w:val="1A1A1A"/>
          <w:sz w:val="26"/>
          <w:szCs w:val="26"/>
        </w:rPr>
        <w:t xml:space="preserve">Per-finger force band the shipped gears can safely deliver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8C8C8" w:sz="4"/>
              <w:left w:val="single" w:color="C8C8C8" w:sz="4"/>
              <w:bottom w:val="single" w:color="C8C8C8" w:sz="4"/>
              <w:right w:val="single" w:color="C8C8C8" w:sz="4"/>
            </w:tcBorders>
            <w:shd w:fill="F4F4F2" w:val="clear"/>
            <w:tcMar>
              <w:top w:type="dxa" w:w="80"/>
              <w:left w:type="dxa" w:w="120"/>
              <w:bottom w:type="dxa" w:w="80"/>
              <w:right w:type="dxa" w:w="120"/>
            </w:tcMar>
          </w:tcPr>
          <w:p>
            <w:pPr>
              <w:spacing w:after="0" w:before="0" w:line="260"/>
            </w:pPr>
            <w:r>
              <w:rPr>
                <w:rFonts w:ascii="Arial" w:cs="Arial" w:eastAsia="Arial" w:hAnsi="Arial"/>
                <w:b/>
                <w:bCs/>
                <w:color w:val="1A1A1A"/>
                <w:sz w:val="18"/>
                <w:szCs w:val="18"/>
              </w:rPr>
              <w:t xml:space="preserve">Ceiling</w:t>
            </w:r>
          </w:p>
        </w:tc>
        <w:tc>
          <w:tcPr>
            <w:tcW w:type="dxa" w:w="4860"/>
            <w:tcBorders>
              <w:top w:val="single" w:color="C8C8C8" w:sz="4"/>
              <w:left w:val="single" w:color="C8C8C8" w:sz="4"/>
              <w:bottom w:val="single" w:color="C8C8C8" w:sz="4"/>
              <w:right w:val="single" w:color="C8C8C8" w:sz="4"/>
            </w:tcBorders>
            <w:shd w:fill="F4F4F2" w:val="clear"/>
            <w:tcMar>
              <w:top w:type="dxa" w:w="80"/>
              <w:left w:type="dxa" w:w="120"/>
              <w:bottom w:type="dxa" w:w="80"/>
              <w:right w:type="dxa" w:w="120"/>
            </w:tcMar>
          </w:tcPr>
          <w:p>
            <w:pPr>
              <w:spacing w:after="0" w:before="0" w:line="260"/>
            </w:pPr>
            <w:r>
              <w:rPr>
                <w:rFonts w:ascii="Arial" w:cs="Arial" w:eastAsia="Arial" w:hAnsi="Arial"/>
                <w:b/>
                <w:bCs/>
                <w:color w:val="1A1A1A"/>
                <w:sz w:val="18"/>
                <w:szCs w:val="18"/>
              </w:rPr>
              <w:t xml:space="preserve">Per-finger force band</w:t>
            </w:r>
          </w:p>
        </w:tc>
      </w:tr>
      <w:tr>
        <w:tc>
          <w:tcPr>
            <w:tcW w:type="dxa" w:w="45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Radial 2D crown bound (binding)</w:t>
            </w:r>
          </w:p>
        </w:tc>
        <w:tc>
          <w:tcPr>
            <w:tcW w:type="dxa" w:w="48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0.14 to 0.28 N</w:t>
            </w:r>
          </w:p>
        </w:tc>
      </w:tr>
      <w:tr>
        <w:tc>
          <w:tcPr>
            <w:tcW w:type="dxa" w:w="45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Single-station 2D bound</w:t>
            </w:r>
          </w:p>
        </w:tc>
        <w:tc>
          <w:tcPr>
            <w:tcW w:type="dxa" w:w="48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0.35 to 0.73 N</w:t>
            </w:r>
          </w:p>
        </w:tc>
      </w:tr>
      <w:tr>
        <w:tc>
          <w:tcPr>
            <w:tcW w:type="dxa" w:w="45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Proposed re-size</w:t>
            </w:r>
          </w:p>
        </w:tc>
        <w:tc>
          <w:tcPr>
            <w:tcW w:type="dxa" w:w="48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4.2 to 8.7 N</w:t>
            </w:r>
          </w:p>
        </w:tc>
      </w:tr>
    </w:tbl>
    <w:p>
      <w:pPr>
        <w:spacing w:after="120"/>
      </w:pPr>
      <w:r>
        <w:t xml:space="preserve"/>
      </w:r>
    </w:p>
    <w:p>
      <w:pPr>
        <w:spacing w:after="80" w:before="160"/>
        <w:jc w:val="center"/>
      </w:pPr>
      <w:r>
        <w:drawing>
          <wp:inline distT="0" distB="0" distL="0" distR="0">
            <wp:extent cx="5943600" cy="248059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43600" cy="2480593"/>
                    </a:xfrm>
                    <a:prstGeom prst="rect">
                      <a:avLst/>
                    </a:prstGeom>
                  </pic:spPr>
                </pic:pic>
              </a:graphicData>
            </a:graphic>
          </wp:inline>
        </w:drawing>
      </w:r>
    </w:p>
    <w:p>
      <w:pPr>
        <w:spacing w:after="220" w:before="60"/>
        <w:jc w:val="center"/>
      </w:pPr>
      <w:r>
        <w:rPr>
          <w:rFonts w:ascii="Arial" w:cs="Arial" w:eastAsia="Arial" w:hAnsi="Arial"/>
          <w:i/>
          <w:iCs/>
          <w:color w:val="6B6B6B"/>
          <w:sz w:val="18"/>
          <w:szCs w:val="18"/>
        </w:rPr>
        <w:t xml:space="preserve">Figure 7.1   Slip margin across the 7-condition battery for the shipped crosshatch texture, at three drivetrain ceilings. Only the proposed re-size (green) clears margin ≥ 1.0 across every wet object class. This is the headline reason the gear re-size is on the roadmap and why bench testing is the gate.</w:t>
      </w:r>
    </w:p>
    <w:p>
      <w:pPr>
        <w:pStyle w:val="Heading2"/>
        <w:spacing w:after="140" w:before="280"/>
      </w:pPr>
      <w:r>
        <w:rPr>
          <w:rFonts w:ascii="Arial" w:cs="Arial" w:eastAsia="Arial" w:hAnsi="Arial"/>
          <w:b/>
          <w:bCs/>
          <w:color w:val="1A1A1A"/>
          <w:sz w:val="26"/>
          <w:szCs w:val="26"/>
        </w:rPr>
        <w:t xml:space="preserve">Why we kept the 24/9 = 2.667:1 ratio</w:t>
      </w:r>
    </w:p>
    <w:p>
      <w:pPr>
        <w:spacing w:after="100" w:before="0" w:line="300"/>
      </w:pPr>
      <w:r>
        <w:rPr>
          <w:rFonts w:ascii="Arial" w:cs="Arial" w:eastAsia="Arial" w:hAnsi="Arial"/>
          <w:b w:val="false"/>
          <w:bCs w:val="false"/>
          <w:i w:val="false"/>
          <w:iCs w:val="false"/>
          <w:color w:val="1A1A1A"/>
          <w:sz w:val="22"/>
          <w:szCs w:val="22"/>
        </w:rPr>
        <w:t xml:space="preserve">The rock-bottom budget servo (Feetech STS3215, continuous 0.98 N·m) is the binding floor. At 2.667:1 it reaches 12 N at the tip continuously; dropping to 2.2:1 it falls to about 11.4 N and the budget option no longer hits 12 N. So we revisited the ratio and deliberately kept it. The real change here is engineered teeth and a derived current ceiling, not a ratio tweak.</w:t>
      </w:r>
    </w:p>
    <w:p>
      <w:pPr>
        <w:pStyle w:val="Heading2"/>
        <w:spacing w:after="140" w:before="280"/>
      </w:pPr>
      <w:r>
        <w:rPr>
          <w:rFonts w:ascii="Arial" w:cs="Arial" w:eastAsia="Arial" w:hAnsi="Arial"/>
          <w:b/>
          <w:bCs/>
          <w:color w:val="1A1A1A"/>
          <w:sz w:val="26"/>
          <w:szCs w:val="26"/>
        </w:rPr>
        <w:t xml:space="preserve">How this reshapes every other claim</w:t>
      </w:r>
    </w:p>
    <w:p>
      <w:pPr>
        <w:pStyle w:val="ListParagraph"/>
        <w:numPr>
          <w:ilvl w:val="0"/>
          <w:numId w:val="3"/>
        </w:numPr>
        <w:spacing w:after="40" w:before="40" w:line="280"/>
      </w:pPr>
      <w:r>
        <w:rPr>
          <w:rFonts w:ascii="Arial" w:cs="Arial" w:eastAsia="Arial" w:hAnsi="Arial"/>
          <w:b/>
          <w:bCs/>
          <w:i w:val="false"/>
          <w:iCs w:val="false"/>
          <w:color w:val="1A1A1A"/>
          <w:sz w:val="22"/>
          <w:szCs w:val="22"/>
        </w:rPr>
        <w:t xml:space="preserve">12 N is a stress-probe load, not a structural mandate. </w:t>
      </w:r>
      <w:r>
        <w:rPr>
          <w:rFonts w:ascii="Arial" w:cs="Arial" w:eastAsia="Arial" w:hAnsi="Arial"/>
          <w:b w:val="false"/>
          <w:bCs w:val="false"/>
          <w:i w:val="false"/>
          <w:iCs w:val="false"/>
          <w:color w:val="1A1A1A"/>
          <w:sz w:val="22"/>
          <w:szCs w:val="22"/>
        </w:rPr>
        <w:t xml:space="preserve">The fragility margins quoted at 12 N are worst-case-load margins, used for fair comparison across stiff and compliant finger candidates.</w:t>
      </w:r>
    </w:p>
    <w:p>
      <w:pPr>
        <w:pStyle w:val="ListParagraph"/>
        <w:numPr>
          <w:ilvl w:val="0"/>
          <w:numId w:val="3"/>
        </w:numPr>
        <w:spacing w:after="40" w:before="40" w:line="280"/>
      </w:pPr>
      <w:r>
        <w:rPr>
          <w:rFonts w:ascii="Arial" w:cs="Arial" w:eastAsia="Arial" w:hAnsi="Arial"/>
          <w:b/>
          <w:bCs/>
          <w:i w:val="false"/>
          <w:iCs w:val="false"/>
          <w:color w:val="1A1A1A"/>
          <w:sz w:val="22"/>
          <w:szCs w:val="22"/>
        </w:rPr>
        <w:t xml:space="preserve">The motor current limit enforces T_safe in firmware. </w:t>
      </w:r>
      <w:r>
        <w:rPr>
          <w:rFonts w:ascii="Arial" w:cs="Arial" w:eastAsia="Arial" w:hAnsi="Arial"/>
          <w:b w:val="false"/>
          <w:bCs w:val="false"/>
          <w:i w:val="false"/>
          <w:iCs w:val="false"/>
          <w:color w:val="1A1A1A"/>
          <w:sz w:val="22"/>
          <w:szCs w:val="22"/>
        </w:rPr>
        <w:t xml:space="preserve">Mandatory on every servo in the ladder (their stall torques exceed T_safe by 10 to 30 times).</w:t>
      </w:r>
    </w:p>
    <w:p>
      <w:pPr>
        <w:pStyle w:val="ListParagraph"/>
        <w:numPr>
          <w:ilvl w:val="0"/>
          <w:numId w:val="3"/>
        </w:numPr>
        <w:spacing w:after="40" w:before="40" w:line="280"/>
      </w:pPr>
      <w:r>
        <w:rPr>
          <w:rFonts w:ascii="Arial" w:cs="Arial" w:eastAsia="Arial" w:hAnsi="Arial"/>
          <w:b/>
          <w:bCs/>
          <w:i w:val="false"/>
          <w:iCs w:val="false"/>
          <w:color w:val="1A1A1A"/>
          <w:sz w:val="22"/>
          <w:szCs w:val="22"/>
        </w:rPr>
        <w:t xml:space="preserve">The magnetic-coupling fallback gets stronger. </w:t>
      </w:r>
      <w:r>
        <w:rPr>
          <w:rFonts w:ascii="Arial" w:cs="Arial" w:eastAsia="Arial" w:hAnsi="Arial"/>
          <w:b w:val="false"/>
          <w:bCs w:val="false"/>
          <w:i w:val="false"/>
          <w:iCs w:val="false"/>
          <w:color w:val="1A1A1A"/>
          <w:sz w:val="22"/>
          <w:szCs w:val="22"/>
        </w:rPr>
        <w:t xml:space="preserve">A 60 to 80 mm magnetic coupling clears the stall band the geared stage cannot.</w:t>
      </w:r>
    </w:p>
    <w:p>
      <w:pPr>
        <w:pStyle w:val="ListParagraph"/>
        <w:numPr>
          <w:ilvl w:val="0"/>
          <w:numId w:val="3"/>
        </w:numPr>
        <w:spacing w:after="40" w:before="40" w:line="280"/>
      </w:pPr>
      <w:r>
        <w:rPr>
          <w:rFonts w:ascii="Arial" w:cs="Arial" w:eastAsia="Arial" w:hAnsi="Arial"/>
          <w:b/>
          <w:bCs/>
          <w:i w:val="false"/>
          <w:iCs w:val="false"/>
          <w:color w:val="1A1A1A"/>
          <w:sz w:val="22"/>
          <w:szCs w:val="22"/>
        </w:rPr>
        <w:t xml:space="preserve">The bench test is the only true ceiling. </w:t>
      </w:r>
      <w:r>
        <w:rPr>
          <w:rFonts w:ascii="Arial" w:cs="Arial" w:eastAsia="Arial" w:hAnsi="Arial"/>
          <w:b w:val="false"/>
          <w:bCs w:val="false"/>
          <w:i w:val="false"/>
          <w:iCs w:val="false"/>
          <w:color w:val="1A1A1A"/>
          <w:sz w:val="22"/>
          <w:szCs w:val="22"/>
        </w:rPr>
        <w:t xml:space="preserve">Both 2D bounds are upper bounds. The straight-flank face teeth will edge-load and gall in PA12-GF rather than roll cleanly. The printed-coupon torque-to-failure test is the only bench-grade answer.</w:t>
      </w:r>
    </w:p>
    <w:p>
      <w:r>
        <w:br w:type="page"/>
      </w:r>
    </w:p>
    <w:p>
      <w:pPr>
        <w:pStyle w:val="Heading1"/>
        <w:pBdr>
          <w:top w:val="none" w:color="FFFFFF" w:sz="0" w:space="0"/>
          <w:left w:val="none" w:color="FFFFFF" w:sz="0" w:space="0"/>
          <w:bottom w:val="single" w:color="F5D802" w:sz="18" w:space="4"/>
          <w:right w:val="none" w:color="FFFFFF" w:sz="0" w:space="0"/>
        </w:pBdr>
        <w:spacing w:after="200" w:before="320"/>
      </w:pPr>
      <w:r>
        <w:rPr>
          <w:rFonts w:ascii="Arial" w:cs="Arial" w:eastAsia="Arial" w:hAnsi="Arial"/>
          <w:b/>
          <w:bCs/>
          <w:color w:val="1A1A1A"/>
          <w:sz w:val="36"/>
          <w:szCs w:val="36"/>
        </w:rPr>
        <w:t xml:space="preserve">9. Materials, design-for-additive, and the print profile</w:t>
      </w:r>
    </w:p>
    <w:p>
      <w:pPr>
        <w:pStyle w:val="Heading2"/>
        <w:spacing w:after="140" w:before="280"/>
      </w:pPr>
      <w:r>
        <w:rPr>
          <w:rFonts w:ascii="Arial" w:cs="Arial" w:eastAsia="Arial" w:hAnsi="Arial"/>
          <w:b/>
          <w:bCs/>
          <w:color w:val="1A1A1A"/>
          <w:sz w:val="26"/>
          <w:szCs w:val="26"/>
        </w:rPr>
        <w:t xml:space="preserve">Why we are 100 % polymer</w:t>
      </w:r>
    </w:p>
    <w:p>
      <w:pPr>
        <w:spacing w:after="100" w:before="0" w:line="300"/>
      </w:pPr>
      <w:r>
        <w:rPr>
          <w:rFonts w:ascii="Arial" w:cs="Arial" w:eastAsia="Arial" w:hAnsi="Arial"/>
          <w:b w:val="false"/>
          <w:bCs w:val="false"/>
          <w:i w:val="false"/>
          <w:iCs w:val="false"/>
          <w:color w:val="1A1A1A"/>
          <w:sz w:val="22"/>
          <w:szCs w:val="22"/>
        </w:rPr>
        <w:t xml:space="preserve">Galvanic corrosion has nothing to attack in our gripper because there is no metal anywhere inside it. Every pin, every snap, every gear, every shaft is printed. The only metal in the whole system lives inside the user's actuator canister, isolated from the seawater. That removes an entire failure-mode class (galvanic pitting, bushing dryout, dowel galling) before it can start.</w:t>
      </w:r>
    </w:p>
    <w:p>
      <w:pPr>
        <w:pBdr>
          <w:top w:val="none" w:color="FFFFFF" w:sz="0" w:space="0"/>
          <w:left w:val="single" w:color="E63027" w:sz="28" w:space="14"/>
          <w:bottom w:val="none" w:color="FFFFFF" w:sz="0" w:space="0"/>
          <w:right w:val="none" w:color="FFFFFF" w:sz="0" w:space="0"/>
        </w:pBdr>
        <w:spacing w:after="220" w:before="220" w:line="340"/>
        <w:ind w:left="360"/>
      </w:pPr>
      <w:r>
        <w:rPr>
          <w:rFonts w:ascii="Arial" w:cs="Arial" w:eastAsia="Arial" w:hAnsi="Arial"/>
          <w:i/>
          <w:iCs/>
          <w:color w:val="1A1A1A"/>
          <w:sz w:val="24"/>
          <w:szCs w:val="24"/>
        </w:rPr>
        <w:t xml:space="preserve">ZERO bought hardware inside the gripper. No screws, no nuts, no bolts, no bushings. 17 printed parts, fastener-free assembly, tool-free disassembly.</w:t>
      </w:r>
    </w:p>
    <w:p>
      <w:pPr>
        <w:pStyle w:val="Heading2"/>
        <w:spacing w:after="140" w:before="280"/>
      </w:pPr>
      <w:r>
        <w:rPr>
          <w:rFonts w:ascii="Arial" w:cs="Arial" w:eastAsia="Arial" w:hAnsi="Arial"/>
          <w:b/>
          <w:bCs/>
          <w:color w:val="1A1A1A"/>
          <w:sz w:val="26"/>
          <w:szCs w:val="26"/>
        </w:rPr>
        <w:t xml:space="preserve">Final-build material plan</w:t>
      </w:r>
    </w:p>
    <w:p>
      <w:pPr>
        <w:spacing w:after="100" w:before="0" w:line="300"/>
      </w:pPr>
      <w:r>
        <w:rPr>
          <w:rFonts w:ascii="Arial" w:cs="Arial" w:eastAsia="Arial" w:hAnsi="Arial"/>
          <w:b w:val="false"/>
          <w:bCs w:val="false"/>
          <w:i w:val="false"/>
          <w:iCs w:val="false"/>
          <w:color w:val="1A1A1A"/>
          <w:sz w:val="22"/>
          <w:szCs w:val="22"/>
        </w:rPr>
        <w:t xml:space="preserve">There are three materials in the production build, assigned by structural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2200"/>
        <w:gridCol w:w="1500"/>
        <w:gridCol w:w="2860"/>
      </w:tblGrid>
      <w:tr>
        <w:tc>
          <w:tcPr>
            <w:tcW w:type="dxa" w:w="2400"/>
            <w:tcBorders>
              <w:top w:val="single" w:color="C8C8C8" w:sz="4"/>
              <w:left w:val="single" w:color="C8C8C8" w:sz="4"/>
              <w:bottom w:val="single" w:color="C8C8C8" w:sz="4"/>
              <w:right w:val="single" w:color="C8C8C8" w:sz="4"/>
            </w:tcBorders>
            <w:shd w:fill="F4F4F2" w:val="clear"/>
            <w:tcMar>
              <w:top w:type="dxa" w:w="80"/>
              <w:left w:type="dxa" w:w="120"/>
              <w:bottom w:type="dxa" w:w="80"/>
              <w:right w:type="dxa" w:w="120"/>
            </w:tcMar>
          </w:tcPr>
          <w:p>
            <w:pPr>
              <w:spacing w:after="0" w:before="0" w:line="260"/>
            </w:pPr>
            <w:r>
              <w:rPr>
                <w:rFonts w:ascii="Arial" w:cs="Arial" w:eastAsia="Arial" w:hAnsi="Arial"/>
                <w:b/>
                <w:bCs/>
                <w:color w:val="1A1A1A"/>
                <w:sz w:val="18"/>
                <w:szCs w:val="18"/>
              </w:rPr>
              <w:t xml:space="preserve">Part</w:t>
            </w:r>
          </w:p>
        </w:tc>
        <w:tc>
          <w:tcPr>
            <w:tcW w:type="dxa" w:w="800"/>
            <w:tcBorders>
              <w:top w:val="single" w:color="C8C8C8" w:sz="4"/>
              <w:left w:val="single" w:color="C8C8C8" w:sz="4"/>
              <w:bottom w:val="single" w:color="C8C8C8" w:sz="4"/>
              <w:right w:val="single" w:color="C8C8C8" w:sz="4"/>
            </w:tcBorders>
            <w:shd w:fill="F4F4F2" w:val="clear"/>
            <w:tcMar>
              <w:top w:type="dxa" w:w="80"/>
              <w:left w:type="dxa" w:w="120"/>
              <w:bottom w:type="dxa" w:w="80"/>
              <w:right w:type="dxa" w:w="120"/>
            </w:tcMar>
          </w:tcPr>
          <w:p>
            <w:pPr>
              <w:spacing w:after="0" w:before="0" w:line="260"/>
            </w:pPr>
            <w:r>
              <w:rPr>
                <w:rFonts w:ascii="Arial" w:cs="Arial" w:eastAsia="Arial" w:hAnsi="Arial"/>
                <w:b/>
                <w:bCs/>
                <w:color w:val="1A1A1A"/>
                <w:sz w:val="18"/>
                <w:szCs w:val="18"/>
              </w:rPr>
              <w:t xml:space="preserve">Qty</w:t>
            </w:r>
          </w:p>
        </w:tc>
        <w:tc>
          <w:tcPr>
            <w:tcW w:type="dxa" w:w="2200"/>
            <w:tcBorders>
              <w:top w:val="single" w:color="C8C8C8" w:sz="4"/>
              <w:left w:val="single" w:color="C8C8C8" w:sz="4"/>
              <w:bottom w:val="single" w:color="C8C8C8" w:sz="4"/>
              <w:right w:val="single" w:color="C8C8C8" w:sz="4"/>
            </w:tcBorders>
            <w:shd w:fill="F4F4F2" w:val="clear"/>
            <w:tcMar>
              <w:top w:type="dxa" w:w="80"/>
              <w:left w:type="dxa" w:w="120"/>
              <w:bottom w:type="dxa" w:w="80"/>
              <w:right w:type="dxa" w:w="120"/>
            </w:tcMar>
          </w:tcPr>
          <w:p>
            <w:pPr>
              <w:spacing w:after="0" w:before="0" w:line="260"/>
            </w:pPr>
            <w:r>
              <w:rPr>
                <w:rFonts w:ascii="Arial" w:cs="Arial" w:eastAsia="Arial" w:hAnsi="Arial"/>
                <w:b/>
                <w:bCs/>
                <w:color w:val="1A1A1A"/>
                <w:sz w:val="18"/>
                <w:szCs w:val="18"/>
              </w:rPr>
              <w:t xml:space="preserve">Final material</w:t>
            </w:r>
          </w:p>
        </w:tc>
        <w:tc>
          <w:tcPr>
            <w:tcW w:type="dxa" w:w="1500"/>
            <w:tcBorders>
              <w:top w:val="single" w:color="C8C8C8" w:sz="4"/>
              <w:left w:val="single" w:color="C8C8C8" w:sz="4"/>
              <w:bottom w:val="single" w:color="C8C8C8" w:sz="4"/>
              <w:right w:val="single" w:color="C8C8C8" w:sz="4"/>
            </w:tcBorders>
            <w:shd w:fill="F4F4F2" w:val="clear"/>
            <w:tcMar>
              <w:top w:type="dxa" w:w="80"/>
              <w:left w:type="dxa" w:w="120"/>
              <w:bottom w:type="dxa" w:w="80"/>
              <w:right w:type="dxa" w:w="120"/>
            </w:tcMar>
          </w:tcPr>
          <w:p>
            <w:pPr>
              <w:spacing w:after="0" w:before="0" w:line="260"/>
            </w:pPr>
            <w:r>
              <w:rPr>
                <w:rFonts w:ascii="Arial" w:cs="Arial" w:eastAsia="Arial" w:hAnsi="Arial"/>
                <w:b/>
                <w:bCs/>
                <w:color w:val="1A1A1A"/>
                <w:sz w:val="18"/>
                <w:szCs w:val="18"/>
              </w:rPr>
              <w:t xml:space="preserve">Rough filament</w:t>
            </w:r>
          </w:p>
        </w:tc>
        <w:tc>
          <w:tcPr>
            <w:tcW w:type="dxa" w:w="2860"/>
            <w:tcBorders>
              <w:top w:val="single" w:color="C8C8C8" w:sz="4"/>
              <w:left w:val="single" w:color="C8C8C8" w:sz="4"/>
              <w:bottom w:val="single" w:color="C8C8C8" w:sz="4"/>
              <w:right w:val="single" w:color="C8C8C8" w:sz="4"/>
            </w:tcBorders>
            <w:shd w:fill="F4F4F2" w:val="clear"/>
            <w:tcMar>
              <w:top w:type="dxa" w:w="80"/>
              <w:left w:type="dxa" w:w="120"/>
              <w:bottom w:type="dxa" w:w="80"/>
              <w:right w:type="dxa" w:w="120"/>
            </w:tcMar>
          </w:tcPr>
          <w:p>
            <w:pPr>
              <w:spacing w:after="0" w:before="0" w:line="260"/>
            </w:pPr>
            <w:r>
              <w:rPr>
                <w:rFonts w:ascii="Arial" w:cs="Arial" w:eastAsia="Arial" w:hAnsi="Arial"/>
                <w:b/>
                <w:bCs/>
                <w:color w:val="1A1A1A"/>
                <w:sz w:val="18"/>
                <w:szCs w:val="18"/>
              </w:rPr>
              <w:t xml:space="preserve">Why this material</w:t>
            </w:r>
          </w:p>
        </w:tc>
      </w:tr>
      <w:tr>
        <w:tc>
          <w:tcPr>
            <w:tcW w:type="dxa" w:w="24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enclosure</w:t>
            </w:r>
          </w:p>
        </w:tc>
        <w:tc>
          <w:tcPr>
            <w:tcW w:type="dxa" w:w="8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1</w:t>
            </w:r>
          </w:p>
        </w:tc>
        <w:tc>
          <w:tcPr>
            <w:tcW w:type="dxa" w:w="22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PA12-GF</w:t>
            </w:r>
          </w:p>
        </w:tc>
        <w:tc>
          <w:tcPr>
            <w:tcW w:type="dxa" w:w="15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80 to 110 g</w:t>
            </w:r>
          </w:p>
        </w:tc>
        <w:tc>
          <w:tcPr>
            <w:tcW w:type="dxa" w:w="28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Flooded gearbox body. Open front, integrated bottom flange (4 × M4 clearance holes), top link slots, 4 back-wall axle bosses with stepped bores, upper and lower journal bores for the input shaft, 8 bottom drains plus 2 side drains, 4 snap-clip catch windows.</w:t>
            </w:r>
          </w:p>
        </w:tc>
      </w:tr>
      <w:tr>
        <w:tc>
          <w:tcPr>
            <w:tcW w:type="dxa" w:w="24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front_cover</w:t>
            </w:r>
          </w:p>
        </w:tc>
        <w:tc>
          <w:tcPr>
            <w:tcW w:type="dxa" w:w="8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1</w:t>
            </w:r>
          </w:p>
        </w:tc>
        <w:tc>
          <w:tcPr>
            <w:tcW w:type="dxa" w:w="22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PA12-GF</w:t>
            </w:r>
          </w:p>
        </w:tc>
        <w:tc>
          <w:tcPr>
            <w:tcW w:type="dxa" w:w="15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20 to 30 g</w:t>
            </w:r>
          </w:p>
        </w:tc>
        <w:tc>
          <w:tcPr>
            <w:tcW w:type="dxa" w:w="28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Closes the open front. 4 inner-face bosses cap the axle-dowel heads. 4 integral cantilever snap clips latch into body side-wall windows. 3 × Ø1.8 mm cover vents.</w:t>
            </w:r>
          </w:p>
        </w:tc>
      </w:tr>
      <w:tr>
        <w:tc>
          <w:tcPr>
            <w:tcW w:type="dxa" w:w="24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drive_arm_R</w:t>
            </w:r>
          </w:p>
        </w:tc>
        <w:tc>
          <w:tcPr>
            <w:tcW w:type="dxa" w:w="8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1</w:t>
            </w:r>
          </w:p>
        </w:tc>
        <w:tc>
          <w:tcPr>
            <w:tcW w:type="dxa" w:w="22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PA12-GF</w:t>
            </w:r>
          </w:p>
        </w:tc>
        <w:tc>
          <w:tcPr>
            <w:tcW w:type="dxa" w:w="15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12 to 18 g</w:t>
            </w:r>
          </w:p>
        </w:tc>
        <w:tc>
          <w:tcPr>
            <w:tcW w:type="dxa" w:w="28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Right gear sector + crank arm. Rides on axle dowel pin_A_R. Counterbored C-eye exit for pin_C_R capture.</w:t>
            </w:r>
          </w:p>
        </w:tc>
      </w:tr>
      <w:tr>
        <w:tc>
          <w:tcPr>
            <w:tcW w:type="dxa" w:w="24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drive_arm_L</w:t>
            </w:r>
          </w:p>
        </w:tc>
        <w:tc>
          <w:tcPr>
            <w:tcW w:type="dxa" w:w="8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1</w:t>
            </w:r>
          </w:p>
        </w:tc>
        <w:tc>
          <w:tcPr>
            <w:tcW w:type="dxa" w:w="22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PA12-GF</w:t>
            </w:r>
          </w:p>
        </w:tc>
        <w:tc>
          <w:tcPr>
            <w:tcW w:type="dxa" w:w="15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12 to 18 g</w:t>
            </w:r>
          </w:p>
        </w:tc>
        <w:tc>
          <w:tcPr>
            <w:tcW w:type="dxa" w:w="28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Left gear sector + crank arm + integral crown gear on its +Z face. Rides on axle dowel pin_A_L. Counterbored C-eye for pin_C_L.</w:t>
            </w:r>
          </w:p>
        </w:tc>
      </w:tr>
      <w:tr>
        <w:tc>
          <w:tcPr>
            <w:tcW w:type="dxa" w:w="24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input_pinion_shaft</w:t>
            </w:r>
          </w:p>
        </w:tc>
        <w:tc>
          <w:tcPr>
            <w:tcW w:type="dxa" w:w="8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1</w:t>
            </w:r>
          </w:p>
        </w:tc>
        <w:tc>
          <w:tcPr>
            <w:tcW w:type="dxa" w:w="22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PA12-GF</w:t>
            </w:r>
          </w:p>
        </w:tc>
        <w:tc>
          <w:tcPr>
            <w:tcW w:type="dxa" w:w="15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8 to 12 g</w:t>
            </w:r>
          </w:p>
        </w:tc>
        <w:tc>
          <w:tcPr>
            <w:tcW w:type="dxa" w:w="28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ONE printed part: spur pinion + vertical shaft + integral capture collar + bottom D-coupler. Runs in two flooded journal bores; collar trapped between bore-mouth shoulders. Zero hardware.</w:t>
            </w:r>
          </w:p>
        </w:tc>
      </w:tr>
      <w:tr>
        <w:tc>
          <w:tcPr>
            <w:tcW w:type="dxa" w:w="24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follower_R, follower_L</w:t>
            </w:r>
          </w:p>
        </w:tc>
        <w:tc>
          <w:tcPr>
            <w:tcW w:type="dxa" w:w="8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2</w:t>
            </w:r>
          </w:p>
        </w:tc>
        <w:tc>
          <w:tcPr>
            <w:tcW w:type="dxa" w:w="22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PA12-GF</w:t>
            </w:r>
          </w:p>
        </w:tc>
        <w:tc>
          <w:tcPr>
            <w:tcW w:type="dxa" w:w="15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6 to 9 g each</w:t>
            </w:r>
          </w:p>
        </w:tc>
        <w:tc>
          <w:tcPr>
            <w:tcW w:type="dxa" w:w="28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Right and left B-to-D link bars. Counterbored D-eye exits for pin_D_R and pin_D_L capture.</w:t>
            </w:r>
          </w:p>
        </w:tc>
      </w:tr>
      <w:tr>
        <w:tc>
          <w:tcPr>
            <w:tcW w:type="dxa" w:w="24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finger_R, finger_L</w:t>
            </w:r>
          </w:p>
        </w:tc>
        <w:tc>
          <w:tcPr>
            <w:tcW w:type="dxa" w:w="8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2</w:t>
            </w:r>
          </w:p>
        </w:tc>
        <w:tc>
          <w:tcPr>
            <w:tcW w:type="dxa" w:w="22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Bambu TPU 95A HF</w:t>
            </w:r>
          </w:p>
        </w:tc>
        <w:tc>
          <w:tcPr>
            <w:tcW w:type="dxa" w:w="15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 30 g each (ρ 1.22)</w:t>
            </w:r>
          </w:p>
        </w:tc>
        <w:tc>
          <w:tcPr>
            <w:tcW w:type="dxa" w:w="28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Fin Ray compliant jaws with the grip texture on the contact face. Must flex; print in TPU only. Profile in PRINT_PROFILE_P1S_TPU.md.</w:t>
            </w:r>
          </w:p>
        </w:tc>
      </w:tr>
      <w:tr>
        <w:tc>
          <w:tcPr>
            <w:tcW w:type="dxa" w:w="24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pin_A_R, pin_A_L, pin_B_R, pin_B_L</w:t>
            </w:r>
          </w:p>
        </w:tc>
        <w:tc>
          <w:tcPr>
            <w:tcW w:type="dxa" w:w="8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4</w:t>
            </w:r>
          </w:p>
        </w:tc>
        <w:tc>
          <w:tcPr>
            <w:tcW w:type="dxa" w:w="22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PA12-GF</w:t>
            </w:r>
          </w:p>
        </w:tc>
        <w:tc>
          <w:tcPr>
            <w:tcW w:type="dxa" w:w="15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1 to 2 g each</w:t>
            </w:r>
          </w:p>
        </w:tc>
        <w:tc>
          <w:tcPr>
            <w:tcW w:type="dxa" w:w="28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Axle dowels (drive-arm + follower pivots). Plain headed dowels, no barb. Rigid geometric sandwich: head against cover boss, shoulder against bore step.</w:t>
            </w:r>
          </w:p>
        </w:tc>
      </w:tr>
      <w:tr>
        <w:tc>
          <w:tcPr>
            <w:tcW w:type="dxa" w:w="24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pin_C_R, pin_C_L, pin_D_R, pin_D_L</w:t>
            </w:r>
          </w:p>
        </w:tc>
        <w:tc>
          <w:tcPr>
            <w:tcW w:type="dxa" w:w="8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4</w:t>
            </w:r>
          </w:p>
        </w:tc>
        <w:tc>
          <w:tcPr>
            <w:tcW w:type="dxa" w:w="22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PETG-HF ★</w:t>
            </w:r>
          </w:p>
        </w:tc>
        <w:tc>
          <w:tcPr>
            <w:tcW w:type="dxa" w:w="15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1 to 2 g each</w:t>
            </w:r>
          </w:p>
        </w:tc>
        <w:tc>
          <w:tcPr>
            <w:tcW w:type="dxa" w:w="28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Finger snap pins (crank-coupler + follower-coupler joints). Barbed split tip. The lip locks in a rigid PA12-GF counterbore pocket in the receiving arm or follower.</w:t>
            </w:r>
          </w:p>
        </w:tc>
      </w:tr>
    </w:tbl>
    <w:p>
      <w:pPr>
        <w:spacing w:after="120"/>
      </w:pPr>
      <w:r>
        <w:t xml:space="preserve"/>
      </w:r>
    </w:p>
    <w:p>
      <w:pPr>
        <w:spacing w:after="100" w:before="0" w:line="300"/>
      </w:pPr>
      <w:r>
        <w:rPr>
          <w:rFonts w:ascii="Arial" w:cs="Arial" w:eastAsia="Arial" w:hAnsi="Arial"/>
          <w:b w:val="false"/>
          <w:bCs w:val="false"/>
          <w:i w:val="false"/>
          <w:iCs w:val="false"/>
          <w:color w:val="1A1A1A"/>
          <w:sz w:val="22"/>
          <w:szCs w:val="22"/>
        </w:rPr>
        <w:t>Total filament for the production build: about 120 to 175 g of PA12-GF, 50 to 70 g of TPU 95A HF, and 4 to 8 g of PETG-HF for the finger pins. Test prints during iteration use PETG-HF for everything that ships in PA12-GF, because PETG-HF iterates faster and matches PA12-GF dimensionally close enough to fit-test snap geometries before committing the slower PA12-GF print.</w:t>
      </w:r>
    </w:p>
    <w:p>
      <w:pPr>
        <w:pStyle w:val="Heading2"/>
        <w:spacing w:after="140" w:before="280"/>
      </w:pPr>
      <w:r>
        <w:rPr>
          <w:rFonts w:ascii="Arial" w:cs="Arial" w:eastAsia="Arial" w:hAnsi="Arial"/>
          <w:b/>
          <w:bCs/>
          <w:color w:val="1A1A1A"/>
          <w:sz w:val="26"/>
          <w:szCs w:val="26"/>
        </w:rPr>
        <w:t xml:space="preserve">Why PA12-GF for everything rigid</w:t>
      </w:r>
    </w:p>
    <w:p>
      <w:pPr>
        <w:spacing w:after="100" w:before="0" w:line="300"/>
      </w:pPr>
      <w:r>
        <w:rPr>
          <w:rFonts w:ascii="Arial" w:cs="Arial" w:eastAsia="Arial" w:hAnsi="Arial"/>
          <w:b w:val="false"/>
          <w:bCs w:val="false"/>
          <w:i w:val="false"/>
          <w:iCs w:val="false"/>
          <w:color w:val="1A1A1A"/>
          <w:sz w:val="22"/>
          <w:szCs w:val="22"/>
        </w:rPr>
        <w:t xml:space="preserve">PA12 is the lowest-water-uptake engineering nylon. Saturated seawater absorption sits at about 0.7 to 1.2 %, and the glass fill reduces that further. It does not hydrolyse. It holds tight dimensions under sustained immersion. The 30 % glass fill gives roughly 3.5 to 5.5 GPa modulus and low creep, which is the right answer for gearbox bodies, link arms, the input shaft, and the axle dowels that have to keep their pivot geometry over months underwater.</w:t>
      </w:r>
    </w:p>
    <w:p>
      <w:pPr>
        <w:spacing w:after="100" w:before="0" w:line="300"/>
      </w:pPr>
      <w:r>
        <w:rPr>
          <w:rFonts w:ascii="Arial" w:cs="Arial" w:eastAsia="Arial" w:hAnsi="Arial"/>
          <w:b w:val="false"/>
          <w:bCs w:val="false"/>
          <w:i w:val="false"/>
          <w:iCs w:val="false"/>
          <w:color w:val="1A1A1A"/>
          <w:sz w:val="22"/>
          <w:szCs w:val="22"/>
        </w:rPr>
        <w:t>PA12-GF replaces a previous spec for carbon-filled Nylon 12 (PA12-CF). PA12-CF needs a 45 to 60 °C heated chamber the Bambu P1S we print on cannot hold. Without that chamber, PA12-CF lays down with poor inter-layer adhesion and warps on cooling. PA12-GF is the right material on its properties — the glass fill plus PA12’s inherently low water uptake covers the seawater duty cycle — but we are honest that it is marginal on the P1S, which has no actively heated chamber: glass-filled nylon is warp-prone on the larger parts, so it wants a closed chamber, a brim, and a 260 to 280 °C nozzle over a 90 °C bed with glue stick. Where that proves troublesome, the P1S-friendly substitutions that keep most of the rigidity are Bambu PAHT-CF or PETG-CF, or plain PETG-HF for a lower-spec build. The glass fill also pulls dimensional drift below the carbon-filled grade because glass fibres do not bend under print stress the way short carbon fibres do.</w:t>
      </w:r>
    </w:p>
    <w:p>
      <w:pPr>
        <w:pStyle w:val="Heading2"/>
        <w:spacing w:after="140" w:before="280"/>
      </w:pPr>
      <w:r>
        <w:rPr>
          <w:rFonts w:ascii="Arial" w:cs="Arial" w:eastAsia="Arial" w:hAnsi="Arial"/>
          <w:b/>
          <w:bCs/>
          <w:color w:val="1A1A1A"/>
          <w:sz w:val="26"/>
          <w:szCs w:val="26"/>
        </w:rPr>
        <w:t xml:space="preserve">Why PETG-HF only for the finger snap pins</w:t>
      </w:r>
    </w:p>
    <w:p>
      <w:pPr>
        <w:spacing w:after="100" w:before="0" w:line="300"/>
      </w:pPr>
      <w:r>
        <w:rPr>
          <w:rFonts w:ascii="Arial" w:cs="Arial" w:eastAsia="Arial" w:hAnsi="Arial"/>
          <w:b w:val="false"/>
          <w:bCs w:val="false"/>
          <w:i w:val="false"/>
          <w:iCs w:val="false"/>
          <w:color w:val="1A1A1A"/>
          <w:sz w:val="22"/>
          <w:szCs w:val="22"/>
        </w:rPr>
        <w:t xml:space="preserve">Glass fill trades ductility for stiffness. Unfilled PA12 prints at roughly 10 to 20 % elongation at break; the 30 % glass-filled grade drops elongation to about 3 to 8 % and removes the yield plateau. Filled PA12 fails by cracking rather than yielding. For one-time assembly snaps the design allowable is conservatively 1.5 to 2.0 % strain.</w:t>
      </w:r>
    </w:p>
    <w:p>
      <w:pPr>
        <w:spacing w:after="100" w:before="0" w:line="300"/>
      </w:pPr>
      <w:r>
        <w:rPr>
          <w:rFonts w:ascii="Arial" w:cs="Arial" w:eastAsia="Arial" w:hAnsi="Arial"/>
          <w:b w:val="false"/>
          <w:bCs w:val="false"/>
          <w:i w:val="false"/>
          <w:iCs w:val="false"/>
          <w:color w:val="1A1A1A"/>
          <w:sz w:val="22"/>
          <w:szCs w:val="22"/>
        </w:rPr>
        <w:t xml:space="preserve">The barbed split-tip pin geometry that secures the fingers must flex inward as it passes through the receiving bore. The split tip has a 0.9 mm proud barb (nominal), 1.0 mm worst-tight at the loose tolerance edge. Working the strain through the cantilever surface model ε = 3·t·δ / (2·L²) on the effective slot length gives a nominal insertion strain of 2.50 % and a worst-tight insertion strain of 2.78 %. Both numbers exceed PA12-GF's 1.5 to 2.0 % allowable. A finger snap pin printed in PA12-GF would crack on the way in.</w:t>
      </w:r>
    </w:p>
    <w:p>
      <w:pPr>
        <w:spacing w:after="100" w:before="0" w:line="300"/>
      </w:pPr>
      <w:r>
        <w:rPr>
          <w:rFonts w:ascii="Arial" w:cs="Arial" w:eastAsia="Arial" w:hAnsi="Arial"/>
          <w:b w:val="false"/>
          <w:bCs w:val="false"/>
          <w:i w:val="false"/>
          <w:iCs w:val="false"/>
          <w:color w:val="1A1A1A"/>
          <w:sz w:val="22"/>
          <w:szCs w:val="22"/>
        </w:rPr>
        <w:t xml:space="preserve">PETG-HF (high-flow) has the same modulus, strength, and elongation as regular PETG; high-flow is a processing variant for faster prints. Its one-time-assembly allowable is 2.5 to 3.5 %. The 2.78 % worst-tight strain sits inside that band with margin. The four finger snap pins go in PETG-HF, marked with a star in the BOM, while every other part stays PA12-GF. The pull-out load on the snapped pin is not carried by the pin material at all; it is taken by the rigid PA12-GF counterbore shoulder in the receiving arm or follower eye. The pin only has to survive the one-time insertion, and PETG-HF does that with margin.</w:t>
      </w:r>
    </w:p>
    <w:p>
      <w:pPr>
        <w:pBdr>
          <w:top w:val="single" w:color="F5D802" w:sz="4" w:space="6"/>
          <w:left w:val="single" w:color="F5D802" w:sz="4" w:space="6"/>
          <w:bottom w:val="single" w:color="F5D802" w:sz="4" w:space="6"/>
          <w:right w:val="single" w:color="F5D802" w:sz="4" w:space="6"/>
        </w:pBdr>
        <w:shd w:fill="F4F4F2" w:val="clear"/>
        <w:spacing w:after="180" w:before="180" w:line="320"/>
        <w:ind w:left="180" w:right="180"/>
      </w:pPr>
      <w:r>
        <w:rPr>
          <w:rFonts w:ascii="Arial" w:cs="Arial" w:eastAsia="Arial" w:hAnsi="Arial"/>
          <w:b/>
          <w:bCs/>
          <w:color w:val="1A1A1A"/>
          <w:sz w:val="22"/>
          <w:szCs w:val="22"/>
        </w:rPr>
        <w:t xml:space="preserve">The cover clip needed a separate fix.</w:t>
      </w:r>
      <w:r>
        <w:rPr>
          <w:rFonts w:ascii="Arial" w:cs="Arial" w:eastAsia="Arial" w:hAnsi="Arial"/>
          <w:color w:val="1A1A1A"/>
          <w:sz w:val="22"/>
          <w:szCs w:val="22"/>
        </w:rPr>
        <w:t xml:space="preserve">   The 4 cantilever snap clips on the front cover were originally tuned to PETG's elastic band and would have failed at 3.32 % worst-tight strain in PA12-GF. We re-tuned the geometry rather than the material: SNAP_Z0 was lowered from 6.5 to 1.5 (lengthening the cantilever arm), and SNAP_ARM_T was thinned from 2.8 mm to 2.0 mm. New worst-tight strain is 1.36 %, well inside the PA12-GF allowable. gripper.py now asserts the worst-tight strain stays below 1.5 % and fails the build loud if it does not.</w:t>
      </w:r>
    </w:p>
    <w:p>
      <w:pPr>
        <w:pStyle w:val="Heading2"/>
        <w:spacing w:after="140" w:before="280"/>
      </w:pPr>
      <w:r>
        <w:rPr>
          <w:rFonts w:ascii="Arial" w:cs="Arial" w:eastAsia="Arial" w:hAnsi="Arial"/>
          <w:b/>
          <w:bCs/>
          <w:color w:val="1A1A1A"/>
          <w:sz w:val="26"/>
          <w:szCs w:val="26"/>
        </w:rPr>
        <w:t>Why TPU 95A HF for the fingers (and the hydrolysis question)</w:t>
      </w:r>
    </w:p>
    <w:p>
      <w:pPr>
        <w:spacing w:after="100" w:before="0" w:line="300"/>
      </w:pPr>
      <w:r>
        <w:rPr>
          <w:rFonts w:ascii="Arial" w:cs="Arial" w:eastAsia="Arial" w:hAnsi="Arial"/>
          <w:b w:val="false"/>
          <w:bCs w:val="false"/>
          <w:i w:val="false"/>
          <w:iCs w:val="false"/>
          <w:color w:val="1A1A1A"/>
          <w:sz w:val="22"/>
          <w:szCs w:val="22"/>
        </w:rPr>
        <w:t xml:space="preserve">The Fin Ray grip principle is material compliance. The fingers have to flex visibly as they wrap an object; that is the whole mechanism. TPU at 95 Shore A is the right hardness. Softer TPU (85A) gives more compliance but loses grip force; harder TPU (98A) gives more grip force but loses wrap. 95A is the standard middle ground for soft robotic grippers.</w:t>
      </w:r>
    </w:p>
    <w:p>
      <w:pPr>
        <w:spacing w:after="100" w:before="0" w:line="300"/>
      </w:pPr>
      <w:r>
        <w:rPr>
          <w:rFonts w:ascii="Arial" w:cs="Arial" w:eastAsia="Arial" w:hAnsi="Arial"/>
          <w:b w:val="false"/>
          <w:bCs w:val="false"/>
          <w:i w:val="false"/>
          <w:iCs w:val="false"/>
          <w:color w:val="1A1A1A"/>
          <w:sz w:val="22"/>
          <w:szCs w:val="22"/>
        </w:rPr>
        <w:t xml:space="preserve">There are two TPU chemistries: ester-based and ether-based (polyether). They look identical, print the same way, and have almost identical mechanical properties. They differ in one thing that matters here: hydrolysis resistance. Ester-based TPU hydrolyses in sustained or warm immersion. Underwater for weeks, an ester-based TPU finger crumbles from the inside out. Ether-based TPU is hydrolysis-stable; it survives sustained marine immersion.</w:t>
      </w:r>
    </w:p>
    <w:p>
      <w:pPr>
        <w:spacing w:after="100" w:before="0" w:line="300"/>
      </w:pPr>
      <w:r>
        <w:rPr>
          <w:rFonts w:ascii="Arial" w:cs="Arial" w:eastAsia="Arial" w:hAnsi="Arial"/>
          <w:b w:val="false"/>
          <w:bCs w:val="false"/>
          <w:i w:val="false"/>
          <w:iCs w:val="false"/>
          <w:color w:val="1A1A1A"/>
          <w:sz w:val="22"/>
          <w:szCs w:val="22"/>
        </w:rPr>
        <w:t xml:space="preserve">We print the fingers in Bambu TPU 95A HF. Two things drove the switch from the eSUN eTPU-95A we used earlier. First, and decisively, Bambu publishes ISO 527 mechanical data measured on printed specimens — an in-plane modulus of 9.8 MPa and tensile strength of 27.3 MPa, and a through-Z modulus of 7.4 MPa and strength of 22.3 MPa — so the finger FEA now runs on a measured, direction-aware number instead of the old 40 MPa estimate. Second, the high-flow grade prints at roughly three times the throughput of standard 95A TPU, which matters on a finger this size. The honest cost of the switch is the hydrolysis story: Bambu does not state whether 95A HF is ester- or ether-based, so we lose the published polyether claim eSUN gave us. The measured saturated water uptake is low, about 1.08 %, which is encouraging but not a chemistry guarantee. That is exactly why the 7-day seawater soak test in the bench plan (§13) is now load-bearing rather than a formality: it is the gate that confirms the chosen filament survives sustained immersion.</w:t>
      </w:r>
    </w:p>
    <w:p>
      <w:pPr>
        <w:pStyle w:val="Heading2"/>
        <w:spacing w:after="140" w:before="280"/>
      </w:pPr>
      <w:r>
        <w:rPr>
          <w:rFonts w:ascii="Arial" w:cs="Arial" w:eastAsia="Arial" w:hAnsi="Arial"/>
          <w:b/>
          <w:bCs/>
          <w:color w:val="1A1A1A"/>
          <w:sz w:val="26"/>
          <w:szCs w:val="26"/>
        </w:rPr>
        <w:t xml:space="preserve">Materials ruled out, with the reason</w:t>
      </w:r>
    </w:p>
    <w:p>
      <w:pPr>
        <w:pStyle w:val="ListParagraph"/>
        <w:numPr>
          <w:ilvl w:val="0"/>
          <w:numId w:val="3"/>
        </w:numPr>
        <w:spacing w:after="40" w:before="40" w:line="280"/>
      </w:pPr>
      <w:r>
        <w:rPr>
          <w:rFonts w:ascii="Arial" w:cs="Arial" w:eastAsia="Arial" w:hAnsi="Arial"/>
          <w:b/>
          <w:bCs/>
          <w:i w:val="false"/>
          <w:iCs w:val="false"/>
          <w:color w:val="1A1A1A"/>
          <w:sz w:val="22"/>
          <w:szCs w:val="22"/>
        </w:rPr>
        <w:t xml:space="preserve">PLA: </w:t>
      </w:r>
      <w:r>
        <w:rPr>
          <w:rFonts w:ascii="Arial" w:cs="Arial" w:eastAsia="Arial" w:hAnsi="Arial"/>
          <w:b w:val="false"/>
          <w:bCs w:val="false"/>
          <w:i w:val="false"/>
          <w:iCs w:val="false"/>
          <w:color w:val="1A1A1A"/>
          <w:sz w:val="22"/>
          <w:szCs w:val="22"/>
        </w:rPr>
        <w:t xml:space="preserve">hydrolyses underwater. Loses strength over days to weeks of immersion. Reject for every part.</w:t>
      </w:r>
    </w:p>
    <w:p>
      <w:pPr>
        <w:pStyle w:val="ListParagraph"/>
        <w:numPr>
          <w:ilvl w:val="0"/>
          <w:numId w:val="3"/>
        </w:numPr>
        <w:spacing w:after="40" w:before="40" w:line="280"/>
      </w:pPr>
      <w:r>
        <w:rPr>
          <w:rFonts w:ascii="Arial" w:cs="Arial" w:eastAsia="Arial" w:hAnsi="Arial"/>
          <w:b/>
          <w:bCs/>
          <w:i w:val="false"/>
          <w:iCs w:val="false"/>
          <w:color w:val="1A1A1A"/>
          <w:sz w:val="22"/>
          <w:szCs w:val="22"/>
        </w:rPr>
        <w:t xml:space="preserve">Untreated nylon (PA6, PA66): </w:t>
      </w:r>
      <w:r>
        <w:rPr>
          <w:rFonts w:ascii="Arial" w:cs="Arial" w:eastAsia="Arial" w:hAnsi="Arial"/>
          <w:b w:val="false"/>
          <w:bCs w:val="false"/>
          <w:i w:val="false"/>
          <w:iCs w:val="false"/>
          <w:color w:val="1A1A1A"/>
          <w:sz w:val="22"/>
          <w:szCs w:val="22"/>
        </w:rPr>
        <w:t xml:space="preserve">absorbs 1 to 3 % water and more, swells, softens, drifts dimensionally. Only the lowest-uptake nylon (PA12) with glass fill is acceptable.</w:t>
      </w:r>
    </w:p>
    <w:p>
      <w:pPr>
        <w:pStyle w:val="ListParagraph"/>
        <w:numPr>
          <w:ilvl w:val="0"/>
          <w:numId w:val="3"/>
        </w:numPr>
        <w:spacing w:after="40" w:before="40" w:line="280"/>
      </w:pPr>
      <w:r>
        <w:rPr>
          <w:rFonts w:ascii="Arial" w:cs="Arial" w:eastAsia="Arial" w:hAnsi="Arial"/>
          <w:b/>
          <w:bCs/>
          <w:i w:val="false"/>
          <w:iCs w:val="false"/>
          <w:color w:val="1A1A1A"/>
          <w:sz w:val="22"/>
          <w:szCs w:val="22"/>
        </w:rPr>
        <w:t xml:space="preserve">PA12-CF (carbon-filled): </w:t>
      </w:r>
      <w:r>
        <w:rPr>
          <w:rFonts w:ascii="Arial" w:cs="Arial" w:eastAsia="Arial" w:hAnsi="Arial"/>
          <w:b w:val="false"/>
          <w:bCs w:val="false"/>
          <w:i w:val="false"/>
          <w:iCs w:val="false"/>
          <w:color w:val="1A1A1A"/>
          <w:sz w:val="22"/>
          <w:szCs w:val="22"/>
        </w:rPr>
        <w:t xml:space="preserve">needs the 45 to 60 °C heated chamber the P1S cannot hold; carbon fibre also contaminates the recycling stream. Glass-filled PA12 is the right answer.</w:t>
      </w:r>
    </w:p>
    <w:p>
      <w:pPr>
        <w:pStyle w:val="ListParagraph"/>
        <w:numPr>
          <w:ilvl w:val="0"/>
          <w:numId w:val="3"/>
        </w:numPr>
        <w:spacing w:after="40" w:before="40" w:line="280"/>
      </w:pPr>
      <w:r>
        <w:rPr>
          <w:rFonts w:ascii="Arial" w:cs="Arial" w:eastAsia="Arial" w:hAnsi="Arial"/>
          <w:b/>
          <w:bCs/>
          <w:i w:val="false"/>
          <w:iCs w:val="false"/>
          <w:color w:val="1A1A1A"/>
          <w:sz w:val="22"/>
          <w:szCs w:val="22"/>
        </w:rPr>
        <w:t xml:space="preserve">PETG or PETG-HF for the rigid body: </w:t>
      </w:r>
      <w:r>
        <w:rPr>
          <w:rFonts w:ascii="Arial" w:cs="Arial" w:eastAsia="Arial" w:hAnsi="Arial"/>
          <w:b w:val="false"/>
          <w:bCs w:val="false"/>
          <w:i w:val="false"/>
          <w:iCs w:val="false"/>
          <w:color w:val="1A1A1A"/>
          <w:sz w:val="22"/>
          <w:szCs w:val="22"/>
        </w:rPr>
        <w:t xml:space="preserve">an acceptable test-print material but not the final production answer. PETG's modulus (~1.7 to 2.1 GPa) is below PA12-GF's (~3.5 to 5.5 GPa); PETG also creeps under sustained load. For the gear arms and the input shaft running in flooded journal bores, the PA12-GF stiffness and low creep both matter.</w:t>
      </w:r>
    </w:p>
    <w:p>
      <w:pPr>
        <w:pStyle w:val="ListParagraph"/>
        <w:numPr>
          <w:ilvl w:val="0"/>
          <w:numId w:val="3"/>
        </w:numPr>
        <w:spacing w:after="40" w:before="40" w:line="280"/>
      </w:pPr>
      <w:r>
        <w:rPr>
          <w:rFonts w:ascii="Arial" w:cs="Arial" w:eastAsia="Arial" w:hAnsi="Arial"/>
          <w:b/>
          <w:bCs/>
          <w:i w:val="false"/>
          <w:iCs w:val="false"/>
          <w:color w:val="1A1A1A"/>
          <w:sz w:val="22"/>
          <w:szCs w:val="22"/>
        </w:rPr>
        <w:t xml:space="preserve">PETG-CF or PETG-GF for the rigid body: </w:t>
      </w:r>
      <w:r>
        <w:rPr>
          <w:rFonts w:ascii="Arial" w:cs="Arial" w:eastAsia="Arial" w:hAnsi="Arial"/>
          <w:b w:val="false"/>
          <w:bCs w:val="false"/>
          <w:i w:val="false"/>
          <w:iCs w:val="false"/>
          <w:color w:val="1A1A1A"/>
          <w:sz w:val="22"/>
          <w:szCs w:val="22"/>
        </w:rPr>
        <w:t xml:space="preserve">the fibre kills any recycling story and the part geometry does not need the extra stiffness above PA12-GF.</w:t>
      </w:r>
    </w:p>
    <w:p>
      <w:pPr>
        <w:pStyle w:val="ListParagraph"/>
        <w:numPr>
          <w:ilvl w:val="0"/>
          <w:numId w:val="3"/>
        </w:numPr>
        <w:spacing w:after="40" w:before="40" w:line="280"/>
      </w:pPr>
      <w:r>
        <w:rPr>
          <w:rFonts w:ascii="Arial" w:cs="Arial" w:eastAsia="Arial" w:hAnsi="Arial"/>
          <w:b/>
          <w:bCs/>
          <w:i w:val="false"/>
          <w:iCs w:val="false"/>
          <w:color w:val="1A1A1A"/>
          <w:sz w:val="22"/>
          <w:szCs w:val="22"/>
        </w:rPr>
        <w:t xml:space="preserve">PP, PP-CF, polycarbonate: </w:t>
      </w:r>
      <w:r>
        <w:rPr>
          <w:rFonts w:ascii="Arial" w:cs="Arial" w:eastAsia="Arial" w:hAnsi="Arial"/>
          <w:b w:val="false"/>
          <w:bCs w:val="false"/>
          <w:i w:val="false"/>
          <w:iCs w:val="false"/>
          <w:color w:val="1A1A1A"/>
          <w:sz w:val="22"/>
          <w:szCs w:val="22"/>
        </w:rPr>
        <w:t xml:space="preserve">warp or delaminate on the P1S without an actively heated chamber.</w:t>
      </w:r>
    </w:p>
    <w:p>
      <w:pPr>
        <w:pStyle w:val="ListParagraph"/>
        <w:numPr>
          <w:ilvl w:val="0"/>
          <w:numId w:val="3"/>
        </w:numPr>
        <w:spacing w:after="40" w:before="40" w:line="280"/>
      </w:pPr>
      <w:r>
        <w:rPr>
          <w:rFonts w:ascii="Arial" w:cs="Arial" w:eastAsia="Arial" w:hAnsi="Arial"/>
          <w:b/>
          <w:bCs/>
          <w:i w:val="false"/>
          <w:iCs w:val="false"/>
          <w:color w:val="1A1A1A"/>
          <w:sz w:val="22"/>
          <w:szCs w:val="22"/>
        </w:rPr>
        <w:t xml:space="preserve">Ester-based TPU: </w:t>
      </w:r>
      <w:r>
        <w:rPr>
          <w:rFonts w:ascii="Arial" w:cs="Arial" w:eastAsia="Arial" w:hAnsi="Arial"/>
          <w:b w:val="false"/>
          <w:bCs w:val="false"/>
          <w:i w:val="false"/>
          <w:iCs w:val="false"/>
          <w:color w:val="1A1A1A"/>
          <w:sz w:val="22"/>
          <w:szCs w:val="22"/>
        </w:rPr>
        <w:t xml:space="preserve">hydrolyses. Crumbles in sustained marine immersion. Reject every ester grade.</w:t>
      </w:r>
    </w:p>
    <w:p>
      <w:pPr>
        <w:pStyle w:val="ListParagraph"/>
        <w:numPr>
          <w:ilvl w:val="0"/>
          <w:numId w:val="3"/>
        </w:numPr>
        <w:spacing w:after="40" w:before="40" w:line="280"/>
      </w:pPr>
      <w:r>
        <w:rPr>
          <w:rFonts w:ascii="Arial" w:cs="Arial" w:eastAsia="Arial" w:hAnsi="Arial"/>
          <w:b/>
          <w:bCs/>
          <w:i w:val="false"/>
          <w:iCs w:val="false"/>
          <w:color w:val="1A1A1A"/>
          <w:sz w:val="22"/>
          <w:szCs w:val="22"/>
        </w:rPr>
        <w:t xml:space="preserve">TPU for any pin: </w:t>
      </w:r>
      <w:r>
        <w:rPr>
          <w:rFonts w:ascii="Arial" w:cs="Arial" w:eastAsia="Arial" w:hAnsi="Arial"/>
          <w:b w:val="false"/>
          <w:bCs w:val="false"/>
          <w:i w:val="false"/>
          <w:iCs w:val="false"/>
          <w:color w:val="1A1A1A"/>
          <w:sz w:val="22"/>
          <w:szCs w:val="22"/>
        </w:rPr>
        <w:t xml:space="preserve">creeps under sustained axial load. The pin head relaxes and wallows the bore, the snap retention is lost. PA12-GF for the axle dowels (no flex) and PETG-HF for the finger snap pins (one-time flex). No TPU.</w:t>
      </w:r>
    </w:p>
    <w:p>
      <w:pPr>
        <w:pStyle w:val="ListParagraph"/>
        <w:numPr>
          <w:ilvl w:val="0"/>
          <w:numId w:val="3"/>
        </w:numPr>
        <w:spacing w:after="40" w:before="40" w:line="280"/>
      </w:pPr>
      <w:r>
        <w:rPr>
          <w:rFonts w:ascii="Arial" w:cs="Arial" w:eastAsia="Arial" w:hAnsi="Arial"/>
          <w:b/>
          <w:bCs/>
          <w:i w:val="false"/>
          <w:iCs w:val="false"/>
          <w:color w:val="1A1A1A"/>
          <w:sz w:val="22"/>
          <w:szCs w:val="22"/>
        </w:rPr>
        <w:t xml:space="preserve">Oil-impregnated bronze (Oilite) bushings: </w:t>
      </w:r>
      <w:r>
        <w:rPr>
          <w:rFonts w:ascii="Arial" w:cs="Arial" w:eastAsia="Arial" w:hAnsi="Arial"/>
          <w:b w:val="false"/>
          <w:bCs w:val="false"/>
          <w:i w:val="false"/>
          <w:iCs w:val="false"/>
          <w:color w:val="1A1A1A"/>
          <w:sz w:val="22"/>
          <w:szCs w:val="22"/>
        </w:rPr>
        <w:t xml:space="preserve">the oil leaches out flooded, leaving a dry porous bush. Not applicable here (we have no bushings) but worth recording: the input shaft runs in flooded printed journal bores, no bushing of any kind.</w:t>
      </w:r>
    </w:p>
    <w:p>
      <w:pPr>
        <w:pStyle w:val="Heading2"/>
        <w:spacing w:after="140" w:before="280"/>
      </w:pPr>
      <w:r>
        <w:rPr>
          <w:rFonts w:ascii="Arial" w:cs="Arial" w:eastAsia="Arial" w:hAnsi="Arial"/>
          <w:b/>
          <w:bCs/>
          <w:color w:val="1A1A1A"/>
          <w:sz w:val="26"/>
          <w:szCs w:val="26"/>
        </w:rPr>
        <w:t xml:space="preserve">Print profile (P1S, 0.4 hardened nozzle)</w:t>
      </w:r>
    </w:p>
    <w:p>
      <w:pPr>
        <w:spacing w:after="100" w:before="0" w:line="300"/>
      </w:pPr>
      <w:r>
        <w:rPr>
          <w:rFonts w:ascii="Arial" w:cs="Arial" w:eastAsia="Arial" w:hAnsi="Arial"/>
          <w:b w:val="false"/>
          <w:bCs w:val="false"/>
          <w:i w:val="false"/>
          <w:iCs w:val="false"/>
          <w:color w:val="1A1A1A"/>
          <w:sz w:val="22"/>
          <w:szCs w:val="22"/>
        </w:rPr>
        <w:t xml:space="preserve">Importable Bambu Studio profiles ship with the project. The PA12-GF profile uses the stock Bambu Generic PA-GF settings; the TPU profile is custom, locked to the P1S 0.4 hardened nozzle. The key choices for the TPU finger: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400"/>
        <w:gridCol w:w="4260"/>
      </w:tblGrid>
      <w:tr>
        <w:tc>
          <w:tcPr>
            <w:tcW w:type="dxa" w:w="2700"/>
            <w:tcBorders>
              <w:top w:val="single" w:color="C8C8C8" w:sz="4"/>
              <w:left w:val="single" w:color="C8C8C8" w:sz="4"/>
              <w:bottom w:val="single" w:color="C8C8C8" w:sz="4"/>
              <w:right w:val="single" w:color="C8C8C8" w:sz="4"/>
            </w:tcBorders>
            <w:shd w:fill="F4F4F2" w:val="clear"/>
            <w:tcMar>
              <w:top w:type="dxa" w:w="80"/>
              <w:left w:type="dxa" w:w="120"/>
              <w:bottom w:type="dxa" w:w="80"/>
              <w:right w:type="dxa" w:w="120"/>
            </w:tcMar>
          </w:tcPr>
          <w:p>
            <w:pPr>
              <w:spacing w:after="0" w:before="0" w:line="260"/>
            </w:pPr>
            <w:r>
              <w:rPr>
                <w:rFonts w:ascii="Arial" w:cs="Arial" w:eastAsia="Arial" w:hAnsi="Arial"/>
                <w:b/>
                <w:bCs/>
                <w:color w:val="1A1A1A"/>
                <w:sz w:val="18"/>
                <w:szCs w:val="18"/>
              </w:rPr>
              <w:t xml:space="preserve">Setting</w:t>
            </w:r>
          </w:p>
        </w:tc>
        <w:tc>
          <w:tcPr>
            <w:tcW w:type="dxa" w:w="2400"/>
            <w:tcBorders>
              <w:top w:val="single" w:color="C8C8C8" w:sz="4"/>
              <w:left w:val="single" w:color="C8C8C8" w:sz="4"/>
              <w:bottom w:val="single" w:color="C8C8C8" w:sz="4"/>
              <w:right w:val="single" w:color="C8C8C8" w:sz="4"/>
            </w:tcBorders>
            <w:shd w:fill="F4F4F2" w:val="clear"/>
            <w:tcMar>
              <w:top w:type="dxa" w:w="80"/>
              <w:left w:type="dxa" w:w="120"/>
              <w:bottom w:type="dxa" w:w="80"/>
              <w:right w:type="dxa" w:w="120"/>
            </w:tcMar>
          </w:tcPr>
          <w:p>
            <w:pPr>
              <w:spacing w:after="0" w:before="0" w:line="260"/>
            </w:pPr>
            <w:r>
              <w:rPr>
                <w:rFonts w:ascii="Arial" w:cs="Arial" w:eastAsia="Arial" w:hAnsi="Arial"/>
                <w:b/>
                <w:bCs/>
                <w:color w:val="1A1A1A"/>
                <w:sz w:val="18"/>
                <w:szCs w:val="18"/>
              </w:rPr>
              <w:t xml:space="preserve">Value</w:t>
            </w:r>
          </w:p>
        </w:tc>
        <w:tc>
          <w:tcPr>
            <w:tcW w:type="dxa" w:w="4260"/>
            <w:tcBorders>
              <w:top w:val="single" w:color="C8C8C8" w:sz="4"/>
              <w:left w:val="single" w:color="C8C8C8" w:sz="4"/>
              <w:bottom w:val="single" w:color="C8C8C8" w:sz="4"/>
              <w:right w:val="single" w:color="C8C8C8" w:sz="4"/>
            </w:tcBorders>
            <w:shd w:fill="F4F4F2" w:val="clear"/>
            <w:tcMar>
              <w:top w:type="dxa" w:w="80"/>
              <w:left w:type="dxa" w:w="120"/>
              <w:bottom w:type="dxa" w:w="80"/>
              <w:right w:type="dxa" w:w="120"/>
            </w:tcMar>
          </w:tcPr>
          <w:p>
            <w:pPr>
              <w:spacing w:after="0" w:before="0" w:line="260"/>
            </w:pPr>
            <w:r>
              <w:rPr>
                <w:rFonts w:ascii="Arial" w:cs="Arial" w:eastAsia="Arial" w:hAnsi="Arial"/>
                <w:b/>
                <w:bCs/>
                <w:color w:val="1A1A1A"/>
                <w:sz w:val="18"/>
                <w:szCs w:val="18"/>
              </w:rPr>
              <w:t xml:space="preserve">Rationale</w:t>
            </w:r>
          </w:p>
        </w:tc>
      </w:tr>
      <w:tr>
        <w:tc>
          <w:tcPr>
            <w:tcW w:type="dxa" w:w="27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Nozzle temperature</w:t>
            </w:r>
          </w:p>
        </w:tc>
        <w:tc>
          <w:tcPr>
            <w:tcW w:type="dxa" w:w="24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220 °C (init 230)</w:t>
            </w:r>
          </w:p>
        </w:tc>
        <w:tc>
          <w:tcPr>
            <w:tcW w:type="dxa" w:w="42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Bambu’s tested temperature for 95A HF is 230 °C; we run it at 220 °C to cut ooze and stringing, and keep the first layer at 230 °C for adhesion.</w:t>
            </w:r>
          </w:p>
        </w:tc>
      </w:tr>
      <w:tr>
        <w:tc>
          <w:tcPr>
            <w:tcW w:type="dxa" w:w="27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Bed temperature</w:t>
            </w:r>
          </w:p>
        </w:tc>
        <w:tc>
          <w:tcPr>
            <w:tcW w:type="dxa" w:w="24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30 to 35 °C, textured PEI, no glue</w:t>
            </w:r>
          </w:p>
        </w:tc>
        <w:tc>
          <w:tcPr>
            <w:tcW w:type="dxa" w:w="42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The textured plate keys the TPU mechanically; Bambu’s guidance is no glue on a textured plate (glue over-adheres). A low bed keeps the large flat finger footprint removable.</w:t>
            </w:r>
          </w:p>
        </w:tc>
      </w:tr>
      <w:tr>
        <w:tc>
          <w:tcPr>
            <w:tcW w:type="dxa" w:w="27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Layer height</w:t>
            </w:r>
          </w:p>
        </w:tc>
        <w:tc>
          <w:tcPr>
            <w:tcW w:type="dxa" w:w="24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0.16 mm (init 0.20)</w:t>
            </w:r>
          </w:p>
        </w:tc>
        <w:tc>
          <w:tcPr>
            <w:tcW w:type="dxa" w:w="42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Resolves the 2.2 mm-pitch grip teeth and thin ribs cleanly; the thicker first layer aids adhesion.</w:t>
            </w:r>
          </w:p>
        </w:tc>
      </w:tr>
      <w:tr>
        <w:tc>
          <w:tcPr>
            <w:tcW w:type="dxa" w:w="27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Wall loops / line width</w:t>
            </w:r>
          </w:p>
        </w:tc>
        <w:tc>
          <w:tcPr>
            <w:tcW w:type="dxa" w:w="24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5 walls / 0.40 mm</w:t>
            </w:r>
          </w:p>
        </w:tc>
        <w:tc>
          <w:tcPr>
            <w:tcW w:type="dxa" w:w="42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1.2 mm contact beam at exactly 3 flush perimeters; ribs at 4; spine at 4 plus a 0.2 mm interior gap-fill.</w:t>
            </w:r>
          </w:p>
        </w:tc>
      </w:tr>
      <w:tr>
        <w:tc>
          <w:tcPr>
            <w:tcW w:type="dxa" w:w="27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Max volumetric speed</w:t>
            </w:r>
          </w:p>
        </w:tc>
        <w:tc>
          <w:tcPr>
            <w:tcW w:type="dxa" w:w="24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12 mm³/s</w:t>
            </w:r>
          </w:p>
        </w:tc>
        <w:tc>
          <w:tcPr>
            <w:tcW w:type="dxa" w:w="42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The high-flow headline, roughly four times the old cap. It lets the interior speeds rise (inner walls 60, infill 90 mm/s) while the volumetric ceiling still governs the fine ribs and teeth.</w:t>
            </w:r>
          </w:p>
        </w:tc>
      </w:tr>
      <w:tr>
        <w:tc>
          <w:tcPr>
            <w:tcW w:type="dxa" w:w="27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Outer wall speed</w:t>
            </w:r>
          </w:p>
        </w:tc>
        <w:tc>
          <w:tcPr>
            <w:tcW w:type="dxa" w:w="24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30 mm/s</w:t>
            </w:r>
          </w:p>
        </w:tc>
        <w:tc>
          <w:tcPr>
            <w:tcW w:type="dxa" w:w="42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Slow outer walls keep the grip face clean; raised from 20 because the high-flow grade tolerates it, but kept slow for surface quality.</w:t>
            </w:r>
          </w:p>
        </w:tc>
      </w:tr>
      <w:tr>
        <w:tc>
          <w:tcPr>
            <w:tcW w:type="dxa" w:w="27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Anti-stringing tune</w:t>
            </w:r>
          </w:p>
        </w:tc>
        <w:tc>
          <w:tcPr>
            <w:tcW w:type="dxa" w:w="24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Z-hop 0.4 mm (auto-lift); retract 1.0 mm at 30 / 25 mm/s; wipe on</w:t>
            </w:r>
          </w:p>
        </w:tc>
        <w:tc>
          <w:tcPr>
            <w:tcW w:type="dxa" w:w="42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Added after a first print came out stringy with streaks along the walls on dry filament. The Z-hop lifts the nozzle clear of printed walls on travel (that fixes the streaks); the faster retraction stops the soft TPU oozing.</w:t>
            </w:r>
          </w:p>
        </w:tc>
      </w:tr>
      <w:tr>
        <w:tc>
          <w:tcPr>
            <w:tcW w:type="dxa" w:w="27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Default acceleration</w:t>
            </w:r>
          </w:p>
        </w:tc>
        <w:tc>
          <w:tcPr>
            <w:tcW w:type="dxa" w:w="24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3000 mm/s² (stock is 10000)</w:t>
            </w:r>
          </w:p>
        </w:tc>
        <w:tc>
          <w:tcPr>
            <w:tcW w:type="dxa" w:w="42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Soft TPU lags under high acceleration; lower acceleration keeps extrusion consistent.</w:t>
            </w:r>
          </w:p>
        </w:tc>
      </w:tr>
      <w:tr>
        <w:tc>
          <w:tcPr>
            <w:tcW w:type="dxa" w:w="27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Sparse infill</w:t>
            </w:r>
          </w:p>
        </w:tc>
        <w:tc>
          <w:tcPr>
            <w:tcW w:type="dxa" w:w="24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100 %, zig-zag</w:t>
            </w:r>
          </w:p>
        </w:tc>
        <w:tc>
          <w:tcPr>
            <w:tcW w:type="dxa" w:w="42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Matches the FEA assumption of fully dense walls. (Zig-zag is Bambu Studio’s serialized name for the rectilinear pattern; the plain word is rejected at import.)</w:t>
            </w:r>
          </w:p>
        </w:tc>
      </w:tr>
      <w:tr>
        <w:tc>
          <w:tcPr>
            <w:tcW w:type="dxa" w:w="27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Spool path</w:t>
            </w:r>
          </w:p>
        </w:tc>
        <w:tc>
          <w:tcPr>
            <w:tcW w:type="dxa" w:w="24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External spool, AMS bypassed; dry 70 °C ≥ 8 h</w:t>
            </w:r>
          </w:p>
        </w:tc>
        <w:tc>
          <w:tcPr>
            <w:tcW w:type="dxa" w:w="42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Bambu rates 95A HF too soft for the AMS, so feed it straight from an external spool. Dry it first; TPU is hygroscopic.</w:t>
            </w:r>
          </w:p>
        </w:tc>
      </w:tr>
    </w:tbl>
    <w:p>
      <w:pPr>
        <w:spacing w:after="120"/>
      </w:pPr>
      <w:r>
        <w:t xml:space="preserve"/>
      </w:r>
    </w:p>
    <w:p>
      <w:pPr>
        <w:pStyle w:val="Heading2"/>
        <w:spacing w:after="140" w:before="280"/>
      </w:pPr>
      <w:r>
        <w:rPr>
          <w:rFonts w:ascii="Arial" w:cs="Arial" w:eastAsia="Arial" w:hAnsi="Arial"/>
          <w:b/>
          <w:bCs/>
          <w:color w:val="1A1A1A"/>
          <w:sz w:val="26"/>
          <w:szCs w:val="26"/>
        </w:rPr>
        <w:t xml:space="preserve">Design for additive manufacturing</w:t>
      </w:r>
    </w:p>
    <w:p>
      <w:pPr>
        <w:spacing w:after="100" w:before="0" w:line="300"/>
      </w:pPr>
      <w:r>
        <w:rPr>
          <w:rFonts w:ascii="Arial" w:cs="Arial" w:eastAsia="Arial" w:hAnsi="Arial"/>
          <w:b w:val="false"/>
          <w:bCs w:val="false"/>
          <w:i w:val="false"/>
          <w:iCs w:val="false"/>
          <w:color w:val="1A1A1A"/>
          <w:sz w:val="22"/>
          <w:szCs w:val="22"/>
        </w:rPr>
        <w:t xml:space="preserve">Every part is designed to standard FDM rules so it prints reliably on any 0.4 mm-nozzle FDM machine with no exotic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8C8C8" w:sz="4"/>
              <w:left w:val="single" w:color="C8C8C8" w:sz="4"/>
              <w:bottom w:val="single" w:color="C8C8C8" w:sz="4"/>
              <w:right w:val="single" w:color="C8C8C8" w:sz="4"/>
            </w:tcBorders>
            <w:shd w:fill="F4F4F2" w:val="clear"/>
            <w:tcMar>
              <w:top w:type="dxa" w:w="80"/>
              <w:left w:type="dxa" w:w="120"/>
              <w:bottom w:type="dxa" w:w="80"/>
              <w:right w:type="dxa" w:w="120"/>
            </w:tcMar>
          </w:tcPr>
          <w:p>
            <w:pPr>
              <w:spacing w:after="0" w:before="0" w:line="260"/>
            </w:pPr>
            <w:r>
              <w:rPr>
                <w:rFonts w:ascii="Arial" w:cs="Arial" w:eastAsia="Arial" w:hAnsi="Arial"/>
                <w:b/>
                <w:bCs/>
                <w:color w:val="1A1A1A"/>
                <w:sz w:val="18"/>
                <w:szCs w:val="18"/>
              </w:rPr>
              <w:t xml:space="preserve">FDM rule</w:t>
            </w:r>
          </w:p>
        </w:tc>
        <w:tc>
          <w:tcPr>
            <w:tcW w:type="dxa" w:w="2400"/>
            <w:tcBorders>
              <w:top w:val="single" w:color="C8C8C8" w:sz="4"/>
              <w:left w:val="single" w:color="C8C8C8" w:sz="4"/>
              <w:bottom w:val="single" w:color="C8C8C8" w:sz="4"/>
              <w:right w:val="single" w:color="C8C8C8" w:sz="4"/>
            </w:tcBorders>
            <w:shd w:fill="F4F4F2" w:val="clear"/>
            <w:tcMar>
              <w:top w:type="dxa" w:w="80"/>
              <w:left w:type="dxa" w:w="120"/>
              <w:bottom w:type="dxa" w:w="80"/>
              <w:right w:type="dxa" w:w="120"/>
            </w:tcMar>
          </w:tcPr>
          <w:p>
            <w:pPr>
              <w:spacing w:after="0" w:before="0" w:line="260"/>
            </w:pPr>
            <w:r>
              <w:rPr>
                <w:rFonts w:ascii="Arial" w:cs="Arial" w:eastAsia="Arial" w:hAnsi="Arial"/>
                <w:b/>
                <w:bCs/>
                <w:color w:val="1A1A1A"/>
                <w:sz w:val="18"/>
                <w:szCs w:val="18"/>
              </w:rPr>
              <w:t xml:space="preserve">Target</w:t>
            </w:r>
          </w:p>
        </w:tc>
        <w:tc>
          <w:tcPr>
            <w:tcW w:type="dxa" w:w="4560"/>
            <w:tcBorders>
              <w:top w:val="single" w:color="C8C8C8" w:sz="4"/>
              <w:left w:val="single" w:color="C8C8C8" w:sz="4"/>
              <w:bottom w:val="single" w:color="C8C8C8" w:sz="4"/>
              <w:right w:val="single" w:color="C8C8C8" w:sz="4"/>
            </w:tcBorders>
            <w:shd w:fill="F4F4F2" w:val="clear"/>
            <w:tcMar>
              <w:top w:type="dxa" w:w="80"/>
              <w:left w:type="dxa" w:w="120"/>
              <w:bottom w:type="dxa" w:w="80"/>
              <w:right w:type="dxa" w:w="120"/>
            </w:tcMar>
          </w:tcPr>
          <w:p>
            <w:pPr>
              <w:spacing w:after="0" w:before="0" w:line="260"/>
            </w:pPr>
            <w:r>
              <w:rPr>
                <w:rFonts w:ascii="Arial" w:cs="Arial" w:eastAsia="Arial" w:hAnsi="Arial"/>
                <w:b/>
                <w:bCs/>
                <w:color w:val="1A1A1A"/>
                <w:sz w:val="18"/>
                <w:szCs w:val="18"/>
              </w:rPr>
              <w:t xml:space="preserve">How this design meets it</w:t>
            </w:r>
          </w:p>
        </w:tc>
      </w:tr>
      <w:tr>
        <w:tc>
          <w:tcPr>
            <w:tcW w:type="dxa" w:w="24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Minimum wall thickness</w:t>
            </w:r>
          </w:p>
        </w:tc>
        <w:tc>
          <w:tcPr>
            <w:tcW w:type="dxa" w:w="24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0.8 mm (2 perimeters); 1.5 mm functional</w:t>
            </w:r>
          </w:p>
        </w:tc>
        <w:tc>
          <w:tcPr>
            <w:tcW w:type="dxa" w:w="45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Enclosure walls 3.0 mm; snap-clip arm 2.0 mm; axle-boss walls 2.0 mm. Finger contact beam 1.2 mm (3 full perimeters at 0.4 nozzle, FEA-chosen to spread pressure).</w:t>
            </w:r>
          </w:p>
        </w:tc>
      </w:tr>
      <w:tr>
        <w:tc>
          <w:tcPr>
            <w:tcW w:type="dxa" w:w="24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Overhang angle</w:t>
            </w:r>
          </w:p>
        </w:tc>
        <w:tc>
          <w:tcPr>
            <w:tcW w:type="dxa" w:w="24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45° from vertical without support</w:t>
            </w:r>
          </w:p>
        </w:tc>
        <w:tc>
          <w:tcPr>
            <w:tcW w:type="dxa" w:w="45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Boxy parts print flat. Gear teeth and rib structures are in-plane. Snap-pin barb is a narrowing cone. Cover clips print pointing up.</w:t>
            </w:r>
          </w:p>
        </w:tc>
      </w:tr>
      <w:tr>
        <w:tc>
          <w:tcPr>
            <w:tcW w:type="dxa" w:w="24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Hole diameter</w:t>
            </w:r>
          </w:p>
        </w:tc>
        <w:tc>
          <w:tcPr>
            <w:tcW w:type="dxa" w:w="24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1 mm vertical, 2 mm horizontal</w:t>
            </w:r>
          </w:p>
        </w:tc>
        <w:tc>
          <w:tcPr>
            <w:tcW w:type="dxa" w:w="45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Pivot bores Ø5.2; drain holes Ø5; all well above the FDM minimum.</w:t>
            </w:r>
          </w:p>
        </w:tc>
      </w:tr>
      <w:tr>
        <w:tc>
          <w:tcPr>
            <w:tcW w:type="dxa" w:w="24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Mating clearance</w:t>
            </w:r>
          </w:p>
        </w:tc>
        <w:tc>
          <w:tcPr>
            <w:tcW w:type="dxa" w:w="24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0.3 mm per side</w:t>
            </w:r>
          </w:p>
        </w:tc>
        <w:tc>
          <w:tcPr>
            <w:tcW w:type="dxa" w:w="45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PRINT_CLEAR = 0.3 on every pivot; SNAP_CLEAR = 0.35 on snap engagements.</w:t>
            </w:r>
          </w:p>
        </w:tc>
      </w:tr>
      <w:tr>
        <w:tc>
          <w:tcPr>
            <w:tcW w:type="dxa" w:w="24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Sharp edges</w:t>
            </w:r>
          </w:p>
        </w:tc>
        <w:tc>
          <w:tcPr>
            <w:tcW w:type="dxa" w:w="24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Fillet or chamfer</w:t>
            </w:r>
          </w:p>
        </w:tc>
        <w:tc>
          <w:tcPr>
            <w:tcW w:type="dxa" w:w="45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Fin Ray rib-cell corners filleted R0.8; tip and teeth rounded; base chamfered for elephant-foot relief.</w:t>
            </w:r>
          </w:p>
        </w:tc>
      </w:tr>
    </w:tbl>
    <w:p>
      <w:pPr>
        <w:spacing w:after="120"/>
      </w:pPr>
      <w:r>
        <w:t xml:space="preserve"/>
      </w:r>
    </w:p>
    <w:p>
      <w:r>
        <w:br w:type="page"/>
      </w:r>
    </w:p>
    <w:p>
      <w:pPr>
        <w:pStyle w:val="Heading1"/>
        <w:pBdr>
          <w:top w:val="none" w:color="FFFFFF" w:sz="0" w:space="0"/>
          <w:left w:val="none" w:color="FFFFFF" w:sz="0" w:space="0"/>
          <w:bottom w:val="single" w:color="F5D802" w:sz="18" w:space="4"/>
          <w:right w:val="none" w:color="FFFFFF" w:sz="0" w:space="0"/>
        </w:pBdr>
        <w:spacing w:after="200" w:before="320"/>
      </w:pPr>
      <w:r>
        <w:rPr>
          <w:rFonts w:ascii="Arial" w:cs="Arial" w:eastAsia="Arial" w:hAnsi="Arial"/>
          <w:b/>
          <w:bCs/>
          <w:color w:val="1A1A1A"/>
          <w:sz w:val="36"/>
          <w:szCs w:val="36"/>
        </w:rPr>
        <w:t xml:space="preserve">10. Running it underwater: the seawater audit</w:t>
      </w:r>
    </w:p>
    <w:p>
      <w:pPr>
        <w:spacing w:after="100" w:before="0" w:line="300"/>
      </w:pPr>
      <w:r>
        <w:rPr>
          <w:rFonts w:ascii="Arial" w:cs="Arial" w:eastAsia="Arial" w:hAnsi="Arial"/>
          <w:b w:val="false"/>
          <w:bCs w:val="false"/>
          <w:i w:val="false"/>
          <w:iCs w:val="false"/>
          <w:color w:val="1A1A1A"/>
          <w:sz w:val="22"/>
          <w:szCs w:val="22"/>
        </w:rPr>
        <w:t xml:space="preserve">Seawater is the hard case. Our gripper is designed flooded; there is nothing to seal inside it. So the audit is about polymer chemistry, no trapped air, net buoyancy, galvanic isolation, and creep at the load-bearing snaps.</w:t>
      </w:r>
    </w:p>
    <w:p>
      <w:pPr>
        <w:pStyle w:val="Heading2"/>
        <w:spacing w:after="140" w:before="280"/>
      </w:pPr>
      <w:r>
        <w:rPr>
          <w:rFonts w:ascii="Arial" w:cs="Arial" w:eastAsia="Arial" w:hAnsi="Arial"/>
          <w:b/>
          <w:bCs/>
          <w:color w:val="1A1A1A"/>
          <w:sz w:val="26"/>
          <w:szCs w:val="26"/>
        </w:rPr>
        <w:t xml:space="preserve">Audit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4960"/>
      </w:tblGrid>
      <w:tr>
        <w:tc>
          <w:tcPr>
            <w:tcW w:type="dxa" w:w="2700"/>
            <w:tcBorders>
              <w:top w:val="single" w:color="C8C8C8" w:sz="4"/>
              <w:left w:val="single" w:color="C8C8C8" w:sz="4"/>
              <w:bottom w:val="single" w:color="C8C8C8" w:sz="4"/>
              <w:right w:val="single" w:color="C8C8C8" w:sz="4"/>
            </w:tcBorders>
            <w:shd w:fill="F4F4F2" w:val="clear"/>
            <w:tcMar>
              <w:top w:type="dxa" w:w="80"/>
              <w:left w:type="dxa" w:w="120"/>
              <w:bottom w:type="dxa" w:w="80"/>
              <w:right w:type="dxa" w:w="120"/>
            </w:tcMar>
          </w:tcPr>
          <w:p>
            <w:pPr>
              <w:spacing w:after="0" w:before="0" w:line="260"/>
            </w:pPr>
            <w:r>
              <w:rPr>
                <w:rFonts w:ascii="Arial" w:cs="Arial" w:eastAsia="Arial" w:hAnsi="Arial"/>
                <w:b/>
                <w:bCs/>
                <w:color w:val="1A1A1A"/>
                <w:sz w:val="18"/>
                <w:szCs w:val="18"/>
              </w:rPr>
              <w:t xml:space="preserve">Check</w:t>
            </w:r>
          </w:p>
        </w:tc>
        <w:tc>
          <w:tcPr>
            <w:tcW w:type="dxa" w:w="1700"/>
            <w:tcBorders>
              <w:top w:val="single" w:color="C8C8C8" w:sz="4"/>
              <w:left w:val="single" w:color="C8C8C8" w:sz="4"/>
              <w:bottom w:val="single" w:color="C8C8C8" w:sz="4"/>
              <w:right w:val="single" w:color="C8C8C8" w:sz="4"/>
            </w:tcBorders>
            <w:shd w:fill="F4F4F2" w:val="clear"/>
            <w:tcMar>
              <w:top w:type="dxa" w:w="80"/>
              <w:left w:type="dxa" w:w="120"/>
              <w:bottom w:type="dxa" w:w="80"/>
              <w:right w:type="dxa" w:w="120"/>
            </w:tcMar>
          </w:tcPr>
          <w:p>
            <w:pPr>
              <w:spacing w:after="0" w:before="0" w:line="260"/>
            </w:pPr>
            <w:r>
              <w:rPr>
                <w:rFonts w:ascii="Arial" w:cs="Arial" w:eastAsia="Arial" w:hAnsi="Arial"/>
                <w:b/>
                <w:bCs/>
                <w:color w:val="1A1A1A"/>
                <w:sz w:val="18"/>
                <w:szCs w:val="18"/>
              </w:rPr>
              <w:t xml:space="preserve">Verdict</w:t>
            </w:r>
          </w:p>
        </w:tc>
        <w:tc>
          <w:tcPr>
            <w:tcW w:type="dxa" w:w="4960"/>
            <w:tcBorders>
              <w:top w:val="single" w:color="C8C8C8" w:sz="4"/>
              <w:left w:val="single" w:color="C8C8C8" w:sz="4"/>
              <w:bottom w:val="single" w:color="C8C8C8" w:sz="4"/>
              <w:right w:val="single" w:color="C8C8C8" w:sz="4"/>
            </w:tcBorders>
            <w:shd w:fill="F4F4F2" w:val="clear"/>
            <w:tcMar>
              <w:top w:type="dxa" w:w="80"/>
              <w:left w:type="dxa" w:w="120"/>
              <w:bottom w:type="dxa" w:w="80"/>
              <w:right w:type="dxa" w:w="120"/>
            </w:tcMar>
          </w:tcPr>
          <w:p>
            <w:pPr>
              <w:spacing w:after="0" w:before="0" w:line="260"/>
            </w:pPr>
            <w:r>
              <w:rPr>
                <w:rFonts w:ascii="Arial" w:cs="Arial" w:eastAsia="Arial" w:hAnsi="Arial"/>
                <w:b/>
                <w:bCs/>
                <w:color w:val="1A1A1A"/>
                <w:sz w:val="18"/>
                <w:szCs w:val="18"/>
              </w:rPr>
              <w:t xml:space="preserve">Evidence</w:t>
            </w:r>
          </w:p>
        </w:tc>
      </w:tr>
      <w:tr>
        <w:tc>
          <w:tcPr>
            <w:tcW w:type="dxa" w:w="27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Material selection for sustained seawater</w:t>
            </w:r>
          </w:p>
        </w:tc>
        <w:tc>
          <w:tcPr>
            <w:tcW w:type="dxa" w:w="17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PASS (with per-part selection)</w:t>
            </w:r>
          </w:p>
        </w:tc>
        <w:tc>
          <w:tcPr>
            <w:tcW w:type="dxa" w:w="49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PA12-GF rigid + PETG-HF finger pins + ether-TPU fingers is correct. PLA rejected (hydrolysis), untreated nylon rejected (swells), ester-TPU rejected (hydrolysis).</w:t>
            </w:r>
          </w:p>
        </w:tc>
      </w:tr>
      <w:tr>
        <w:tc>
          <w:tcPr>
            <w:tcW w:type="dxa" w:w="27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Creep at load-bearing snap interfaces</w:t>
            </w:r>
          </w:p>
        </w:tc>
        <w:tc>
          <w:tcPr>
            <w:tcW w:type="dxa" w:w="17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RESOLVED</w:t>
            </w:r>
          </w:p>
        </w:tc>
        <w:tc>
          <w:tcPr>
            <w:tcW w:type="dxa" w:w="49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Finger-pin lips snap into a rigid counterbore pocket (radial confinement) bearing pull-out on a solid shoulder. SNAP_BARB_SEAT 0.30 to 1.2 mm. Capture is geometric, not preload-dependent.</w:t>
            </w:r>
          </w:p>
        </w:tc>
      </w:tr>
      <w:tr>
        <w:tc>
          <w:tcPr>
            <w:tcW w:type="dxa" w:w="27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Flooded correctness (no trapped air)</w:t>
            </w:r>
          </w:p>
        </w:tc>
        <w:tc>
          <w:tcPr>
            <w:tcW w:type="dxa" w:w="17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PASS (1 mitigation)</w:t>
            </w:r>
          </w:p>
        </w:tc>
        <w:tc>
          <w:tcPr>
            <w:tcW w:type="dxa" w:w="49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Every part is a single solid with exactly 1 shell. 8 bottom drains, 4 side, 4 snap windows, 4 axle bores, journal-bore clearance, 3 cover vents. Floods in any orientation.</w:t>
            </w:r>
          </w:p>
        </w:tc>
      </w:tr>
      <w:tr>
        <w:tc>
          <w:tcPr>
            <w:tcW w:type="dxa" w:w="27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Net buoyancy</w:t>
            </w:r>
          </w:p>
        </w:tc>
        <w:tc>
          <w:tcPr>
            <w:tcW w:type="dxa" w:w="17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PASS</w:t>
            </w:r>
          </w:p>
        </w:tc>
        <w:tc>
          <w:tcPr>
            <w:tcW w:type="dxa" w:w="49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Solid volume 98.5 cm³, dry mass around 124 g. Flooded net ≈ +23 g in seawater (sinks gently, near-neutral).</w:t>
            </w:r>
          </w:p>
        </w:tc>
      </w:tr>
      <w:tr>
        <w:tc>
          <w:tcPr>
            <w:tcW w:type="dxa" w:w="27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Galvanic corrosion</w:t>
            </w:r>
          </w:p>
        </w:tc>
        <w:tc>
          <w:tcPr>
            <w:tcW w:type="dxa" w:w="17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PASS (trivial)</w:t>
            </w:r>
          </w:p>
        </w:tc>
        <w:tc>
          <w:tcPr>
            <w:tcW w:type="dxa" w:w="49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Zero metal in the gripper. All 8 pins and the input pinion shaft are printed; cover snaps; no screws, no nuts.</w:t>
            </w:r>
          </w:p>
        </w:tc>
      </w:tr>
      <w:tr>
        <w:tc>
          <w:tcPr>
            <w:tcW w:type="dxa" w:w="27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Drive coupler and actuator</w:t>
            </w:r>
          </w:p>
        </w:tc>
        <w:tc>
          <w:tcPr>
            <w:tcW w:type="dxa" w:w="17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SELECTED</w:t>
            </w:r>
          </w:p>
        </w:tc>
        <w:tc>
          <w:tcPr>
            <w:tcW w:type="dxa" w:w="49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Bottom D-flat coupler drives a smart serial-bus servo or the magnetic-coupling pod fallback. Current limit set to T_safe in firmware.</w:t>
            </w:r>
          </w:p>
        </w:tc>
      </w:tr>
    </w:tbl>
    <w:p>
      <w:pPr>
        <w:spacing w:after="160"/>
      </w:pPr>
      <w:r>
        <w:t xml:space="preserve"/>
      </w:r>
    </w:p>
    <w:p>
      <w:pPr>
        <w:pStyle w:val="Heading2"/>
        <w:spacing w:after="140" w:before="280"/>
      </w:pPr>
      <w:r>
        <w:rPr>
          <w:rFonts w:ascii="Arial" w:cs="Arial" w:eastAsia="Arial" w:hAnsi="Arial"/>
          <w:b/>
          <w:bCs/>
          <w:color w:val="1A1A1A"/>
          <w:sz w:val="26"/>
          <w:szCs w:val="26"/>
        </w:rPr>
        <w:t xml:space="preserve">What the water actually does to the finger: the 3D crush FEA</w:t>
      </w:r>
    </w:p>
    <w:p>
      <w:pPr>
        <w:spacing w:after="100" w:before="0" w:line="300"/>
      </w:pPr>
      <w:r>
        <w:rPr>
          <w:rFonts w:ascii="Arial" w:cs="Arial" w:eastAsia="Arial" w:hAnsi="Arial"/>
          <w:b w:val="false"/>
          <w:bCs w:val="false"/>
          <w:i w:val="false"/>
          <w:iCs w:val="false"/>
          <w:color w:val="1A1A1A"/>
          <w:sz w:val="22"/>
          <w:szCs w:val="22"/>
        </w:rPr>
        <w:t xml:space="preserve">The audit above settles the chemistry, the buoyancy, and the flooded geometry. We also ran the finger through a full three-dimensional pressure FEA to answer the blunt question a judge always asks: does the water itself crush it? The answer splits cleanly on one variable — whether the Fin Ray cells flood.</w:t>
      </w:r>
    </w:p>
    <w:p>
      <w:pPr>
        <w:spacing w:after="100" w:before="0" w:line="300"/>
      </w:pPr>
      <w:r>
        <w:rPr>
          <w:rFonts w:ascii="Arial" w:cs="Arial" w:eastAsia="Arial" w:hAnsi="Arial"/>
          <w:b w:val="false"/>
          <w:bCs w:val="false"/>
          <w:i w:val="false"/>
          <w:iCs w:val="false"/>
          <w:color w:val="1A1A1A"/>
          <w:sz w:val="22"/>
          <w:szCs w:val="22"/>
        </w:rPr>
        <w:t xml:space="preserve">Flooded, the finger is fine at any practical depth. Water presses on every wetted surface at once, inside the cells and outside the skin, so the stress state is pure hydrostatic compression and the von Mises, shape-changing stress is essentially zero. The whole finger shrinks uniformly — about 1 % in linear size at 100 metres — without distorting. There is no depth in the archaeological range where a flooded finger is structurally at risk.</w:t>
      </w:r>
    </w:p>
    <w:p>
      <w:pPr>
        <w:spacing w:after="100" w:before="0" w:line="300"/>
      </w:pPr>
      <w:r>
        <w:rPr>
          <w:rFonts w:ascii="Arial" w:cs="Arial" w:eastAsia="Arial" w:hAnsi="Arial"/>
          <w:b w:val="false"/>
          <w:bCs w:val="false"/>
          <w:i w:val="false"/>
          <w:iCs w:val="false"/>
          <w:color w:val="1A1A1A"/>
          <w:sz w:val="22"/>
          <w:szCs w:val="22"/>
        </w:rPr>
        <w:t xml:space="preserve">Trapped air is the dangerous case, and it is dangerous from shallow water. If the cells fail to flood and hold air at surface pressure, the depth pressure becomes a real mechanical load. The 3-D solve shows peak von Mises climbing to about 3.8 MPa at 30 metres and 12.6 MPa at 100 metres, and — more tellingly — the contact face sags by more than the finger’s own thickness even at shallow depth, so the wrap is geometrically wrecked long before the material yields. The material itself yields beyond about 177 metres. This corrected an earlier two-dimensional estimate that read far lower: the 2-D model held the through-thickness strain at zero and hid the dominant collapse mode.</w:t>
      </w:r>
    </w:p>
    <w:p>
      <w:pPr>
        <w:spacing w:after="100" w:before="0" w:line="300"/>
      </w:pPr>
      <w:r>
        <w:rPr>
          <w:rFonts w:ascii="Arial" w:cs="Arial" w:eastAsia="Arial" w:hAnsi="Arial"/>
          <w:b w:val="false"/>
          <w:bCs w:val="false"/>
          <w:i w:val="false"/>
          <w:iCs w:val="false"/>
          <w:color w:val="1A1A1A"/>
          <w:sz w:val="22"/>
          <w:szCs w:val="22"/>
        </w:rPr>
        <w:t xml:space="preserve">The design consequence is a procedure, not a redesign. Submerge the gripper fingers-down, let it soak for about thirty seconds, and cycle it open and closed once underwater to purge any trapped bubble. Because every part is a single solid with one shell and the cells drain through open channels, flooding is reliable — but it is a pre-dive step that matters from depth zero, not only on deep dives.</w:t>
      </w:r>
    </w:p>
    <w:p>
      <w:pPr>
        <w:spacing w:after="100" w:before="0" w:line="300"/>
      </w:pPr>
      <w:r>
        <w:rPr>
          <w:rFonts w:ascii="Arial" w:cs="Arial" w:eastAsia="Arial" w:hAnsi="Arial"/>
          <w:b w:val="false"/>
          <w:bCs w:val="false"/>
          <w:i w:val="false"/>
          <w:iCs w:val="false"/>
          <w:color w:val="1A1A1A"/>
          <w:sz w:val="22"/>
          <w:szCs w:val="22"/>
        </w:rPr>
        <w:t xml:space="preserve">One detail carries over from the filament switch. The crush von Mises field is load-controlled, so it is independent of the finger’s stiffness — the stress numbers above are identical to the earlier eSUN run. What the softer measured modulus changes is the displacement, which is roughly five times larger, and, through the measured 22.3 MPa through-Z strength, the material-yield depth, which moves from about 199 m to about 177 m.</w:t>
      </w:r>
    </w:p>
    <w:p>
      <w:pPr>
        <w:pStyle w:val="Heading2"/>
        <w:spacing w:after="140" w:before="280"/>
      </w:pPr>
      <w:r>
        <w:rPr>
          <w:rFonts w:ascii="Arial" w:cs="Arial" w:eastAsia="Arial" w:hAnsi="Arial"/>
          <w:b/>
          <w:bCs/>
          <w:color w:val="1A1A1A"/>
          <w:sz w:val="26"/>
          <w:szCs w:val="26"/>
        </w:rPr>
        <w:t xml:space="preserve">Patrick Morrison's checklist</w:t>
      </w:r>
    </w:p>
    <w:p>
      <w:pPr>
        <w:spacing w:after="100" w:before="0" w:line="300"/>
      </w:pPr>
      <w:r>
        <w:rPr>
          <w:rFonts w:ascii="Arial" w:cs="Arial" w:eastAsia="Arial" w:hAnsi="Arial"/>
          <w:b w:val="false"/>
          <w:bCs w:val="false"/>
          <w:i w:val="false"/>
          <w:iCs w:val="false"/>
          <w:color w:val="1A1A1A"/>
          <w:sz w:val="22"/>
          <w:szCs w:val="22"/>
        </w:rPr>
        <w:t xml:space="preserve">Five points from the WA Shipwrecks Museum site visit map directly onto our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c>
          <w:tcPr>
            <w:tcW w:type="dxa" w:w="3700"/>
            <w:tcBorders>
              <w:top w:val="single" w:color="C8C8C8" w:sz="4"/>
              <w:left w:val="single" w:color="C8C8C8" w:sz="4"/>
              <w:bottom w:val="single" w:color="C8C8C8" w:sz="4"/>
              <w:right w:val="single" w:color="C8C8C8" w:sz="4"/>
            </w:tcBorders>
            <w:shd w:fill="F4F4F2" w:val="clear"/>
            <w:tcMar>
              <w:top w:type="dxa" w:w="80"/>
              <w:left w:type="dxa" w:w="120"/>
              <w:bottom w:type="dxa" w:w="80"/>
              <w:right w:type="dxa" w:w="120"/>
            </w:tcMar>
          </w:tcPr>
          <w:p>
            <w:pPr>
              <w:spacing w:after="0" w:before="0" w:line="260"/>
            </w:pPr>
            <w:r>
              <w:rPr>
                <w:rFonts w:ascii="Arial" w:cs="Arial" w:eastAsia="Arial" w:hAnsi="Arial"/>
                <w:b/>
                <w:bCs/>
                <w:color w:val="1A1A1A"/>
                <w:sz w:val="18"/>
                <w:szCs w:val="18"/>
              </w:rPr>
              <w:t xml:space="preserve">Patrick's note</w:t>
            </w:r>
          </w:p>
        </w:tc>
        <w:tc>
          <w:tcPr>
            <w:tcW w:type="dxa" w:w="5660"/>
            <w:tcBorders>
              <w:top w:val="single" w:color="C8C8C8" w:sz="4"/>
              <w:left w:val="single" w:color="C8C8C8" w:sz="4"/>
              <w:bottom w:val="single" w:color="C8C8C8" w:sz="4"/>
              <w:right w:val="single" w:color="C8C8C8" w:sz="4"/>
            </w:tcBorders>
            <w:shd w:fill="F4F4F2" w:val="clear"/>
            <w:tcMar>
              <w:top w:type="dxa" w:w="80"/>
              <w:left w:type="dxa" w:w="120"/>
              <w:bottom w:type="dxa" w:w="80"/>
              <w:right w:type="dxa" w:w="120"/>
            </w:tcMar>
          </w:tcPr>
          <w:p>
            <w:pPr>
              <w:spacing w:after="0" w:before="0" w:line="260"/>
            </w:pPr>
            <w:r>
              <w:rPr>
                <w:rFonts w:ascii="Arial" w:cs="Arial" w:eastAsia="Arial" w:hAnsi="Arial"/>
                <w:b/>
                <w:bCs/>
                <w:color w:val="1A1A1A"/>
                <w:sz w:val="18"/>
                <w:szCs w:val="18"/>
              </w:rPr>
              <w:t xml:space="preserve">What we do</w:t>
            </w:r>
          </w:p>
        </w:tc>
      </w:tr>
      <w:tr>
        <w:tc>
          <w:tcPr>
            <w:tcW w:type="dxa" w:w="37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Fail gripping, not releasing.</w:t>
            </w:r>
          </w:p>
        </w:tc>
        <w:tc>
          <w:tcPr>
            <w:tcW w:type="dxa" w:w="56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Back-drivable chain means an unpowered servo releases. We add a holding-current threshold in firmware so the controller actively holds at the last commanded force. This is on the safety-features roadmap, surfaced explicitly.</w:t>
            </w:r>
          </w:p>
        </w:tc>
      </w:tr>
      <w:tr>
        <w:tc>
          <w:tcPr>
            <w:tcW w:type="dxa" w:w="37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Foam sensors are a red flag at depth (air pockets compress).</w:t>
            </w:r>
          </w:p>
        </w:tc>
        <w:tc>
          <w:tcPr>
            <w:tcW w:type="dxa" w:w="56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Tim MacDonald's oil-fill trick: clear garden hose with non-conductive oil around the sensor circuitry as a cheap pressure boundary. Plus the David Howard ambient-subtraction fix in code.</w:t>
            </w:r>
          </w:p>
        </w:tc>
      </w:tr>
      <w:tr>
        <w:tc>
          <w:tcPr>
            <w:tcW w:type="dxa" w:w="37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Marine grade stainless for any metal; epoxy coat prints.</w:t>
            </w:r>
          </w:p>
        </w:tc>
        <w:tc>
          <w:tcPr>
            <w:tcW w:type="dxa" w:w="56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Zero metal in the gripper. Epoxy coat (E6000 or marine epoxy) recommended on printed surfaces for the 1:1 production version.</w:t>
            </w:r>
          </w:p>
        </w:tc>
      </w:tr>
      <w:tr>
        <w:tc>
          <w:tcPr>
            <w:tcW w:type="dxa" w:w="37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Wet connects (Blue Robotics style) for ROV interface.</w:t>
            </w:r>
          </w:p>
        </w:tc>
        <w:tc>
          <w:tcPr>
            <w:tcW w:type="dxa" w:w="56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Bolt-on M4 flange with adapter library (§12); wet connect terminates the umbilical at the ROV, not at the gripper.</w:t>
            </w:r>
          </w:p>
        </w:tc>
      </w:tr>
      <w:tr>
        <w:tc>
          <w:tcPr>
            <w:tcW w:type="dxa" w:w="37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Accept internal flooding, design around it.</w:t>
            </w:r>
          </w:p>
        </w:tc>
        <w:tc>
          <w:tcPr>
            <w:tcW w:type="dxa" w:w="56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The gripper is fully flooded by design. There is no sealed cavity to crush.</w:t>
            </w:r>
          </w:p>
        </w:tc>
      </w:tr>
    </w:tbl>
    <w:p>
      <w:pPr>
        <w:spacing w:after="160"/>
      </w:pPr>
      <w:r>
        <w:t xml:space="preserve"/>
      </w:r>
    </w:p>
    <w:p>
      <w:pPr>
        <w:pStyle w:val="Heading2"/>
        <w:spacing w:after="140" w:before="280"/>
      </w:pPr>
      <w:r>
        <w:rPr>
          <w:rFonts w:ascii="Arial" w:cs="Arial" w:eastAsia="Arial" w:hAnsi="Arial"/>
          <w:b/>
          <w:bCs/>
          <w:color w:val="1A1A1A"/>
          <w:sz w:val="26"/>
          <w:szCs w:val="26"/>
        </w:rPr>
        <w:t xml:space="preserve">Pre-dive and post-dive checklist</w:t>
      </w:r>
    </w:p>
    <w:p>
      <w:pPr>
        <w:spacing w:after="100" w:before="0" w:line="300"/>
      </w:pPr>
      <w:r>
        <w:rPr>
          <w:rFonts w:ascii="Arial" w:cs="Arial" w:eastAsia="Arial" w:hAnsi="Arial"/>
          <w:b w:val="false"/>
          <w:bCs w:val="false"/>
          <w:i w:val="false"/>
          <w:iCs w:val="false"/>
          <w:color w:val="1A1A1A"/>
          <w:sz w:val="22"/>
          <w:szCs w:val="22"/>
        </w:rPr>
        <w:t xml:space="preserve">Pre-dive: confirm material (no PLA, no ester-TPU, no unfilled nylon); confirm snap pins meet geometric capture; tug-test every pin and the cover; confirm drains and slots and windows are clear and the cavity floods in your dive orientation; cycle open and close in air; confirm the actuator is sealed and rated for depth; verify buoyancy trim with the actuator fitted.</w:t>
      </w:r>
    </w:p>
    <w:p>
      <w:pPr>
        <w:spacing w:after="100" w:before="0" w:line="300"/>
      </w:pPr>
      <w:r>
        <w:rPr>
          <w:rFonts w:ascii="Arial" w:cs="Arial" w:eastAsia="Arial" w:hAnsi="Arial"/>
          <w:b w:val="false"/>
          <w:bCs w:val="false"/>
          <w:i w:val="false"/>
          <w:iCs w:val="false"/>
          <w:color w:val="1A1A1A"/>
          <w:sz w:val="22"/>
          <w:szCs w:val="22"/>
        </w:rPr>
        <w:t xml:space="preserve">Post-dive: rinse thoroughly with fresh water (salt crystallises and abrades); cycle to flush grit; inspect teeth and pins for wear, the TPU for any swelling; inspect every snap pin and the cover clips for engagement; replace any pins that have loosened.</w:t>
      </w:r>
    </w:p>
    <w:p>
      <w:r>
        <w:br w:type="page"/>
      </w:r>
    </w:p>
    <w:p>
      <w:pPr>
        <w:pStyle w:val="Heading1"/>
        <w:pBdr>
          <w:top w:val="none" w:color="FFFFFF" w:sz="0" w:space="0"/>
          <w:left w:val="none" w:color="FFFFFF" w:sz="0" w:space="0"/>
          <w:bottom w:val="single" w:color="F5D802" w:sz="18" w:space="4"/>
          <w:right w:val="none" w:color="FFFFFF" w:sz="0" w:space="0"/>
        </w:pBdr>
        <w:spacing w:after="200" w:before="320"/>
      </w:pPr>
      <w:r>
        <w:rPr>
          <w:rFonts w:ascii="Arial" w:cs="Arial" w:eastAsia="Arial" w:hAnsi="Arial"/>
          <w:b/>
          <w:bCs/>
          <w:color w:val="1A1A1A"/>
          <w:sz w:val="36"/>
          <w:szCs w:val="36"/>
        </w:rPr>
        <w:t xml:space="preserve">11. Assembly: 17 printed parts, zero hardware</w:t>
      </w:r>
    </w:p>
    <w:p>
      <w:pPr>
        <w:pBdr>
          <w:top w:val="none" w:color="FFFFFF" w:sz="0" w:space="0"/>
          <w:left w:val="single" w:color="E63027" w:sz="28" w:space="14"/>
          <w:bottom w:val="none" w:color="FFFFFF" w:sz="0" w:space="0"/>
          <w:right w:val="none" w:color="FFFFFF" w:sz="0" w:space="0"/>
        </w:pBdr>
        <w:spacing w:after="220" w:before="220" w:line="340"/>
        <w:ind w:left="360"/>
      </w:pPr>
      <w:r>
        <w:rPr>
          <w:rFonts w:ascii="Arial" w:cs="Arial" w:eastAsia="Arial" w:hAnsi="Arial"/>
          <w:i/>
          <w:iCs/>
          <w:color w:val="1A1A1A"/>
          <w:sz w:val="24"/>
          <w:szCs w:val="24"/>
        </w:rPr>
        <w:t xml:space="preserve">Every part of this gripper, including all pivot pins and the front cover, is 3D printed and snaps or slides together by hand. No screws, no nuts, no dowels, no bearings, no bushings, no glue, no Allen keys.</w:t>
      </w:r>
    </w:p>
    <w:p>
      <w:pPr>
        <w:pStyle w:val="Heading2"/>
        <w:spacing w:after="140" w:before="280"/>
      </w:pPr>
      <w:r>
        <w:rPr>
          <w:rFonts w:ascii="Arial" w:cs="Arial" w:eastAsia="Arial" w:hAnsi="Arial"/>
          <w:b/>
          <w:bCs/>
          <w:color w:val="1A1A1A"/>
          <w:sz w:val="26"/>
          <w:szCs w:val="26"/>
        </w:rPr>
        <w:t xml:space="preserve">Part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800"/>
        <w:gridCol w:w="5060"/>
      </w:tblGrid>
      <w:tr>
        <w:tc>
          <w:tcPr>
            <w:tcW w:type="dxa" w:w="3500"/>
            <w:tcBorders>
              <w:top w:val="single" w:color="C8C8C8" w:sz="4"/>
              <w:left w:val="single" w:color="C8C8C8" w:sz="4"/>
              <w:bottom w:val="single" w:color="C8C8C8" w:sz="4"/>
              <w:right w:val="single" w:color="C8C8C8" w:sz="4"/>
            </w:tcBorders>
            <w:shd w:fill="F4F4F2" w:val="clear"/>
            <w:tcMar>
              <w:top w:type="dxa" w:w="80"/>
              <w:left w:type="dxa" w:w="120"/>
              <w:bottom w:type="dxa" w:w="80"/>
              <w:right w:type="dxa" w:w="120"/>
            </w:tcMar>
          </w:tcPr>
          <w:p>
            <w:pPr>
              <w:spacing w:after="0" w:before="0" w:line="260"/>
            </w:pPr>
            <w:r>
              <w:rPr>
                <w:rFonts w:ascii="Arial" w:cs="Arial" w:eastAsia="Arial" w:hAnsi="Arial"/>
                <w:b/>
                <w:bCs/>
                <w:color w:val="1A1A1A"/>
                <w:sz w:val="18"/>
                <w:szCs w:val="18"/>
              </w:rPr>
              <w:t xml:space="preserve">Part label</w:t>
            </w:r>
          </w:p>
        </w:tc>
        <w:tc>
          <w:tcPr>
            <w:tcW w:type="dxa" w:w="800"/>
            <w:tcBorders>
              <w:top w:val="single" w:color="C8C8C8" w:sz="4"/>
              <w:left w:val="single" w:color="C8C8C8" w:sz="4"/>
              <w:bottom w:val="single" w:color="C8C8C8" w:sz="4"/>
              <w:right w:val="single" w:color="C8C8C8" w:sz="4"/>
            </w:tcBorders>
            <w:shd w:fill="F4F4F2" w:val="clear"/>
            <w:tcMar>
              <w:top w:type="dxa" w:w="80"/>
              <w:left w:type="dxa" w:w="120"/>
              <w:bottom w:type="dxa" w:w="80"/>
              <w:right w:type="dxa" w:w="120"/>
            </w:tcMar>
          </w:tcPr>
          <w:p>
            <w:pPr>
              <w:spacing w:after="0" w:before="0" w:line="260"/>
            </w:pPr>
            <w:r>
              <w:rPr>
                <w:rFonts w:ascii="Arial" w:cs="Arial" w:eastAsia="Arial" w:hAnsi="Arial"/>
                <w:b/>
                <w:bCs/>
                <w:color w:val="1A1A1A"/>
                <w:sz w:val="18"/>
                <w:szCs w:val="18"/>
              </w:rPr>
              <w:t xml:space="preserve">Qty</w:t>
            </w:r>
          </w:p>
        </w:tc>
        <w:tc>
          <w:tcPr>
            <w:tcW w:type="dxa" w:w="5060"/>
            <w:tcBorders>
              <w:top w:val="single" w:color="C8C8C8" w:sz="4"/>
              <w:left w:val="single" w:color="C8C8C8" w:sz="4"/>
              <w:bottom w:val="single" w:color="C8C8C8" w:sz="4"/>
              <w:right w:val="single" w:color="C8C8C8" w:sz="4"/>
            </w:tcBorders>
            <w:shd w:fill="F4F4F2" w:val="clear"/>
            <w:tcMar>
              <w:top w:type="dxa" w:w="80"/>
              <w:left w:type="dxa" w:w="120"/>
              <w:bottom w:type="dxa" w:w="80"/>
              <w:right w:type="dxa" w:w="120"/>
            </w:tcMar>
          </w:tcPr>
          <w:p>
            <w:pPr>
              <w:spacing w:after="0" w:before="0" w:line="260"/>
            </w:pPr>
            <w:r>
              <w:rPr>
                <w:rFonts w:ascii="Arial" w:cs="Arial" w:eastAsia="Arial" w:hAnsi="Arial"/>
                <w:b/>
                <w:bCs/>
                <w:color w:val="1A1A1A"/>
                <w:sz w:val="18"/>
                <w:szCs w:val="18"/>
              </w:rPr>
              <w:t xml:space="preserve">Role</w:t>
            </w:r>
          </w:p>
        </w:tc>
      </w:tr>
      <w:tr>
        <w:tc>
          <w:tcPr>
            <w:tcW w:type="dxa" w:w="35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enclosure</w:t>
            </w:r>
          </w:p>
        </w:tc>
        <w:tc>
          <w:tcPr>
            <w:tcW w:type="dxa" w:w="8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1</w:t>
            </w:r>
          </w:p>
        </w:tc>
        <w:tc>
          <w:tcPr>
            <w:tcW w:type="dxa" w:w="50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Flooded gearbox housing, open front, bottom mounting flange</w:t>
            </w:r>
          </w:p>
        </w:tc>
      </w:tr>
      <w:tr>
        <w:tc>
          <w:tcPr>
            <w:tcW w:type="dxa" w:w="35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front_cover</w:t>
            </w:r>
          </w:p>
        </w:tc>
        <w:tc>
          <w:tcPr>
            <w:tcW w:type="dxa" w:w="8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1</w:t>
            </w:r>
          </w:p>
        </w:tc>
        <w:tc>
          <w:tcPr>
            <w:tcW w:type="dxa" w:w="50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Snap-on cover with 4 integral cantilever clips</w:t>
            </w:r>
          </w:p>
        </w:tc>
      </w:tr>
      <w:tr>
        <w:tc>
          <w:tcPr>
            <w:tcW w:type="dxa" w:w="35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drive_arm_R</w:t>
            </w:r>
          </w:p>
        </w:tc>
        <w:tc>
          <w:tcPr>
            <w:tcW w:type="dxa" w:w="8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1</w:t>
            </w:r>
          </w:p>
        </w:tc>
        <w:tc>
          <w:tcPr>
            <w:tcW w:type="dxa" w:w="50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Right gear sector + crank arm</w:t>
            </w:r>
          </w:p>
        </w:tc>
      </w:tr>
      <w:tr>
        <w:tc>
          <w:tcPr>
            <w:tcW w:type="dxa" w:w="35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drive_arm_L</w:t>
            </w:r>
          </w:p>
        </w:tc>
        <w:tc>
          <w:tcPr>
            <w:tcW w:type="dxa" w:w="8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1</w:t>
            </w:r>
          </w:p>
        </w:tc>
        <w:tc>
          <w:tcPr>
            <w:tcW w:type="dxa" w:w="50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Left gear sector + crank arm + integral crown gear</w:t>
            </w:r>
          </w:p>
        </w:tc>
      </w:tr>
      <w:tr>
        <w:tc>
          <w:tcPr>
            <w:tcW w:type="dxa" w:w="35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input_pinion_shaft</w:t>
            </w:r>
          </w:p>
        </w:tc>
        <w:tc>
          <w:tcPr>
            <w:tcW w:type="dxa" w:w="8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1</w:t>
            </w:r>
          </w:p>
        </w:tc>
        <w:tc>
          <w:tcPr>
            <w:tcW w:type="dxa" w:w="50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Vertical shaft: pinion + shaft + collar + bottom D-coupler</w:t>
            </w:r>
          </w:p>
        </w:tc>
      </w:tr>
      <w:tr>
        <w:tc>
          <w:tcPr>
            <w:tcW w:type="dxa" w:w="35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follower_R / follower_L</w:t>
            </w:r>
          </w:p>
        </w:tc>
        <w:tc>
          <w:tcPr>
            <w:tcW w:type="dxa" w:w="8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2</w:t>
            </w:r>
          </w:p>
        </w:tc>
        <w:tc>
          <w:tcPr>
            <w:tcW w:type="dxa" w:w="50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Right and left B-to-D link bars</w:t>
            </w:r>
          </w:p>
        </w:tc>
      </w:tr>
      <w:tr>
        <w:tc>
          <w:tcPr>
            <w:tcW w:type="dxa" w:w="35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finger_R / finger_L</w:t>
            </w:r>
          </w:p>
        </w:tc>
        <w:tc>
          <w:tcPr>
            <w:tcW w:type="dxa" w:w="8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2</w:t>
            </w:r>
          </w:p>
        </w:tc>
        <w:tc>
          <w:tcPr>
            <w:tcW w:type="dxa" w:w="50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Fin Ray compliant jaws (TPU)</w:t>
            </w:r>
          </w:p>
        </w:tc>
      </w:tr>
      <w:tr>
        <w:tc>
          <w:tcPr>
            <w:tcW w:type="dxa" w:w="35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pin_A_R, pin_A_L, pin_B_R, pin_B_L</w:t>
            </w:r>
          </w:p>
        </w:tc>
        <w:tc>
          <w:tcPr>
            <w:tcW w:type="dxa" w:w="8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4</w:t>
            </w:r>
          </w:p>
        </w:tc>
        <w:tc>
          <w:tcPr>
            <w:tcW w:type="dxa" w:w="50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Axle dowels (drive-arm and follower pivots)</w:t>
            </w:r>
          </w:p>
        </w:tc>
      </w:tr>
      <w:tr>
        <w:tc>
          <w:tcPr>
            <w:tcW w:type="dxa" w:w="35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pin_C_R, pin_C_L, pin_D_R, pin_D_L</w:t>
            </w:r>
          </w:p>
        </w:tc>
        <w:tc>
          <w:tcPr>
            <w:tcW w:type="dxa" w:w="8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4</w:t>
            </w:r>
          </w:p>
        </w:tc>
        <w:tc>
          <w:tcPr>
            <w:tcW w:type="dxa" w:w="50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Finger snap pins (crank-coupler and follower-coupler joints)</w:t>
            </w:r>
          </w:p>
        </w:tc>
      </w:tr>
      <w:tr>
        <w:tc>
          <w:tcPr>
            <w:tcW w:type="dxa" w:w="35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Total</w:t>
            </w:r>
          </w:p>
        </w:tc>
        <w:tc>
          <w:tcPr>
            <w:tcW w:type="dxa" w:w="8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17</w:t>
            </w:r>
          </w:p>
        </w:tc>
        <w:tc>
          <w:tcPr>
            <w:tcW w:type="dxa" w:w="50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Zero purchased hardware</w:t>
            </w:r>
          </w:p>
        </w:tc>
      </w:tr>
    </w:tbl>
    <w:p>
      <w:pPr>
        <w:spacing w:after="160"/>
      </w:pPr>
      <w:r>
        <w:t xml:space="preserve"/>
      </w:r>
    </w:p>
    <w:p>
      <w:pPr>
        <w:pStyle w:val="Heading2"/>
        <w:spacing w:after="140" w:before="280"/>
      </w:pPr>
      <w:r>
        <w:rPr>
          <w:rFonts w:ascii="Arial" w:cs="Arial" w:eastAsia="Arial" w:hAnsi="Arial"/>
          <w:b/>
          <w:bCs/>
          <w:color w:val="1A1A1A"/>
          <w:sz w:val="26"/>
          <w:szCs w:val="26"/>
        </w:rPr>
        <w:t xml:space="preserve">Two pin families, two different mechanisms</w:t>
      </w:r>
    </w:p>
    <w:p>
      <w:pPr>
        <w:spacing w:after="100" w:before="0" w:line="300"/>
      </w:pPr>
      <w:r>
        <w:rPr>
          <w:rFonts w:ascii="Arial" w:cs="Arial" w:eastAsia="Arial" w:hAnsi="Arial"/>
          <w:b w:val="false"/>
          <w:bCs w:val="false"/>
          <w:i w:val="false"/>
          <w:iCs w:val="false"/>
          <w:color w:val="1A1A1A"/>
          <w:sz w:val="22"/>
          <w:szCs w:val="22"/>
        </w:rPr>
        <w:t xml:space="preserve">The 8 printed pins divide into two families with different retention mechanisms. Confusing them at assembly time will fail the build.</w:t>
      </w:r>
    </w:p>
    <w:p>
      <w:pPr>
        <w:pStyle w:val="Heading3"/>
        <w:spacing w:after="100" w:before="200"/>
      </w:pPr>
      <w:r>
        <w:rPr>
          <w:rFonts w:ascii="Arial" w:cs="Arial" w:eastAsia="Arial" w:hAnsi="Arial"/>
          <w:b/>
          <w:bCs/>
          <w:color w:val="E63027"/>
          <w:sz w:val="22"/>
          <w:szCs w:val="22"/>
        </w:rPr>
        <w:t xml:space="preserve">Axle dowels: pin_A_R, pin_A_L, pin_B_R, pin_B_L (4 pins)</w:t>
      </w:r>
    </w:p>
    <w:p>
      <w:pPr>
        <w:spacing w:after="100" w:before="0" w:line="300"/>
      </w:pPr>
      <w:r>
        <w:rPr>
          <w:rFonts w:ascii="Arial" w:cs="Arial" w:eastAsia="Arial" w:hAnsi="Arial"/>
          <w:b w:val="false"/>
          <w:bCs w:val="false"/>
          <w:i w:val="false"/>
          <w:iCs w:val="false"/>
          <w:color w:val="1A1A1A"/>
          <w:sz w:val="22"/>
          <w:szCs w:val="22"/>
        </w:rPr>
        <w:t xml:space="preserve">Plain headed cylinders with a narrow pilot tip at the far end. No split barb. Retention is purely geometric sandwich. The flat shank shoulder (r 2.3 mm) is wider than the stepped-bore flood hole in the back wall (r 1.5 mm), and bottoms on the rigid bore step. The head flange (r 3.9 mm) is wider than the cover-boss bore (r 2.6 mm); once the cover is snapped on, the head face seats against the cover-boss inner face and cannot lift past it. The dowel is trapped between two rigid shoulders with essentially zero axial slop. No click on installation; the dowel drops in head-up and seats when the pilot tip enters the back-wall bore. The cover snapping on completes the capture, so the axle dowels must be installed before the cover.</w:t>
      </w:r>
    </w:p>
    <w:p>
      <w:pPr>
        <w:pStyle w:val="Heading3"/>
        <w:spacing w:after="100" w:before="200"/>
      </w:pPr>
      <w:r>
        <w:rPr>
          <w:rFonts w:ascii="Arial" w:cs="Arial" w:eastAsia="Arial" w:hAnsi="Arial"/>
          <w:b/>
          <w:bCs/>
          <w:color w:val="E63027"/>
          <w:sz w:val="22"/>
          <w:szCs w:val="22"/>
        </w:rPr>
        <w:t xml:space="preserve">Finger snap pins: pin_C_R, pin_D_R, pin_C_L, pin_D_L (4 pins)</w:t>
      </w:r>
    </w:p>
    <w:p>
      <w:pPr>
        <w:spacing w:after="100" w:before="0" w:line="300"/>
      </w:pPr>
      <w:r>
        <w:rPr>
          <w:rFonts w:ascii="Arial" w:cs="Arial" w:eastAsia="Arial" w:hAnsi="Arial"/>
          <w:b w:val="false"/>
          <w:bCs w:val="false"/>
          <w:i w:val="false"/>
          <w:iCs w:val="false"/>
          <w:color w:val="1A1A1A"/>
          <w:sz w:val="22"/>
          <w:szCs w:val="22"/>
        </w:rPr>
        <w:t xml:space="preserve">Barbed split-tip pins. Head flange at the top (+Z, above-finger) end; the far end is a split barbed tip sawn by a printed '+' cross-slot into four springy jaws with a tapered lead-in and a locking lip. Retention is rigid counterbore capture. A confining pocket (SNAP_CB_R 3.65 mm radius, depth 1.3 mm) is cut into the exit face of each receiving eye: the crank eye for C_R and C_L, the follower eye for D_R and D_L. When the locking lip clears the bore and enters the pocket, the rigid pocket shoulder takes the axial pull-out load and the pocket wall radially confines the lip. Push the barb end straight down through the finger eye and the link eye; the tapered cone cams the four jaws inward; when the lip drops into the counterbore pocket there is a positive click. Tool-free removal: pinch the four split barb jaws inward with fingernails (compress the cross below bore diameter), and pull the pin straight out.</w:t>
      </w:r>
    </w:p>
    <w:p>
      <w:pPr>
        <w:pStyle w:val="Heading2"/>
        <w:spacing w:after="140" w:before="280"/>
      </w:pPr>
      <w:r>
        <w:rPr>
          <w:rFonts w:ascii="Arial" w:cs="Arial" w:eastAsia="Arial" w:hAnsi="Arial"/>
          <w:b/>
          <w:bCs/>
          <w:color w:val="1A1A1A"/>
          <w:sz w:val="26"/>
          <w:szCs w:val="26"/>
        </w:rPr>
        <w:t xml:space="preserve">Step 1: print preparation and fit test</w:t>
      </w:r>
    </w:p>
    <w:p>
      <w:pPr>
        <w:pStyle w:val="ListParagraph"/>
        <w:numPr>
          <w:ilvl w:val="0"/>
          <w:numId w:val="6"/>
        </w:numPr>
        <w:spacing w:after="40" w:before="40" w:line="280"/>
      </w:pPr>
      <w:r>
        <w:rPr>
          <w:rFonts w:ascii="Arial" w:cs="Arial" w:eastAsia="Arial" w:hAnsi="Arial"/>
          <w:b w:val="false"/>
          <w:bCs w:val="false"/>
          <w:i w:val="false"/>
          <w:iCs w:val="false"/>
          <w:color w:val="1A1A1A"/>
          <w:sz w:val="22"/>
          <w:szCs w:val="22"/>
        </w:rPr>
        <w:t xml:space="preserve">Confirm every part is in the correct material. Enclosure, cover, both drive arms, both followers, and input_pinion_shaft in PA12-GF (or PETG-HF if this is a test print). All four axle dowels (pin_A_R, pin_A_L, pin_B_R, pin_B_L) in PA12-GF. All four finger snap pins (pin_C_R, pin_D_R, pin_C_L, pin_D_L) in PETG-HF, in the final build, never PA12-GF. Both fingers in eSUN eTPU-95A. Never PLA, never ester-TPU, never TPU for any pin.</w:t>
      </w:r>
    </w:p>
    <w:p>
      <w:pPr>
        <w:pStyle w:val="ListParagraph"/>
        <w:numPr>
          <w:ilvl w:val="0"/>
          <w:numId w:val="6"/>
        </w:numPr>
        <w:spacing w:after="40" w:before="40" w:line="280"/>
      </w:pPr>
      <w:r>
        <w:rPr>
          <w:rFonts w:ascii="Arial" w:cs="Arial" w:eastAsia="Arial" w:hAnsi="Arial"/>
          <w:b w:val="false"/>
          <w:bCs w:val="false"/>
          <w:i w:val="false"/>
          <w:iCs w:val="false"/>
          <w:color w:val="1A1A1A"/>
          <w:sz w:val="22"/>
          <w:szCs w:val="22"/>
        </w:rPr>
        <w:t xml:space="preserve">Deburr every pivot bore by hand with a countersink bit: the four back-wall A and B sockets, the four C and D finger mount holes, the cover boss bores, and the two journal bores in the bottom wall. Knock the first-layer elephant-foot lip off each bore mouth so pins enter square.</w:t>
      </w:r>
    </w:p>
    <w:p>
      <w:pPr>
        <w:pStyle w:val="ListParagraph"/>
        <w:numPr>
          <w:ilvl w:val="0"/>
          <w:numId w:val="6"/>
        </w:numPr>
        <w:spacing w:after="40" w:before="40" w:line="280"/>
      </w:pPr>
      <w:r>
        <w:rPr>
          <w:rFonts w:ascii="Arial" w:cs="Arial" w:eastAsia="Arial" w:hAnsi="Arial"/>
          <w:b w:val="false"/>
          <w:bCs w:val="false"/>
          <w:i w:val="false"/>
          <w:iCs w:val="false"/>
          <w:color w:val="1A1A1A"/>
          <w:sz w:val="22"/>
          <w:szCs w:val="22"/>
        </w:rPr>
        <w:t xml:space="preserve">Clean the gear flanks on drive_arm_R and drive_arm_L: knock down layer ridges and any seam witness on the teeth.</w:t>
      </w:r>
    </w:p>
    <w:p>
      <w:pPr>
        <w:pStyle w:val="ListParagraph"/>
        <w:numPr>
          <w:ilvl w:val="0"/>
          <w:numId w:val="6"/>
        </w:numPr>
        <w:spacing w:after="40" w:before="40" w:line="280"/>
      </w:pPr>
      <w:r>
        <w:rPr>
          <w:rFonts w:ascii="Arial" w:cs="Arial" w:eastAsia="Arial" w:hAnsi="Arial"/>
          <w:b w:val="false"/>
          <w:bCs w:val="false"/>
          <w:i w:val="false"/>
          <w:iCs w:val="false"/>
          <w:color w:val="1A1A1A"/>
          <w:sz w:val="22"/>
          <w:szCs w:val="22"/>
        </w:rPr>
        <w:t xml:space="preserve">Fit-test one finger snap pin against a scrap counterbored bore coupon. Push it through; there must be an audible click as the lip drops into the counterbore pocket, and the head must be captive. Pinch and remove. Tune the geometry on the coupon before printing all four.</w:t>
      </w:r>
    </w:p>
    <w:p>
      <w:pPr>
        <w:pStyle w:val="ListParagraph"/>
        <w:numPr>
          <w:ilvl w:val="0"/>
          <w:numId w:val="6"/>
        </w:numPr>
        <w:spacing w:after="40" w:before="40" w:line="280"/>
      </w:pPr>
      <w:r>
        <w:rPr>
          <w:rFonts w:ascii="Arial" w:cs="Arial" w:eastAsia="Arial" w:hAnsi="Arial"/>
          <w:b w:val="false"/>
          <w:bCs w:val="false"/>
          <w:i w:val="false"/>
          <w:iCs w:val="false"/>
          <w:color w:val="1A1A1A"/>
          <w:sz w:val="22"/>
          <w:szCs w:val="22"/>
        </w:rPr>
        <w:t xml:space="preserve">Dry-snap the front cover once onto the bare enclosure to confirm all 4 cantilever clips click into their side-wall windows. Flex the 4 hooks outward and lift the cover off. This confirms clip geometry before the mechanism is trapped inside.</w:t>
      </w:r>
    </w:p>
    <w:p>
      <w:pPr>
        <w:pStyle w:val="Heading2"/>
        <w:spacing w:after="140" w:before="280"/>
      </w:pPr>
      <w:r>
        <w:rPr>
          <w:rFonts w:ascii="Arial" w:cs="Arial" w:eastAsia="Arial" w:hAnsi="Arial"/>
          <w:b/>
          <w:bCs/>
          <w:color w:val="1A1A1A"/>
          <w:sz w:val="26"/>
          <w:szCs w:val="26"/>
        </w:rPr>
        <w:t xml:space="preserve">Step 2: mesh the two drive arms with correct gear timing</w:t>
      </w:r>
    </w:p>
    <w:p>
      <w:pPr>
        <w:spacing w:after="100" w:before="0" w:line="300"/>
      </w:pPr>
      <w:r>
        <w:rPr>
          <w:rFonts w:ascii="Arial" w:cs="Arial" w:eastAsia="Arial" w:hAnsi="Arial"/>
          <w:b w:val="false"/>
          <w:bCs w:val="false"/>
          <w:i w:val="false"/>
          <w:iCs w:val="false"/>
          <w:color w:val="1A1A1A"/>
          <w:sz w:val="22"/>
          <w:szCs w:val="22"/>
        </w:rPr>
        <w:t xml:space="preserve">This is the one step that requires care. The two 16-tooth sector gears must interleave with a half-tooth offset so both jaws move symmetrically.</w:t>
      </w:r>
    </w:p>
    <w:p>
      <w:pPr>
        <w:pStyle w:val="ListParagraph"/>
        <w:numPr>
          <w:ilvl w:val="0"/>
          <w:numId w:val="7"/>
        </w:numPr>
        <w:spacing w:after="40" w:before="40" w:line="280"/>
      </w:pPr>
      <w:r>
        <w:rPr>
          <w:rFonts w:ascii="Arial" w:cs="Arial" w:eastAsia="Arial" w:hAnsi="Arial"/>
          <w:b w:val="false"/>
          <w:bCs w:val="false"/>
          <w:i w:val="false"/>
          <w:iCs w:val="false"/>
          <w:color w:val="1A1A1A"/>
          <w:sz w:val="22"/>
          <w:szCs w:val="22"/>
        </w:rPr>
        <w:t xml:space="preserve">Hold the pair at the closed pose: drive_arm_L crank points up and slightly inboard (about 102° from +X); drive_arm_R is its mirror.</w:t>
      </w:r>
    </w:p>
    <w:p>
      <w:pPr>
        <w:pStyle w:val="ListParagraph"/>
        <w:numPr>
          <w:ilvl w:val="0"/>
          <w:numId w:val="7"/>
        </w:numPr>
        <w:spacing w:after="40" w:before="40" w:line="280"/>
      </w:pPr>
      <w:r>
        <w:rPr>
          <w:rFonts w:ascii="Arial" w:cs="Arial" w:eastAsia="Arial" w:hAnsi="Arial"/>
          <w:b w:val="false"/>
          <w:bCs w:val="false"/>
          <w:i w:val="false"/>
          <w:iCs w:val="false"/>
          <w:color w:val="1A1A1A"/>
          <w:sz w:val="22"/>
          <w:szCs w:val="22"/>
        </w:rPr>
        <w:t xml:space="preserve">Bring the sectors together so their pitch circles touch on the centreline. Before teeth engage, rotate one arm by half a tooth: 360° ÷ 16 ÷ 2 = 11.25°. A tooth of one gear then drops into the valley of the other (teeth interleave, not tip-to-tip).</w:t>
      </w:r>
    </w:p>
    <w:p>
      <w:pPr>
        <w:pStyle w:val="ListParagraph"/>
        <w:numPr>
          <w:ilvl w:val="0"/>
          <w:numId w:val="7"/>
        </w:numPr>
        <w:spacing w:after="40" w:before="40" w:line="280"/>
      </w:pPr>
      <w:r>
        <w:rPr>
          <w:rFonts w:ascii="Arial" w:cs="Arial" w:eastAsia="Arial" w:hAnsi="Arial"/>
          <w:b w:val="false"/>
          <w:bCs w:val="false"/>
          <w:i w:val="false"/>
          <w:iCs w:val="false"/>
          <w:color w:val="1A1A1A"/>
          <w:sz w:val="22"/>
          <w:szCs w:val="22"/>
        </w:rPr>
        <w:t xml:space="preserve">The cranks should now be a true mirror pair. Check: at the closed pose the C-pin base gap is about 9.86 mm. If the jaws come out lopsided after full assembly, the mesh is off by one tooth. Separate, re-offset 11.25°, re-engage.</w:t>
      </w:r>
    </w:p>
    <w:p>
      <w:pPr>
        <w:pStyle w:val="Heading2"/>
        <w:spacing w:after="140" w:before="280"/>
      </w:pPr>
      <w:r>
        <w:rPr>
          <w:rFonts w:ascii="Arial" w:cs="Arial" w:eastAsia="Arial" w:hAnsi="Arial"/>
          <w:b/>
          <w:bCs/>
          <w:color w:val="1A1A1A"/>
          <w:sz w:val="26"/>
          <w:szCs w:val="26"/>
        </w:rPr>
        <w:t xml:space="preserve">Step 3: drop the arms and followers into the housing, then install the input shaft</w:t>
      </w:r>
    </w:p>
    <w:p>
      <w:pPr>
        <w:pStyle w:val="ListParagraph"/>
        <w:numPr>
          <w:ilvl w:val="0"/>
          <w:numId w:val="8"/>
        </w:numPr>
        <w:spacing w:after="40" w:before="40" w:line="280"/>
      </w:pPr>
      <w:r>
        <w:rPr>
          <w:rFonts w:ascii="Arial" w:cs="Arial" w:eastAsia="Arial" w:hAnsi="Arial"/>
          <w:b w:val="false"/>
          <w:bCs w:val="false"/>
          <w:i w:val="false"/>
          <w:iCs w:val="false"/>
          <w:color w:val="1A1A1A"/>
          <w:sz w:val="22"/>
          <w:szCs w:val="22"/>
        </w:rPr>
        <w:t xml:space="preserve">Seat drive_arm_R: lower it into the cavity so its A_R axle bore rests over the back-wall A_R boss. Located, not yet Z-captured.</w:t>
      </w:r>
    </w:p>
    <w:p>
      <w:pPr>
        <w:pStyle w:val="ListParagraph"/>
        <w:numPr>
          <w:ilvl w:val="0"/>
          <w:numId w:val="8"/>
        </w:numPr>
        <w:spacing w:after="40" w:before="40" w:line="280"/>
      </w:pPr>
      <w:r>
        <w:rPr>
          <w:rFonts w:ascii="Arial" w:cs="Arial" w:eastAsia="Arial" w:hAnsi="Arial"/>
          <w:b w:val="false"/>
          <w:bCs w:val="false"/>
          <w:i w:val="false"/>
          <w:iCs w:val="false"/>
          <w:color w:val="1A1A1A"/>
          <w:sz w:val="22"/>
          <w:szCs w:val="22"/>
        </w:rPr>
        <w:t xml:space="preserve">Seat drive_arm_L: lower it into the cavity so its A_L axle bore rests over the back-wall A_L boss. The crown gear face on drive_arm_L must face the bottom (−Y) toward the input-pinion position. Located, not yet Z-captured.</w:t>
      </w:r>
    </w:p>
    <w:p>
      <w:pPr>
        <w:pStyle w:val="ListParagraph"/>
        <w:numPr>
          <w:ilvl w:val="0"/>
          <w:numId w:val="8"/>
        </w:numPr>
        <w:spacing w:after="40" w:before="40" w:line="280"/>
      </w:pPr>
      <w:r>
        <w:rPr>
          <w:rFonts w:ascii="Arial" w:cs="Arial" w:eastAsia="Arial" w:hAnsi="Arial"/>
          <w:b w:val="false"/>
          <w:bCs w:val="false"/>
          <w:i w:val="false"/>
          <w:iCs w:val="false"/>
          <w:color w:val="1A1A1A"/>
          <w:sz w:val="22"/>
          <w:szCs w:val="22"/>
        </w:rPr>
        <w:t xml:space="preserve">Add follower_R: seat one eye over the B_R back-wall boss, the other eye aligned with the D_R end of the right crank.</w:t>
      </w:r>
    </w:p>
    <w:p>
      <w:pPr>
        <w:pStyle w:val="ListParagraph"/>
        <w:numPr>
          <w:ilvl w:val="0"/>
          <w:numId w:val="8"/>
        </w:numPr>
        <w:spacing w:after="40" w:before="40" w:line="280"/>
      </w:pPr>
      <w:r>
        <w:rPr>
          <w:rFonts w:ascii="Arial" w:cs="Arial" w:eastAsia="Arial" w:hAnsi="Arial"/>
          <w:b w:val="false"/>
          <w:bCs w:val="false"/>
          <w:i w:val="false"/>
          <w:iCs w:val="false"/>
          <w:color w:val="1A1A1A"/>
          <w:sz w:val="22"/>
          <w:szCs w:val="22"/>
        </w:rPr>
        <w:t xml:space="preserve">Add follower_L: same on the left. One eye on B_L boss, one on D_L.</w:t>
      </w:r>
    </w:p>
    <w:p>
      <w:pPr>
        <w:pStyle w:val="ListParagraph"/>
        <w:numPr>
          <w:ilvl w:val="0"/>
          <w:numId w:val="8"/>
        </w:numPr>
        <w:spacing w:after="40" w:before="40" w:line="280"/>
      </w:pPr>
      <w:r>
        <w:rPr>
          <w:rFonts w:ascii="Arial" w:cs="Arial" w:eastAsia="Arial" w:hAnsi="Arial"/>
          <w:b w:val="false"/>
          <w:bCs w:val="false"/>
          <w:i w:val="false"/>
          <w:iCs w:val="false"/>
          <w:color w:val="1A1A1A"/>
          <w:sz w:val="22"/>
          <w:szCs w:val="22"/>
        </w:rPr>
        <w:t xml:space="preserve">Recheck that the gear mesh is still correctly interleaved and both arms swing freely by hand.</w:t>
      </w:r>
    </w:p>
    <w:p>
      <w:pPr>
        <w:pStyle w:val="ListParagraph"/>
        <w:numPr>
          <w:ilvl w:val="0"/>
          <w:numId w:val="8"/>
        </w:numPr>
        <w:spacing w:after="40" w:before="40" w:line="280"/>
      </w:pPr>
      <w:r>
        <w:rPr>
          <w:rFonts w:ascii="Arial" w:cs="Arial" w:eastAsia="Arial" w:hAnsi="Arial"/>
          <w:b w:val="false"/>
          <w:bCs w:val="false"/>
          <w:i w:val="false"/>
          <w:iCs w:val="false"/>
          <w:color w:val="1A1A1A"/>
          <w:sz w:val="22"/>
          <w:szCs w:val="22"/>
        </w:rPr>
        <w:t xml:space="preserve">Drop input_pinion_shaft into the bottom-wall journal bores: lower the shaft down through the upper journal boss bore (2 mm bearing) and into the lower journal bore (7 mm bearing). The pinion end enters the cavity first and meshes the crown gear on drive_arm_L at the −Y azimuth. The integral collar (OD 5.8 mm) seats in the housing pocket between the two bore mouths, with about 0.25 mm axial play each side. The D-profile coupler end exits below the mounting flange. Rotate the shaft slightly by hand and both drive arms should move, confirming the crown/pinion stage is engaged.</w:t>
      </w:r>
    </w:p>
    <w:p>
      <w:pPr>
        <w:pStyle w:val="Heading2"/>
        <w:spacing w:after="140" w:before="280"/>
      </w:pPr>
      <w:r>
        <w:rPr>
          <w:rFonts w:ascii="Arial" w:cs="Arial" w:eastAsia="Arial" w:hAnsi="Arial"/>
          <w:b/>
          <w:bCs/>
          <w:color w:val="1A1A1A"/>
          <w:sz w:val="26"/>
          <w:szCs w:val="26"/>
        </w:rPr>
        <w:t xml:space="preserve">Step 4: install the 4 axle dowels before the cover</w:t>
      </w:r>
    </w:p>
    <w:p>
      <w:pPr>
        <w:pBdr>
          <w:top w:val="single" w:color="F5D802" w:sz="4" w:space="6"/>
          <w:left w:val="single" w:color="F5D802" w:sz="4" w:space="6"/>
          <w:bottom w:val="single" w:color="F5D802" w:sz="4" w:space="6"/>
          <w:right w:val="single" w:color="F5D802" w:sz="4" w:space="6"/>
        </w:pBdr>
        <w:shd w:fill="F4F4F2" w:val="clear"/>
        <w:spacing w:after="180" w:before="180" w:line="320"/>
        <w:ind w:left="180" w:right="180"/>
      </w:pPr>
      <w:r>
        <w:rPr>
          <w:rFonts w:ascii="Arial" w:cs="Arial" w:eastAsia="Arial" w:hAnsi="Arial"/>
          <w:b/>
          <w:bCs/>
          <w:color w:val="1A1A1A"/>
          <w:sz w:val="22"/>
          <w:szCs w:val="22"/>
        </w:rPr>
        <w:t xml:space="preserve">Critical order.</w:t>
      </w:r>
      <w:r>
        <w:rPr>
          <w:rFonts w:ascii="Arial" w:cs="Arial" w:eastAsia="Arial" w:hAnsi="Arial"/>
          <w:color w:val="1A1A1A"/>
          <w:sz w:val="22"/>
          <w:szCs w:val="22"/>
        </w:rPr>
        <w:t xml:space="preserve">   The axle dowels must go in now, before the cover is snapped on. The cover-boss face is their +Z stop. Without the cover they are uncaptured and can lift out.</w:t>
      </w:r>
    </w:p>
    <w:p>
      <w:pPr>
        <w:spacing w:after="100" w:before="0" w:line="300"/>
      </w:pPr>
      <w:r>
        <w:rPr>
          <w:rFonts w:ascii="Arial" w:cs="Arial" w:eastAsia="Arial" w:hAnsi="Arial"/>
          <w:b w:val="false"/>
          <w:bCs w:val="false"/>
          <w:i w:val="false"/>
          <w:iCs w:val="false"/>
          <w:color w:val="1A1A1A"/>
          <w:sz w:val="22"/>
          <w:szCs w:val="22"/>
        </w:rPr>
        <w:t xml:space="preserve">For each of A_R, A_L, B_R, B_L: orient the dowel head-up (head flange toward the open front/cover side). Drop it tip-first down through the front-open cavity, through the arm or follower bore, and into the back-wall socket. The pilot tip self-centres in the narrow flood hole; the flat shank shoulder seats on the rigid bore step. The head flange sits near the cavity top, waiting for the cover boss. The arm or follower must still pivot freely on its dowel.</w:t>
      </w:r>
    </w:p>
    <w:p>
      <w:pPr>
        <w:pStyle w:val="Heading2"/>
        <w:spacing w:after="140" w:before="280"/>
      </w:pPr>
      <w:r>
        <w:rPr>
          <w:rFonts w:ascii="Arial" w:cs="Arial" w:eastAsia="Arial" w:hAnsi="Arial"/>
          <w:b/>
          <w:bCs/>
          <w:color w:val="1A1A1A"/>
          <w:sz w:val="26"/>
          <w:szCs w:val="26"/>
        </w:rPr>
        <w:t xml:space="preserve">Step 5: snap the front cover on</w:t>
      </w:r>
    </w:p>
    <w:p>
      <w:pPr>
        <w:spacing w:after="100" w:before="0" w:line="300"/>
      </w:pPr>
      <w:r>
        <w:rPr>
          <w:rFonts w:ascii="Arial" w:cs="Arial" w:eastAsia="Arial" w:hAnsi="Arial"/>
          <w:b w:val="false"/>
          <w:bCs w:val="false"/>
          <w:i w:val="false"/>
          <w:iCs w:val="false"/>
          <w:color w:val="1A1A1A"/>
          <w:sz w:val="22"/>
          <w:szCs w:val="22"/>
        </w:rPr>
        <w:t xml:space="preserve">Align front_cover over the open front with the 4 hook clips facing the four side-wall windows (2 per long side). Push it straight on until all 4 cantilever clips click into their windows. The cover's inner-face bosses now cap all 4 axle-dowel heads; each dowel is sandwiched between the back-wall bore step and the cover boss and cannot fall out in either direction. No tools, no fasteners. Verify by tugging each axle-dowel head: it should have essentially no axial slop and refuse to pull out.</w:t>
      </w:r>
    </w:p>
    <w:p>
      <w:pPr>
        <w:pStyle w:val="Heading2"/>
        <w:spacing w:after="140" w:before="280"/>
      </w:pPr>
      <w:r>
        <w:rPr>
          <w:rFonts w:ascii="Arial" w:cs="Arial" w:eastAsia="Arial" w:hAnsi="Arial"/>
          <w:b/>
          <w:bCs/>
          <w:color w:val="1A1A1A"/>
          <w:sz w:val="26"/>
          <w:szCs w:val="26"/>
        </w:rPr>
        <w:t xml:space="preserve">Step 6: mount the Fin Ray fingers</w:t>
      </w:r>
    </w:p>
    <w:p>
      <w:pPr>
        <w:spacing w:after="100" w:before="0" w:line="300"/>
      </w:pPr>
      <w:r>
        <w:rPr>
          <w:rFonts w:ascii="Arial" w:cs="Arial" w:eastAsia="Arial" w:hAnsi="Arial"/>
          <w:b w:val="false"/>
          <w:bCs w:val="false"/>
          <w:i w:val="false"/>
          <w:iCs w:val="false"/>
          <w:color w:val="1A1A1A"/>
          <w:sz w:val="22"/>
          <w:szCs w:val="22"/>
        </w:rPr>
        <w:t xml:space="preserve">Place finger_R so its bracket eyes align with C_R (crank eye) and D_R (follower eye). Place finger_L on C_L and D_L. The fingers are a chiral pair; the ridged contact face must face inboard, toward the centreline. For each of C_R, D_R, C_L, D_L: push a finger snap pin (PETG-HF) straight down from above the finger, head flange on top. The barb traverses the finger eye and the link eye beneath it; the locking lip drops into the counterbore pocket cut into the exit face of that eye with a click. The head caps flush on top of the finger; the lip is now held by a rigid annular shoulder. Tug each pin head; it must hold.</w:t>
      </w:r>
    </w:p>
    <w:p>
      <w:pPr>
        <w:pStyle w:val="Heading2"/>
        <w:spacing w:after="140" w:before="280"/>
      </w:pPr>
      <w:r>
        <w:rPr>
          <w:rFonts w:ascii="Arial" w:cs="Arial" w:eastAsia="Arial" w:hAnsi="Arial"/>
          <w:b/>
          <w:bCs/>
          <w:color w:val="1A1A1A"/>
          <w:sz w:val="26"/>
          <w:szCs w:val="26"/>
        </w:rPr>
        <w:t xml:space="preserve">Step 7: function check</w:t>
      </w:r>
    </w:p>
    <w:p>
      <w:pPr>
        <w:spacing w:after="100" w:before="0" w:line="300"/>
      </w:pPr>
      <w:r>
        <w:rPr>
          <w:rFonts w:ascii="Arial" w:cs="Arial" w:eastAsia="Arial" w:hAnsi="Arial"/>
          <w:b w:val="false"/>
          <w:bCs w:val="false"/>
          <w:i w:val="false"/>
          <w:iCs w:val="false"/>
          <w:color w:val="1A1A1A"/>
          <w:sz w:val="22"/>
          <w:szCs w:val="22"/>
        </w:rPr>
        <w:t xml:space="preserve">Rotate the bottom D-coupler by hand. Both fingers should open and close symmetrically with smooth mesh, no binding, no lopsided travel. At full open the tip gap is about 123.8 mm; at closed it is about 9.86 mm. The fingers splay outward by about 18° to 20° as they open, giving a funnel-mouth catch. If the motion binds, separate and recheck the gear mesh (Step 2).</w:t>
      </w:r>
    </w:p>
    <w:p>
      <w:pPr>
        <w:pStyle w:val="Heading2"/>
        <w:spacing w:after="140" w:before="280"/>
      </w:pPr>
      <w:r>
        <w:rPr>
          <w:rFonts w:ascii="Arial" w:cs="Arial" w:eastAsia="Arial" w:hAnsi="Arial"/>
          <w:b/>
          <w:bCs/>
          <w:color w:val="1A1A1A"/>
          <w:sz w:val="26"/>
          <w:szCs w:val="26"/>
        </w:rPr>
        <w:t xml:space="preserve">Capture mechanisms, quantified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8C8C8" w:sz="4"/>
              <w:left w:val="single" w:color="C8C8C8" w:sz="4"/>
              <w:bottom w:val="single" w:color="C8C8C8" w:sz="4"/>
              <w:right w:val="single" w:color="C8C8C8" w:sz="4"/>
            </w:tcBorders>
            <w:shd w:fill="F4F4F2" w:val="clear"/>
            <w:tcMar>
              <w:top w:type="dxa" w:w="80"/>
              <w:left w:type="dxa" w:w="120"/>
              <w:bottom w:type="dxa" w:w="80"/>
              <w:right w:type="dxa" w:w="120"/>
            </w:tcMar>
          </w:tcPr>
          <w:p>
            <w:pPr>
              <w:spacing w:after="0" w:before="0" w:line="260"/>
            </w:pPr>
            <w:r>
              <w:rPr>
                <w:rFonts w:ascii="Arial" w:cs="Arial" w:eastAsia="Arial" w:hAnsi="Arial"/>
                <w:b/>
                <w:bCs/>
                <w:color w:val="1A1A1A"/>
                <w:sz w:val="18"/>
                <w:szCs w:val="18"/>
              </w:rPr>
              <w:t xml:space="preserve">Mechanism</w:t>
            </w:r>
          </w:p>
        </w:tc>
        <w:tc>
          <w:tcPr>
            <w:tcW w:type="dxa" w:w="6160"/>
            <w:tcBorders>
              <w:top w:val="single" w:color="C8C8C8" w:sz="4"/>
              <w:left w:val="single" w:color="C8C8C8" w:sz="4"/>
              <w:bottom w:val="single" w:color="C8C8C8" w:sz="4"/>
              <w:right w:val="single" w:color="C8C8C8" w:sz="4"/>
            </w:tcBorders>
            <w:shd w:fill="F4F4F2" w:val="clear"/>
            <w:tcMar>
              <w:top w:type="dxa" w:w="80"/>
              <w:left w:type="dxa" w:w="120"/>
              <w:bottom w:type="dxa" w:w="80"/>
              <w:right w:type="dxa" w:w="120"/>
            </w:tcMar>
          </w:tcPr>
          <w:p>
            <w:pPr>
              <w:spacing w:after="0" w:before="0" w:line="260"/>
            </w:pPr>
            <w:r>
              <w:rPr>
                <w:rFonts w:ascii="Arial" w:cs="Arial" w:eastAsia="Arial" w:hAnsi="Arial"/>
                <w:b/>
                <w:bCs/>
                <w:color w:val="1A1A1A"/>
                <w:sz w:val="18"/>
                <w:szCs w:val="18"/>
              </w:rPr>
              <w:t xml:space="preserve">Quantified capture</w:t>
            </w:r>
          </w:p>
        </w:tc>
      </w:tr>
      <w:tr>
        <w:tc>
          <w:tcPr>
            <w:tcW w:type="dxa" w:w="32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Finger-pin counterbore (C and D)</w:t>
            </w:r>
          </w:p>
        </w:tc>
        <w:tc>
          <w:tcPr>
            <w:tcW w:type="dxa" w:w="61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Lip r 3.20 vs bore r 2.60 = 0.60 mm radial catch past the bore wall. Rigid pocket shoulder 1.05 mm (axial pull-out bearing). Barb axial seat 1.20 mm past far face. Eye-boss confining ring wall 1.00 mm.</w:t>
            </w:r>
          </w:p>
        </w:tc>
      </w:tr>
      <w:tr>
        <w:tc>
          <w:tcPr>
            <w:tcW w:type="dxa" w:w="32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Axle-dowel sandwich (A and B pins)</w:t>
            </w:r>
          </w:p>
        </w:tc>
        <w:tc>
          <w:tcPr>
            <w:tcW w:type="dxa" w:w="61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−Z stop = flat shank shoulder 0.80 mm over the flood-hole step. +Z stop = head 1.30 mm over the cover-boss bore. Back boss Z(−2, 1) and cover boss Z(20, 22) trap the shank with 0.20 mm seat gap.</w:t>
            </w:r>
          </w:p>
        </w:tc>
      </w:tr>
      <w:tr>
        <w:tc>
          <w:tcPr>
            <w:tcW w:type="dxa" w:w="32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Cover snap clips</w:t>
            </w:r>
          </w:p>
        </w:tc>
        <w:tc>
          <w:tcPr>
            <w:tcW w:type="dxa" w:w="61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4 cantilever clips; hook reach 1.5 mm minus 0.35 clearance = 1.15 mm net engagement; arm thickness 2.0 mm; worst-tight strain 1.36 %, inside PA12-GF's 1.5 % allowable.</w:t>
            </w:r>
          </w:p>
        </w:tc>
      </w:tr>
      <w:tr>
        <w:tc>
          <w:tcPr>
            <w:tcW w:type="dxa" w:w="32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Input-shaft collar</w:t>
            </w:r>
          </w:p>
        </w:tc>
        <w:tc>
          <w:tcPr>
            <w:tcW w:type="dxa" w:w="61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Integral collar OD 5.8 mm trapped between upper and lower journal bore mouths. About 0.25 mm axial play each side; geometric capture, no preload.</w:t>
            </w:r>
          </w:p>
        </w:tc>
      </w:tr>
    </w:tbl>
    <w:p>
      <w:pPr>
        <w:spacing w:after="160"/>
      </w:pPr>
      <w:r>
        <w:t xml:space="preserve"/>
      </w:r>
    </w:p>
    <w:p>
      <w:pPr>
        <w:spacing w:after="100" w:before="0" w:line="300"/>
      </w:pPr>
      <w:r>
        <w:rPr>
          <w:rFonts w:ascii="Arial" w:cs="Arial" w:eastAsia="Arial" w:hAnsi="Arial"/>
          <w:b w:val="false"/>
          <w:bCs w:val="false"/>
          <w:i w:val="false"/>
          <w:iCs w:val="false"/>
          <w:color w:val="1A1A1A"/>
          <w:sz w:val="22"/>
          <w:szCs w:val="22"/>
        </w:rPr>
        <w:t xml:space="preserve">Every capture is geometric (held by a positive mechanical step in rigid material), not by elastic preload. That matters underwater because polymers creep under sustained load and water plasticises both PETG and nylon. A barb that relies on a sprung tip staying expanded eventually relaxes and releases; a barb that drops into a rigid counterbore pocket has nowhere to go. PA12-GF's low creep further reduces the chance of any pivot bore widening under sustained pivot load over months of immersion.</w:t>
      </w:r>
    </w:p>
    <w:p>
      <w:r>
        <w:br w:type="page"/>
      </w:r>
    </w:p>
    <w:p>
      <w:pPr>
        <w:pStyle w:val="Heading1"/>
        <w:pBdr>
          <w:top w:val="none" w:color="FFFFFF" w:sz="0" w:space="0"/>
          <w:left w:val="none" w:color="FFFFFF" w:sz="0" w:space="0"/>
          <w:bottom w:val="single" w:color="F5D802" w:sz="18" w:space="4"/>
          <w:right w:val="none" w:color="FFFFFF" w:sz="0" w:space="0"/>
        </w:pBdr>
        <w:spacing w:after="200" w:before="320"/>
      </w:pPr>
      <w:r>
        <w:rPr>
          <w:rFonts w:ascii="Arial" w:cs="Arial" w:eastAsia="Arial" w:hAnsi="Arial"/>
          <w:b/>
          <w:bCs/>
          <w:color w:val="1A1A1A"/>
          <w:sz w:val="36"/>
          <w:szCs w:val="36"/>
        </w:rPr>
        <w:t xml:space="preserve">12. ROV integration and mounting interfaces</w:t>
      </w:r>
    </w:p>
    <w:p>
      <w:pPr>
        <w:spacing w:after="100" w:before="0" w:line="300"/>
      </w:pPr>
      <w:r>
        <w:rPr>
          <w:rFonts w:ascii="Arial" w:cs="Arial" w:eastAsia="Arial" w:hAnsi="Arial"/>
          <w:b w:val="false"/>
          <w:bCs w:val="false"/>
          <w:i w:val="false"/>
          <w:iCs w:val="false"/>
          <w:color w:val="1A1A1A"/>
          <w:sz w:val="22"/>
          <w:szCs w:val="22"/>
        </w:rPr>
        <w:t xml:space="preserve">SoftSense is not a single-platform tool. The same gripper bolts onto whatever the operator already has, through a small library of parametric printed adapters that all share a common gripper-side mate.</w:t>
      </w:r>
    </w:p>
    <w:p>
      <w:pPr>
        <w:pStyle w:val="Heading2"/>
        <w:spacing w:after="140" w:before="280"/>
      </w:pPr>
      <w:r>
        <w:rPr>
          <w:rFonts w:ascii="Arial" w:cs="Arial" w:eastAsia="Arial" w:hAnsi="Arial"/>
          <w:b/>
          <w:bCs/>
          <w:color w:val="1A1A1A"/>
          <w:sz w:val="26"/>
          <w:szCs w:val="26"/>
        </w:rPr>
        <w:t xml:space="preserve">Common gripper-side mate</w:t>
      </w:r>
    </w:p>
    <w:p>
      <w:pPr>
        <w:spacing w:after="100" w:before="0" w:line="300"/>
      </w:pPr>
      <w:r>
        <w:rPr>
          <w:rFonts w:ascii="Arial" w:cs="Arial" w:eastAsia="Arial" w:hAnsi="Arial"/>
          <w:b w:val="false"/>
          <w:bCs w:val="false"/>
          <w:i w:val="false"/>
          <w:iCs w:val="false"/>
          <w:color w:val="1A1A1A"/>
          <w:sz w:val="22"/>
          <w:szCs w:val="22"/>
        </w:rPr>
        <w:t xml:space="preserve">The bottom mounting flange has 4× M4 clearance holes (Ø4.5) at (X, Z) coordinates (−38, 2), (38, 2), (−38, 18), (38, 18) on the Y = −25 face. That is a rectangular 76 × 16 mm pattern with centroid at (X = 0, Z = 10). The drive shaft exits the same face at (X = −12, Z = 10.52), 12 mm offset in X from the bolt centroid. Adapters must clear that bore (Ø ≥ 14 H7 to seat the lip seal). This is the single source of truth in motor/cad/adapters/_base.py.</w:t>
      </w:r>
    </w:p>
    <w:p>
      <w:pPr>
        <w:pStyle w:val="Heading2"/>
        <w:spacing w:after="140" w:before="280"/>
      </w:pPr>
      <w:r>
        <w:rPr>
          <w:rFonts w:ascii="Arial" w:cs="Arial" w:eastAsia="Arial" w:hAnsi="Arial"/>
          <w:b/>
          <w:bCs/>
          <w:color w:val="1A1A1A"/>
          <w:sz w:val="26"/>
          <w:szCs w:val="26"/>
        </w:rPr>
        <w:t xml:space="preserve">Adapters modelled</w:t>
      </w:r>
    </w:p>
    <w:p>
      <w:pPr>
        <w:spacing w:after="80" w:before="160"/>
        <w:jc w:val="center"/>
      </w:pPr>
      <w:r>
        <w:drawing>
          <wp:inline distT="0" distB="0" distL="0" distR="0">
            <wp:extent cx="32004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00400" cy="2400300"/>
                    </a:xfrm>
                    <a:prstGeom prst="rect">
                      <a:avLst/>
                    </a:prstGeom>
                  </pic:spPr>
                </pic:pic>
              </a:graphicData>
            </a:graphic>
          </wp:inline>
        </w:drawing>
      </w:r>
    </w:p>
    <w:p>
      <w:pPr>
        <w:spacing w:after="220" w:before="60"/>
        <w:jc w:val="center"/>
      </w:pPr>
      <w:r>
        <w:rPr>
          <w:rFonts w:ascii="Arial" w:cs="Arial" w:eastAsia="Arial" w:hAnsi="Arial"/>
          <w:i/>
          <w:iCs/>
          <w:color w:val="6B6B6B"/>
          <w:sz w:val="18"/>
          <w:szCs w:val="18"/>
        </w:rPr>
        <w:t xml:space="preserve">Figure 11.1   Reach Bravo 7 wrist adapter (RB-1054, Ø71 mm plate, 6× M6 + 2× Ø3 dowels). The adapter shown is the Fugro / Woodside reference target.</w:t>
      </w:r>
    </w:p>
    <w:p>
      <w:pPr>
        <w:spacing w:after="80" w:before="160"/>
        <w:jc w:val="center"/>
      </w:pPr>
      <w:r>
        <w:drawing>
          <wp:inline distT="0" distB="0" distL="0" distR="0">
            <wp:extent cx="32004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00400" cy="2400300"/>
                    </a:xfrm>
                    <a:prstGeom prst="rect">
                      <a:avLst/>
                    </a:prstGeom>
                  </pic:spPr>
                </pic:pic>
              </a:graphicData>
            </a:graphic>
          </wp:inline>
        </w:drawing>
      </w:r>
    </w:p>
    <w:p>
      <w:pPr>
        <w:spacing w:after="220" w:before="60"/>
        <w:jc w:val="center"/>
      </w:pPr>
      <w:r>
        <w:rPr>
          <w:rFonts w:ascii="Arial" w:cs="Arial" w:eastAsia="Arial" w:hAnsi="Arial"/>
          <w:i/>
          <w:iCs/>
          <w:color w:val="6B6B6B"/>
          <w:sz w:val="18"/>
          <w:szCs w:val="18"/>
        </w:rPr>
        <w:t xml:space="preserve">Figure 11.2   BlueROV2 bottom-Newton adapter, modelled to the published BR2 bolt pattern.</w:t>
      </w:r>
    </w:p>
    <w:p>
      <w:pPr>
        <w:spacing w:after="80" w:before="160"/>
        <w:jc w:val="center"/>
      </w:pPr>
      <w:r>
        <w:drawing>
          <wp:inline distT="0" distB="0" distL="0" distR="0">
            <wp:extent cx="32004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00400" cy="2400300"/>
                    </a:xfrm>
                    <a:prstGeom prst="rect">
                      <a:avLst/>
                    </a:prstGeom>
                  </pic:spPr>
                </pic:pic>
              </a:graphicData>
            </a:graphic>
          </wp:inline>
        </w:drawing>
      </w:r>
    </w:p>
    <w:p>
      <w:pPr>
        <w:spacing w:after="220" w:before="60"/>
        <w:jc w:val="center"/>
      </w:pPr>
      <w:r>
        <w:rPr>
          <w:rFonts w:ascii="Arial" w:cs="Arial" w:eastAsia="Arial" w:hAnsi="Arial"/>
          <w:i/>
          <w:iCs/>
          <w:color w:val="6B6B6B"/>
          <w:sz w:val="18"/>
          <w:szCs w:val="18"/>
        </w:rPr>
        <w:t xml:space="preserve">Figure 11.3   ISO 9409-1 Type 50-4-M6 cobot flange adapter. Drop-in for any standard cobot end effector mount.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4400"/>
        <w:gridCol w:w="1360"/>
      </w:tblGrid>
      <w:tr>
        <w:tc>
          <w:tcPr>
            <w:tcW w:type="dxa" w:w="3600"/>
            <w:tcBorders>
              <w:top w:val="single" w:color="C8C8C8" w:sz="4"/>
              <w:left w:val="single" w:color="C8C8C8" w:sz="4"/>
              <w:bottom w:val="single" w:color="C8C8C8" w:sz="4"/>
              <w:right w:val="single" w:color="C8C8C8" w:sz="4"/>
            </w:tcBorders>
            <w:shd w:fill="F4F4F2" w:val="clear"/>
            <w:tcMar>
              <w:top w:type="dxa" w:w="80"/>
              <w:left w:type="dxa" w:w="120"/>
              <w:bottom w:type="dxa" w:w="80"/>
              <w:right w:type="dxa" w:w="120"/>
            </w:tcMar>
          </w:tcPr>
          <w:p>
            <w:pPr>
              <w:spacing w:after="0" w:before="0" w:line="260"/>
            </w:pPr>
            <w:r>
              <w:rPr>
                <w:rFonts w:ascii="Arial" w:cs="Arial" w:eastAsia="Arial" w:hAnsi="Arial"/>
                <w:b/>
                <w:bCs/>
                <w:color w:val="1A1A1A"/>
                <w:sz w:val="18"/>
                <w:szCs w:val="18"/>
              </w:rPr>
              <w:t xml:space="preserve">Adapter</w:t>
            </w:r>
          </w:p>
        </w:tc>
        <w:tc>
          <w:tcPr>
            <w:tcW w:type="dxa" w:w="4400"/>
            <w:tcBorders>
              <w:top w:val="single" w:color="C8C8C8" w:sz="4"/>
              <w:left w:val="single" w:color="C8C8C8" w:sz="4"/>
              <w:bottom w:val="single" w:color="C8C8C8" w:sz="4"/>
              <w:right w:val="single" w:color="C8C8C8" w:sz="4"/>
            </w:tcBorders>
            <w:shd w:fill="F4F4F2" w:val="clear"/>
            <w:tcMar>
              <w:top w:type="dxa" w:w="80"/>
              <w:left w:type="dxa" w:w="120"/>
              <w:bottom w:type="dxa" w:w="80"/>
              <w:right w:type="dxa" w:w="120"/>
            </w:tcMar>
          </w:tcPr>
          <w:p>
            <w:pPr>
              <w:spacing w:after="0" w:before="0" w:line="260"/>
            </w:pPr>
            <w:r>
              <w:rPr>
                <w:rFonts w:ascii="Arial" w:cs="Arial" w:eastAsia="Arial" w:hAnsi="Arial"/>
                <w:b/>
                <w:bCs/>
                <w:color w:val="1A1A1A"/>
                <w:sz w:val="18"/>
                <w:szCs w:val="18"/>
              </w:rPr>
              <w:t xml:space="preserve">Target</w:t>
            </w:r>
          </w:p>
        </w:tc>
        <w:tc>
          <w:tcPr>
            <w:tcW w:type="dxa" w:w="1360"/>
            <w:tcBorders>
              <w:top w:val="single" w:color="C8C8C8" w:sz="4"/>
              <w:left w:val="single" w:color="C8C8C8" w:sz="4"/>
              <w:bottom w:val="single" w:color="C8C8C8" w:sz="4"/>
              <w:right w:val="single" w:color="C8C8C8" w:sz="4"/>
            </w:tcBorders>
            <w:shd w:fill="F4F4F2" w:val="clear"/>
            <w:tcMar>
              <w:top w:type="dxa" w:w="80"/>
              <w:left w:type="dxa" w:w="120"/>
              <w:bottom w:type="dxa" w:w="80"/>
              <w:right w:type="dxa" w:w="120"/>
            </w:tcMar>
          </w:tcPr>
          <w:p>
            <w:pPr>
              <w:spacing w:after="0" w:before="0" w:line="260"/>
            </w:pPr>
            <w:r>
              <w:rPr>
                <w:rFonts w:ascii="Arial" w:cs="Arial" w:eastAsia="Arial" w:hAnsi="Arial"/>
                <w:b/>
                <w:bCs/>
                <w:color w:val="1A1A1A"/>
                <w:sz w:val="18"/>
                <w:szCs w:val="18"/>
              </w:rPr>
              <w:t xml:space="preserve">Status</w:t>
            </w:r>
          </w:p>
        </w:tc>
      </w:tr>
      <w:tr>
        <w:tc>
          <w:tcPr>
            <w:tcW w:type="dxa" w:w="36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adapter_bravo7</w:t>
            </w:r>
          </w:p>
        </w:tc>
        <w:tc>
          <w:tcPr>
            <w:tcW w:type="dxa" w:w="44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Reach Bravo 7 RB-1054 wrist</w:t>
            </w:r>
          </w:p>
        </w:tc>
        <w:tc>
          <w:tcPr>
            <w:tcW w:type="dxa" w:w="13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Modelled. Bolt circles are estimates pending NDA dimensions.</w:t>
            </w:r>
          </w:p>
        </w:tc>
      </w:tr>
      <w:tr>
        <w:tc>
          <w:tcPr>
            <w:tcW w:type="dxa" w:w="36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adapter_iso9409_50_4_M6</w:t>
            </w:r>
          </w:p>
        </w:tc>
        <w:tc>
          <w:tcPr>
            <w:tcW w:type="dxa" w:w="44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ISO 9409-1 Type 50-4-M6 cobot flange</w:t>
            </w:r>
          </w:p>
        </w:tc>
        <w:tc>
          <w:tcPr>
            <w:tcW w:type="dxa" w:w="13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P0-ready. Standard published dimensions.</w:t>
            </w:r>
          </w:p>
        </w:tc>
      </w:tr>
      <w:tr>
        <w:tc>
          <w:tcPr>
            <w:tcW w:type="dxa" w:w="36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adapter_iso9409_80_6_M8</w:t>
            </w:r>
          </w:p>
        </w:tc>
        <w:tc>
          <w:tcPr>
            <w:tcW w:type="dxa" w:w="44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ISO 9409-1 Type 80-6-M8 cobot flange</w:t>
            </w:r>
          </w:p>
        </w:tc>
        <w:tc>
          <w:tcPr>
            <w:tcW w:type="dxa" w:w="13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Modelled.</w:t>
            </w:r>
          </w:p>
        </w:tc>
      </w:tr>
      <w:tr>
        <w:tc>
          <w:tcPr>
            <w:tcW w:type="dxa" w:w="36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adapter_br2_bottom_newton</w:t>
            </w:r>
          </w:p>
        </w:tc>
        <w:tc>
          <w:tcPr>
            <w:tcW w:type="dxa" w:w="44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BlueROV2 bottom-panel Newton footprint</w:t>
            </w:r>
          </w:p>
        </w:tc>
        <w:tc>
          <w:tcPr>
            <w:tcW w:type="dxa" w:w="13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P0-ready.</w:t>
            </w:r>
          </w:p>
        </w:tc>
      </w:tr>
      <w:tr>
        <w:tc>
          <w:tcPr>
            <w:tcW w:type="dxa" w:w="36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adapter_br2_roof_rack</w:t>
            </w:r>
          </w:p>
        </w:tc>
        <w:tc>
          <w:tcPr>
            <w:tcW w:type="dxa" w:w="44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BlueROV2 roof rack</w:t>
            </w:r>
          </w:p>
        </w:tc>
        <w:tc>
          <w:tcPr>
            <w:tcW w:type="dxa" w:w="13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Modelled.</w:t>
            </w:r>
          </w:p>
        </w:tc>
      </w:tr>
      <w:tr>
        <w:tc>
          <w:tcPr>
            <w:tcW w:type="dxa" w:w="36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adapter_br2_payload_skid</w:t>
            </w:r>
          </w:p>
        </w:tc>
        <w:tc>
          <w:tcPr>
            <w:tcW w:type="dxa" w:w="44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BlueROV2 payload skid</w:t>
            </w:r>
          </w:p>
        </w:tc>
        <w:tc>
          <w:tcPr>
            <w:tcW w:type="dxa" w:w="13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Modelled.</w:t>
            </w:r>
          </w:p>
        </w:tc>
      </w:tr>
      <w:tr>
        <w:tc>
          <w:tcPr>
            <w:tcW w:type="dxa" w:w="36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adapter_iso13628_d_handle</w:t>
            </w:r>
          </w:p>
        </w:tc>
        <w:tc>
          <w:tcPr>
            <w:tcW w:type="dxa" w:w="44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ISO 13628 D-handle override (diver-operable)</w:t>
            </w:r>
          </w:p>
        </w:tc>
        <w:tc>
          <w:tcPr>
            <w:tcW w:type="dxa" w:w="13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Modelled.</w:t>
            </w:r>
          </w:p>
        </w:tc>
      </w:tr>
    </w:tbl>
    <w:p>
      <w:pPr>
        <w:spacing w:after="160"/>
      </w:pPr>
      <w:r>
        <w:t xml:space="preserve"/>
      </w:r>
    </w:p>
    <w:p>
      <w:pPr>
        <w:pStyle w:val="Heading2"/>
        <w:spacing w:after="140" w:before="280"/>
      </w:pPr>
      <w:r>
        <w:rPr>
          <w:rFonts w:ascii="Arial" w:cs="Arial" w:eastAsia="Arial" w:hAnsi="Arial"/>
          <w:b/>
          <w:bCs/>
          <w:color w:val="1A1A1A"/>
          <w:sz w:val="26"/>
          <w:szCs w:val="26"/>
        </w:rPr>
        <w:t xml:space="preserve">Two non-negotiables</w:t>
      </w:r>
    </w:p>
    <w:p>
      <w:pPr>
        <w:pStyle w:val="ListParagraph"/>
        <w:numPr>
          <w:ilvl w:val="0"/>
          <w:numId w:val="7"/>
        </w:numPr>
        <w:spacing w:after="40" w:before="40" w:line="280"/>
      </w:pPr>
      <w:r>
        <w:rPr>
          <w:rFonts w:ascii="Arial" w:cs="Arial" w:eastAsia="Arial" w:hAnsi="Arial"/>
          <w:b/>
          <w:bCs/>
          <w:i w:val="false"/>
          <w:iCs w:val="false"/>
          <w:color w:val="1A1A1A"/>
          <w:sz w:val="22"/>
          <w:szCs w:val="22"/>
        </w:rPr>
        <w:t xml:space="preserve">T2 still needs a thin pressure canister, </w:t>
      </w:r>
      <w:r>
        <w:rPr>
          <w:rFonts w:ascii="Arial" w:cs="Arial" w:eastAsia="Arial" w:hAnsi="Arial"/>
          <w:b w:val="false"/>
          <w:bCs w:val="false"/>
          <w:i w:val="false"/>
          <w:iCs w:val="false"/>
          <w:color w:val="1A1A1A"/>
          <w:sz w:val="22"/>
          <w:szCs w:val="22"/>
        </w:rPr>
        <w:t xml:space="preserve">even for the IP68 XW540 (IP68 is rated for 1 m freshwater only; 30 m is 3.1 bar plus seawater corrosion). The flooded gripper itself has no shaft seal and no dry cavity; the sealing burden is entirely the actuator's.</w:t>
      </w:r>
    </w:p>
    <w:p>
      <w:pPr>
        <w:pStyle w:val="ListParagraph"/>
        <w:numPr>
          <w:ilvl w:val="0"/>
          <w:numId w:val="7"/>
        </w:numPr>
        <w:spacing w:after="40" w:before="40" w:line="280"/>
      </w:pPr>
      <w:r>
        <w:rPr>
          <w:rFonts w:ascii="Arial" w:cs="Arial" w:eastAsia="Arial" w:hAnsi="Arial"/>
          <w:b/>
          <w:bCs/>
          <w:i w:val="false"/>
          <w:iCs w:val="false"/>
          <w:color w:val="1A1A1A"/>
          <w:sz w:val="22"/>
          <w:szCs w:val="22"/>
        </w:rPr>
        <w:t xml:space="preserve">The motor current limit must be set to T_safe in firmware. </w:t>
      </w:r>
      <w:r>
        <w:rPr>
          <w:rFonts w:ascii="Arial" w:cs="Arial" w:eastAsia="Arial" w:hAnsi="Arial"/>
          <w:b w:val="false"/>
          <w:bCs w:val="false"/>
          <w:i w:val="false"/>
          <w:iCs w:val="false"/>
          <w:color w:val="1A1A1A"/>
          <w:sz w:val="22"/>
          <w:szCs w:val="22"/>
        </w:rPr>
        <w:t xml:space="preserve">Without it, a strong servo's stall torque shears the printed teeth. The current limit is the grip-force command and the gear-protection ceiling at the same time.</w:t>
      </w:r>
    </w:p>
    <w:p>
      <w:r>
        <w:br w:type="page"/>
      </w:r>
    </w:p>
    <w:p>
      <w:pPr>
        <w:pStyle w:val="Heading1"/>
        <w:pBdr>
          <w:top w:val="none" w:color="FFFFFF" w:sz="0" w:space="0"/>
          <w:left w:val="none" w:color="FFFFFF" w:sz="0" w:space="0"/>
          <w:bottom w:val="single" w:color="F5D802" w:sz="18" w:space="4"/>
          <w:right w:val="none" w:color="FFFFFF" w:sz="0" w:space="0"/>
        </w:pBdr>
        <w:spacing w:after="200" w:before="320"/>
      </w:pPr>
      <w:r>
        <w:rPr>
          <w:rFonts w:ascii="Arial" w:cs="Arial" w:eastAsia="Arial" w:hAnsi="Arial"/>
          <w:b/>
          <w:bCs/>
          <w:color w:val="1A1A1A"/>
          <w:sz w:val="36"/>
          <w:szCs w:val="36"/>
        </w:rPr>
        <w:t xml:space="preserve">13. Testing, validation, and the bench plan</w:t>
      </w:r>
    </w:p>
    <w:p>
      <w:pPr>
        <w:spacing w:after="100" w:before="0" w:line="300"/>
      </w:pPr>
      <w:r>
        <w:rPr>
          <w:rFonts w:ascii="Arial" w:cs="Arial" w:eastAsia="Arial" w:hAnsi="Arial"/>
          <w:b w:val="false"/>
          <w:bCs w:val="false"/>
          <w:i w:val="false"/>
          <w:iCs w:val="false"/>
          <w:color w:val="1A1A1A"/>
          <w:sz w:val="22"/>
          <w:szCs w:val="22"/>
        </w:rPr>
        <w:t xml:space="preserve">The simulation stack closes in software. The bench plan closes it in hardware. The items below are the explicit gates that move SoftSense from in-software to bench-validated.</w:t>
      </w:r>
    </w:p>
    <w:p>
      <w:pPr>
        <w:pStyle w:val="Heading2"/>
        <w:spacing w:after="140" w:before="280"/>
      </w:pPr>
      <w:r>
        <w:rPr>
          <w:rFonts w:ascii="Arial" w:cs="Arial" w:eastAsia="Arial" w:hAnsi="Arial"/>
          <w:b/>
          <w:bCs/>
          <w:color w:val="1A1A1A"/>
          <w:sz w:val="26"/>
          <w:szCs w:val="26"/>
        </w:rPr>
        <w:t xml:space="preserve">Final QA: what we already passed in software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1100"/>
        <w:gridCol w:w="4560"/>
      </w:tblGrid>
      <w:tr>
        <w:tc>
          <w:tcPr>
            <w:tcW w:type="dxa" w:w="3700"/>
            <w:tcBorders>
              <w:top w:val="single" w:color="C8C8C8" w:sz="4"/>
              <w:left w:val="single" w:color="C8C8C8" w:sz="4"/>
              <w:bottom w:val="single" w:color="C8C8C8" w:sz="4"/>
              <w:right w:val="single" w:color="C8C8C8" w:sz="4"/>
            </w:tcBorders>
            <w:shd w:fill="F4F4F2" w:val="clear"/>
            <w:tcMar>
              <w:top w:type="dxa" w:w="80"/>
              <w:left w:type="dxa" w:w="120"/>
              <w:bottom w:type="dxa" w:w="80"/>
              <w:right w:type="dxa" w:w="120"/>
            </w:tcMar>
          </w:tcPr>
          <w:p>
            <w:pPr>
              <w:spacing w:after="0" w:before="0" w:line="260"/>
            </w:pPr>
            <w:r>
              <w:rPr>
                <w:rFonts w:ascii="Arial" w:cs="Arial" w:eastAsia="Arial" w:hAnsi="Arial"/>
                <w:b/>
                <w:bCs/>
                <w:color w:val="1A1A1A"/>
                <w:sz w:val="18"/>
                <w:szCs w:val="18"/>
              </w:rPr>
              <w:t xml:space="preserve">Check</w:t>
            </w:r>
          </w:p>
        </w:tc>
        <w:tc>
          <w:tcPr>
            <w:tcW w:type="dxa" w:w="1100"/>
            <w:tcBorders>
              <w:top w:val="single" w:color="C8C8C8" w:sz="4"/>
              <w:left w:val="single" w:color="C8C8C8" w:sz="4"/>
              <w:bottom w:val="single" w:color="C8C8C8" w:sz="4"/>
              <w:right w:val="single" w:color="C8C8C8" w:sz="4"/>
            </w:tcBorders>
            <w:shd w:fill="F4F4F2" w:val="clear"/>
            <w:tcMar>
              <w:top w:type="dxa" w:w="80"/>
              <w:left w:type="dxa" w:w="120"/>
              <w:bottom w:type="dxa" w:w="80"/>
              <w:right w:type="dxa" w:w="120"/>
            </w:tcMar>
          </w:tcPr>
          <w:p>
            <w:pPr>
              <w:spacing w:after="0" w:before="0" w:line="260"/>
            </w:pPr>
            <w:r>
              <w:rPr>
                <w:rFonts w:ascii="Arial" w:cs="Arial" w:eastAsia="Arial" w:hAnsi="Arial"/>
                <w:b/>
                <w:bCs/>
                <w:color w:val="1A1A1A"/>
                <w:sz w:val="18"/>
                <w:szCs w:val="18"/>
              </w:rPr>
              <w:t xml:space="preserve">Result</w:t>
            </w:r>
          </w:p>
        </w:tc>
        <w:tc>
          <w:tcPr>
            <w:tcW w:type="dxa" w:w="4560"/>
            <w:tcBorders>
              <w:top w:val="single" w:color="C8C8C8" w:sz="4"/>
              <w:left w:val="single" w:color="C8C8C8" w:sz="4"/>
              <w:bottom w:val="single" w:color="C8C8C8" w:sz="4"/>
              <w:right w:val="single" w:color="C8C8C8" w:sz="4"/>
            </w:tcBorders>
            <w:shd w:fill="F4F4F2" w:val="clear"/>
            <w:tcMar>
              <w:top w:type="dxa" w:w="80"/>
              <w:left w:type="dxa" w:w="120"/>
              <w:bottom w:type="dxa" w:w="80"/>
              <w:right w:type="dxa" w:w="120"/>
            </w:tcMar>
          </w:tcPr>
          <w:p>
            <w:pPr>
              <w:spacing w:after="0" w:before="0" w:line="260"/>
            </w:pPr>
            <w:r>
              <w:rPr>
                <w:rFonts w:ascii="Arial" w:cs="Arial" w:eastAsia="Arial" w:hAnsi="Arial"/>
                <w:b/>
                <w:bCs/>
                <w:color w:val="1A1A1A"/>
                <w:sz w:val="18"/>
                <w:szCs w:val="18"/>
              </w:rPr>
              <w:t xml:space="preserve">Key numbers</w:t>
            </w:r>
          </w:p>
        </w:tc>
      </w:tr>
      <w:tr>
        <w:tc>
          <w:tcPr>
            <w:tcW w:type="dxa" w:w="37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Kinematics monotonic, no dead-point</w:t>
            </w:r>
          </w:p>
        </w:tc>
        <w:tc>
          <w:tcPr>
            <w:tcW w:type="dxa" w:w="11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PASS</w:t>
            </w:r>
          </w:p>
        </w:tc>
        <w:tc>
          <w:tcPr>
            <w:tcW w:type="dxa" w:w="45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base_gap 9.86 to 62.0 mm; tip_gap 9.86 to 123.8 mm; finger_rot 0 to −20.1°; transmission angle 71.7° to 34.6°</w:t>
            </w:r>
          </w:p>
        </w:tc>
      </w:tr>
      <w:tr>
        <w:tc>
          <w:tcPr>
            <w:tcW w:type="dxa" w:w="37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Interference across motion</w:t>
            </w:r>
          </w:p>
        </w:tc>
        <w:tc>
          <w:tcPr>
            <w:tcW w:type="dxa" w:w="11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PASS</w:t>
            </w:r>
          </w:p>
        </w:tc>
        <w:tc>
          <w:tcPr>
            <w:tcW w:type="dxa" w:w="45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0 flagged pairs &gt; 0.5 mm³ at open ∈ {0, .25, .5, .75, 1.0}</w:t>
            </w:r>
          </w:p>
        </w:tc>
      </w:tr>
      <w:tr>
        <w:tc>
          <w:tcPr>
            <w:tcW w:type="dxa" w:w="37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Pin vs non-receiving part</w:t>
            </w:r>
          </w:p>
        </w:tc>
        <w:tc>
          <w:tcPr>
            <w:tcW w:type="dxa" w:w="11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PASS</w:t>
            </w:r>
          </w:p>
        </w:tc>
        <w:tc>
          <w:tcPr>
            <w:tcW w:type="dxa" w:w="45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All intersection volumes 0.000 mm³ at open ∈ {0, 0.5, 1.0}</w:t>
            </w:r>
          </w:p>
        </w:tc>
      </w:tr>
      <w:tr>
        <w:tc>
          <w:tcPr>
            <w:tcW w:type="dxa" w:w="37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Finger-to-finger at closed pose</w:t>
            </w:r>
          </w:p>
        </w:tc>
        <w:tc>
          <w:tcPr>
            <w:tcW w:type="dxa" w:w="11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PASS</w:t>
            </w:r>
          </w:p>
        </w:tc>
        <w:tc>
          <w:tcPr>
            <w:tcW w:type="dxa" w:w="45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0.000000 mm³ at open = 0</w:t>
            </w:r>
          </w:p>
        </w:tc>
      </w:tr>
      <w:tr>
        <w:tc>
          <w:tcPr>
            <w:tcW w:type="dxa" w:w="37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Retention geometry present</w:t>
            </w:r>
          </w:p>
        </w:tc>
        <w:tc>
          <w:tcPr>
            <w:tcW w:type="dxa" w:w="11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PASS</w:t>
            </w:r>
          </w:p>
        </w:tc>
        <w:tc>
          <w:tcPr>
            <w:tcW w:type="dxa" w:w="45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Counterbore shoulder 1.05 mm + lip catch 0.6 mm; 4 clips, 1.15 mm engage</w:t>
            </w:r>
          </w:p>
        </w:tc>
      </w:tr>
      <w:tr>
        <w:tc>
          <w:tcPr>
            <w:tcW w:type="dxa" w:w="37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Manifold (all STLs)</w:t>
            </w:r>
          </w:p>
        </w:tc>
        <w:tc>
          <w:tcPr>
            <w:tcW w:type="dxa" w:w="11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PASS</w:t>
            </w:r>
          </w:p>
        </w:tc>
        <w:tc>
          <w:tcPr>
            <w:tcW w:type="dxa" w:w="45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9 of 9 watertight, single body, vol &gt; 0, 0 degenerate faces</w:t>
            </w:r>
          </w:p>
        </w:tc>
      </w:tr>
      <w:tr>
        <w:tc>
          <w:tcPr>
            <w:tcW w:type="dxa" w:w="37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Walls vs FDM minimum</w:t>
            </w:r>
          </w:p>
        </w:tc>
        <w:tc>
          <w:tcPr>
            <w:tcW w:type="dxa" w:w="11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PASS</w:t>
            </w:r>
          </w:p>
        </w:tc>
        <w:tc>
          <w:tcPr>
            <w:tcW w:type="dxa" w:w="45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All functional walls ≥ 1.0 mm; sub-1.5 mm items all by-design</w:t>
            </w:r>
          </w:p>
        </w:tc>
      </w:tr>
      <w:tr>
        <w:tc>
          <w:tcPr>
            <w:tcW w:type="dxa" w:w="37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Vents and flood paths</w:t>
            </w:r>
          </w:p>
        </w:tc>
        <w:tc>
          <w:tcPr>
            <w:tcW w:type="dxa" w:w="11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PASS</w:t>
            </w:r>
          </w:p>
        </w:tc>
        <w:tc>
          <w:tcPr>
            <w:tcW w:type="dxa" w:w="45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8 bottom + 2 side drains + 4 windows + 4 axle-flood + 3 cover vents; every part single shell</w:t>
            </w:r>
          </w:p>
        </w:tc>
      </w:tr>
      <w:tr>
        <w:tc>
          <w:tcPr>
            <w:tcW w:type="dxa" w:w="37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Finger-scale parametric (0.7, 1.0, 1.6)</w:t>
            </w:r>
          </w:p>
        </w:tc>
        <w:tc>
          <w:tcPr>
            <w:tcW w:type="dxa" w:w="11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PASS</w:t>
            </w:r>
          </w:p>
        </w:tc>
        <w:tc>
          <w:tcPr>
            <w:tcW w:type="dxa" w:w="45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Builds clean; mount interface scale-invariant</w:t>
            </w:r>
          </w:p>
        </w:tc>
      </w:tr>
      <w:tr>
        <w:tc>
          <w:tcPr>
            <w:tcW w:type="dxa" w:w="37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Assembly order feasibility</w:t>
            </w:r>
          </w:p>
        </w:tc>
        <w:tc>
          <w:tcPr>
            <w:tcW w:type="dxa" w:w="11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PASS</w:t>
            </w:r>
          </w:p>
        </w:tc>
        <w:tc>
          <w:tcPr>
            <w:tcW w:type="dxa" w:w="45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Dowels-before-cover; fingers attach last from above</w:t>
            </w:r>
          </w:p>
        </w:tc>
      </w:tr>
    </w:tbl>
    <w:p>
      <w:pPr>
        <w:spacing w:after="160"/>
      </w:pPr>
      <w:r>
        <w:t xml:space="preserve"/>
      </w:r>
    </w:p>
    <w:p>
      <w:pPr>
        <w:pStyle w:val="Heading2"/>
        <w:spacing w:after="140" w:before="280"/>
      </w:pPr>
      <w:r>
        <w:rPr>
          <w:rFonts w:ascii="Arial" w:cs="Arial" w:eastAsia="Arial" w:hAnsi="Arial"/>
          <w:b/>
          <w:bCs/>
          <w:color w:val="1A1A1A"/>
          <w:sz w:val="26"/>
          <w:szCs w:val="26"/>
        </w:rPr>
        <w:t xml:space="preserve">The bench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8C8C8" w:sz="4"/>
              <w:left w:val="single" w:color="C8C8C8" w:sz="4"/>
              <w:bottom w:val="single" w:color="C8C8C8" w:sz="4"/>
              <w:right w:val="single" w:color="C8C8C8" w:sz="4"/>
            </w:tcBorders>
            <w:shd w:fill="F4F4F2" w:val="clear"/>
            <w:tcMar>
              <w:top w:type="dxa" w:w="80"/>
              <w:left w:type="dxa" w:w="120"/>
              <w:bottom w:type="dxa" w:w="80"/>
              <w:right w:type="dxa" w:w="120"/>
            </w:tcMar>
          </w:tcPr>
          <w:p>
            <w:pPr>
              <w:spacing w:after="0" w:before="0" w:line="260"/>
            </w:pPr>
            <w:r>
              <w:rPr>
                <w:rFonts w:ascii="Arial" w:cs="Arial" w:eastAsia="Arial" w:hAnsi="Arial"/>
                <w:b/>
                <w:bCs/>
                <w:color w:val="1A1A1A"/>
                <w:sz w:val="18"/>
                <w:szCs w:val="18"/>
              </w:rPr>
              <w:t xml:space="preserve">Test</w:t>
            </w:r>
          </w:p>
        </w:tc>
        <w:tc>
          <w:tcPr>
            <w:tcW w:type="dxa" w:w="4360"/>
            <w:tcBorders>
              <w:top w:val="single" w:color="C8C8C8" w:sz="4"/>
              <w:left w:val="single" w:color="C8C8C8" w:sz="4"/>
              <w:bottom w:val="single" w:color="C8C8C8" w:sz="4"/>
              <w:right w:val="single" w:color="C8C8C8" w:sz="4"/>
            </w:tcBorders>
            <w:shd w:fill="F4F4F2" w:val="clear"/>
            <w:tcMar>
              <w:top w:type="dxa" w:w="80"/>
              <w:left w:type="dxa" w:w="120"/>
              <w:bottom w:type="dxa" w:w="80"/>
              <w:right w:type="dxa" w:w="120"/>
            </w:tcMar>
          </w:tcPr>
          <w:p>
            <w:pPr>
              <w:spacing w:after="0" w:before="0" w:line="260"/>
            </w:pPr>
            <w:r>
              <w:rPr>
                <w:rFonts w:ascii="Arial" w:cs="Arial" w:eastAsia="Arial" w:hAnsi="Arial"/>
                <w:b/>
                <w:bCs/>
                <w:color w:val="1A1A1A"/>
                <w:sz w:val="18"/>
                <w:szCs w:val="18"/>
              </w:rPr>
              <w:t xml:space="preserve">Pass criterion</w:t>
            </w:r>
          </w:p>
        </w:tc>
      </w:tr>
      <w:tr>
        <w:tc>
          <w:tcPr>
            <w:tcW w:type="dxa" w:w="50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Static current-to-force calibration vs load cell</w:t>
            </w:r>
          </w:p>
        </w:tc>
        <w:tc>
          <w:tcPr>
            <w:tcW w:type="dxa" w:w="43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Residual &lt; 0.15 N over 1 to 20 N; blind-set error &lt; 0.3 N</w:t>
            </w:r>
          </w:p>
        </w:tc>
      </w:tr>
      <w:tr>
        <w:tc>
          <w:tcPr>
            <w:tcW w:type="dxa" w:w="50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Repeatability (3 cycles)</w:t>
            </w:r>
          </w:p>
        </w:tc>
        <w:tc>
          <w:tcPr>
            <w:tcW w:type="dxa" w:w="43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Hysteresis band &lt; 0.3 N</w:t>
            </w:r>
          </w:p>
        </w:tc>
      </w:tr>
      <w:tr>
        <w:tc>
          <w:tcPr>
            <w:tcW w:type="dxa" w:w="50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Slip-onset detection vs the grip object set</w:t>
            </w:r>
          </w:p>
        </w:tc>
        <w:tc>
          <w:tcPr>
            <w:tcW w:type="dxa" w:w="43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Detect slip within 100 ms on 6 of 7 object classes</w:t>
            </w:r>
          </w:p>
        </w:tc>
      </w:tr>
      <w:tr>
        <w:tc>
          <w:tcPr>
            <w:tcW w:type="dxa" w:w="50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Thermal re-check (cold bath)</w:t>
            </w:r>
          </w:p>
        </w:tc>
        <w:tc>
          <w:tcPr>
            <w:tcW w:type="dxa" w:w="43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Error &lt; 0.5 N after a 15 °C step</w:t>
            </w:r>
          </w:p>
        </w:tc>
      </w:tr>
      <w:tr>
        <w:tc>
          <w:tcPr>
            <w:tcW w:type="dxa" w:w="50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Printed coupon snap-fit (cover clip + finger-pin counterbore)</w:t>
            </w:r>
          </w:p>
        </w:tc>
        <w:tc>
          <w:tcPr>
            <w:tcW w:type="dxa" w:w="43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Insertion strain &lt; material allowable on real material; insertion force tractable by hand</w:t>
            </w:r>
          </w:p>
        </w:tc>
      </w:tr>
      <w:tr>
        <w:tc>
          <w:tcPr>
            <w:tcW w:type="dxa" w:w="50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Printed coupon torque-to-failure (crown tooth)</w:t>
            </w:r>
          </w:p>
        </w:tc>
        <w:tc>
          <w:tcPr>
            <w:tcW w:type="dxa" w:w="43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The true T_safe ceiling; bench number replaces the 2D FEA upper bound</w:t>
            </w:r>
          </w:p>
        </w:tc>
      </w:tr>
      <w:tr>
        <w:tc>
          <w:tcPr>
            <w:tcW w:type="dxa" w:w="50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7-day soak test (TPU finger, ether-TPU, seawater)</w:t>
            </w:r>
          </w:p>
        </w:tc>
        <w:tc>
          <w:tcPr>
            <w:tcW w:type="dxa" w:w="43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Mass uptake &lt; 2 %; grip-tooth dimensions within ±0.05 mm; no visible biofilm in the channels</w:t>
            </w:r>
          </w:p>
        </w:tc>
      </w:tr>
      <w:tr>
        <w:tc>
          <w:tcPr>
            <w:tcW w:type="dxa" w:w="50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Hyperbaric test (PETG body, simulated 30 m)</w:t>
            </w:r>
          </w:p>
        </w:tc>
        <w:tc>
          <w:tcPr>
            <w:tcW w:type="dxa" w:w="43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No visible deformation; pressure sensor reads ambient correctly; pad sensors recover squeeze reading</w:t>
            </w:r>
          </w:p>
        </w:tc>
      </w:tr>
      <w:tr>
        <w:tc>
          <w:tcPr>
            <w:tcW w:type="dxa" w:w="50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Cyclic fatigue (finger, 10,000 grip cycles)</w:t>
            </w:r>
          </w:p>
        </w:tc>
        <w:tc>
          <w:tcPr>
            <w:tcW w:type="dxa" w:w="43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No visible crack initiation at rib roots; grip force at 12 N test drops &lt; 10 %</w:t>
            </w:r>
          </w:p>
        </w:tc>
      </w:tr>
      <w:tr>
        <w:tc>
          <w:tcPr>
            <w:tcW w:type="dxa" w:w="50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Full-system pool dive (BlueROV2 chassis)</w:t>
            </w:r>
          </w:p>
        </w:tc>
        <w:tc>
          <w:tcPr>
            <w:tcW w:type="dxa" w:w="43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Recover an instrumented test object from a 5 m sand-bottom site without slip or release</w:t>
            </w:r>
          </w:p>
        </w:tc>
      </w:tr>
    </w:tbl>
    <w:p>
      <w:pPr>
        <w:spacing w:after="160"/>
      </w:pPr>
      <w:r>
        <w:t xml:space="preserve"/>
      </w:r>
    </w:p>
    <w:p>
      <w:pPr>
        <w:pStyle w:val="Heading2"/>
        <w:spacing w:after="140" w:before="280"/>
      </w:pPr>
      <w:r>
        <w:rPr>
          <w:rFonts w:ascii="Arial" w:cs="Arial" w:eastAsia="Arial" w:hAnsi="Arial"/>
          <w:b/>
          <w:bCs/>
          <w:color w:val="1A1A1A"/>
          <w:sz w:val="26"/>
          <w:szCs w:val="26"/>
        </w:rPr>
        <w:t xml:space="preserve">Reproduce every simulation</w:t>
      </w:r>
    </w:p>
    <w:p>
      <w:pPr>
        <w:spacing w:after="100" w:before="0" w:line="300"/>
      </w:pPr>
      <w:r>
        <w:rPr>
          <w:rFonts w:ascii="Arial" w:cs="Arial" w:eastAsia="Arial" w:hAnsi="Arial"/>
          <w:b w:val="false"/>
          <w:bCs w:val="false"/>
          <w:i w:val="false"/>
          <w:iCs w:val="false"/>
          <w:color w:val="1A1A1A"/>
          <w:sz w:val="22"/>
          <w:szCs w:val="22"/>
        </w:rPr>
        <w:t xml:space="preserve">All commands assume the project venv is sourced. Outputs land in fea/iterations/, grip/iterations/, motor/iterations/ (per-run JSON) and grip/pictures/ plus motor/pictures/ (figures).</w:t>
      </w:r>
    </w:p>
    <w:p>
      <w:pPr>
        <w:spacing w:after="60" w:before="0" w:line="300"/>
      </w:pPr>
      <w:r>
        <w:rPr>
          <w:rFonts w:ascii="Consolas" w:cs="Consolas" w:eastAsia="Consolas" w:hAnsi="Consolas"/>
          <w:color w:val="1A1A1A"/>
          <w:sz w:val="20"/>
          <w:szCs w:val="20"/>
        </w:rPr>
        <w:t xml:space="preserve">cd fea/scripts &amp;&amp; python eval_finger.py myfinger production '{}' full</w:t>
      </w:r>
    </w:p>
    <w:p>
      <w:pPr>
        <w:spacing w:after="60" w:before="0" w:line="300"/>
      </w:pPr>
      <w:r>
        <w:rPr>
          <w:rFonts w:ascii="Consolas" w:cs="Consolas" w:eastAsia="Consolas" w:hAnsi="Consolas"/>
          <w:color w:val="1A1A1A"/>
          <w:sz w:val="20"/>
          <w:szCs w:val="20"/>
        </w:rPr>
        <w:t xml:space="preserve">cd ../../grip/scripts &amp;&amp; python baseline_validate.py    # must pass first</w:t>
      </w:r>
    </w:p>
    <w:p>
      <w:pPr>
        <w:spacing w:after="60" w:before="0" w:line="300"/>
      </w:pPr>
      <w:r>
        <w:rPr>
          <w:rFonts w:ascii="Consolas" w:cs="Consolas" w:eastAsia="Consolas" w:hAnsi="Consolas"/>
          <w:color w:val="1A1A1A"/>
          <w:sz w:val="20"/>
          <w:szCs w:val="20"/>
        </w:rPr>
        <w:t xml:space="preserve">python sensitivity.py 1500                              # 50 % sensitivity, all families</w:t>
      </w:r>
    </w:p>
    <w:p>
      <w:pPr>
        <w:spacing w:after="60" w:before="0" w:line="300"/>
      </w:pPr>
      <w:r>
        <w:rPr>
          <w:rFonts w:ascii="Consolas" w:cs="Consolas" w:eastAsia="Consolas" w:hAnsi="Consolas"/>
          <w:color w:val="1A1A1A"/>
          <w:sz w:val="20"/>
          <w:szCs w:val="20"/>
        </w:rPr>
        <w:t xml:space="preserve">python texture_fea.py                                   # Tier-2 plane-strain contact FEA</w:t>
      </w:r>
    </w:p>
    <w:p>
      <w:pPr>
        <w:spacing w:after="60" w:before="0" w:line="300"/>
      </w:pPr>
      <w:r>
        <w:rPr>
          <w:rFonts w:ascii="Consolas" w:cs="Consolas" w:eastAsia="Consolas" w:hAnsi="Consolas"/>
          <w:color w:val="1A1A1A"/>
          <w:sz w:val="20"/>
          <w:szCs w:val="20"/>
        </w:rPr>
        <w:t xml:space="preserve">cd ../../motor/scripts &amp;&amp; python kinematics_chain.py   # torque-force chain + travel</w:t>
      </w:r>
    </w:p>
    <w:p>
      <w:pPr>
        <w:spacing w:after="200" w:before="0" w:line="300"/>
      </w:pPr>
      <w:r>
        <w:rPr>
          <w:rFonts w:ascii="Consolas" w:cs="Consolas" w:eastAsia="Consolas" w:hAnsi="Consolas"/>
          <w:color w:val="1A1A1A"/>
          <w:sz w:val="20"/>
          <w:szCs w:val="20"/>
        </w:rPr>
        <w:t xml:space="preserve">python gear_fea.py                                      # gear-tooth FEA -&gt; T_safe</w:t>
      </w:r>
    </w:p>
    <w:p>
      <w:r>
        <w:br w:type="page"/>
      </w:r>
    </w:p>
    <w:p>
      <w:pPr>
        <w:pStyle w:val="Heading1"/>
        <w:pBdr>
          <w:top w:val="none" w:color="FFFFFF" w:sz="0" w:space="0"/>
          <w:left w:val="none" w:color="FFFFFF" w:sz="0" w:space="0"/>
          <w:bottom w:val="single" w:color="F5D802" w:sz="18" w:space="4"/>
          <w:right w:val="none" w:color="FFFFFF" w:sz="0" w:space="0"/>
        </w:pBdr>
        <w:spacing w:after="200" w:before="320"/>
      </w:pPr>
      <w:r>
        <w:rPr>
          <w:rFonts w:ascii="Arial" w:cs="Arial" w:eastAsia="Arial" w:hAnsi="Arial"/>
          <w:b/>
          <w:bCs/>
          <w:color w:val="1A1A1A"/>
          <w:sz w:val="36"/>
          <w:szCs w:val="36"/>
        </w:rPr>
        <w:t xml:space="preserve">14. TRL self-assessment and operating boundaries</w:t>
      </w:r>
    </w:p>
    <w:p>
      <w:pPr>
        <w:spacing w:after="100" w:before="0" w:line="300"/>
      </w:pPr>
      <w:r>
        <w:rPr>
          <w:rFonts w:ascii="Arial" w:cs="Arial" w:eastAsia="Arial" w:hAnsi="Arial"/>
          <w:b w:val="false"/>
          <w:bCs w:val="false"/>
          <w:i w:val="false"/>
          <w:iCs w:val="false"/>
          <w:color w:val="1A1A1A"/>
          <w:sz w:val="22"/>
          <w:szCs w:val="22"/>
        </w:rPr>
        <w:t xml:space="preserve">At Woodside's request we name where SoftSense currently sits on the NASA Technology Readiness Level scale and what would advance it. We also state the operating boundaries explicitly so a customer knows what we are and are not promising.</w:t>
      </w:r>
    </w:p>
    <w:p>
      <w:pPr>
        <w:pStyle w:val="Heading2"/>
        <w:spacing w:after="140" w:before="280"/>
      </w:pPr>
      <w:r>
        <w:rPr>
          <w:rFonts w:ascii="Arial" w:cs="Arial" w:eastAsia="Arial" w:hAnsi="Arial"/>
          <w:b/>
          <w:bCs/>
          <w:color w:val="1A1A1A"/>
          <w:sz w:val="26"/>
          <w:szCs w:val="26"/>
        </w:rPr>
        <w:t xml:space="preserve">Current TRL 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760"/>
        <w:gridCol w:w="4000"/>
      </w:tblGrid>
      <w:tr>
        <w:tc>
          <w:tcPr>
            <w:tcW w:type="dxa" w:w="600"/>
            <w:tcBorders>
              <w:top w:val="single" w:color="C8C8C8" w:sz="4"/>
              <w:left w:val="single" w:color="C8C8C8" w:sz="4"/>
              <w:bottom w:val="single" w:color="C8C8C8" w:sz="4"/>
              <w:right w:val="single" w:color="C8C8C8" w:sz="4"/>
            </w:tcBorders>
            <w:shd w:fill="F4F4F2" w:val="clear"/>
            <w:tcMar>
              <w:top w:type="dxa" w:w="80"/>
              <w:left w:type="dxa" w:w="120"/>
              <w:bottom w:type="dxa" w:w="80"/>
              <w:right w:type="dxa" w:w="120"/>
            </w:tcMar>
          </w:tcPr>
          <w:p>
            <w:pPr>
              <w:spacing w:after="0" w:before="0" w:line="260"/>
            </w:pPr>
            <w:r>
              <w:rPr>
                <w:rFonts w:ascii="Arial" w:cs="Arial" w:eastAsia="Arial" w:hAnsi="Arial"/>
                <w:b/>
                <w:bCs/>
                <w:color w:val="1A1A1A"/>
                <w:sz w:val="18"/>
                <w:szCs w:val="18"/>
              </w:rPr>
              <w:t xml:space="preserve">TRL</w:t>
            </w:r>
          </w:p>
        </w:tc>
        <w:tc>
          <w:tcPr>
            <w:tcW w:type="dxa" w:w="4760"/>
            <w:tcBorders>
              <w:top w:val="single" w:color="C8C8C8" w:sz="4"/>
              <w:left w:val="single" w:color="C8C8C8" w:sz="4"/>
              <w:bottom w:val="single" w:color="C8C8C8" w:sz="4"/>
              <w:right w:val="single" w:color="C8C8C8" w:sz="4"/>
            </w:tcBorders>
            <w:shd w:fill="F4F4F2" w:val="clear"/>
            <w:tcMar>
              <w:top w:type="dxa" w:w="80"/>
              <w:left w:type="dxa" w:w="120"/>
              <w:bottom w:type="dxa" w:w="80"/>
              <w:right w:type="dxa" w:w="120"/>
            </w:tcMar>
          </w:tcPr>
          <w:p>
            <w:pPr>
              <w:spacing w:after="0" w:before="0" w:line="260"/>
            </w:pPr>
            <w:r>
              <w:rPr>
                <w:rFonts w:ascii="Arial" w:cs="Arial" w:eastAsia="Arial" w:hAnsi="Arial"/>
                <w:b/>
                <w:bCs/>
                <w:color w:val="1A1A1A"/>
                <w:sz w:val="18"/>
                <w:szCs w:val="18"/>
              </w:rPr>
              <w:t xml:space="preserve">Level description</w:t>
            </w:r>
          </w:p>
        </w:tc>
        <w:tc>
          <w:tcPr>
            <w:tcW w:type="dxa" w:w="4000"/>
            <w:tcBorders>
              <w:top w:val="single" w:color="C8C8C8" w:sz="4"/>
              <w:left w:val="single" w:color="C8C8C8" w:sz="4"/>
              <w:bottom w:val="single" w:color="C8C8C8" w:sz="4"/>
              <w:right w:val="single" w:color="C8C8C8" w:sz="4"/>
            </w:tcBorders>
            <w:shd w:fill="F4F4F2" w:val="clear"/>
            <w:tcMar>
              <w:top w:type="dxa" w:w="80"/>
              <w:left w:type="dxa" w:w="120"/>
              <w:bottom w:type="dxa" w:w="80"/>
              <w:right w:type="dxa" w:w="120"/>
            </w:tcMar>
          </w:tcPr>
          <w:p>
            <w:pPr>
              <w:spacing w:after="0" w:before="0" w:line="260"/>
            </w:pPr>
            <w:r>
              <w:rPr>
                <w:rFonts w:ascii="Arial" w:cs="Arial" w:eastAsia="Arial" w:hAnsi="Arial"/>
                <w:b/>
                <w:bCs/>
                <w:color w:val="1A1A1A"/>
                <w:sz w:val="18"/>
                <w:szCs w:val="18"/>
              </w:rPr>
              <w:t xml:space="preserve">SoftSense status</w:t>
            </w:r>
          </w:p>
        </w:tc>
      </w:tr>
      <w:tr>
        <w:tc>
          <w:tcPr>
            <w:tcW w:type="dxa" w:w="6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1</w:t>
            </w:r>
          </w:p>
        </w:tc>
        <w:tc>
          <w:tcPr>
            <w:tcW w:type="dxa" w:w="47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Basic principles observed and reported.</w:t>
            </w:r>
          </w:p>
        </w:tc>
        <w:tc>
          <w:tcPr>
            <w:tcW w:type="dxa" w:w="40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Done. Pressure feedback principle established.</w:t>
            </w:r>
          </w:p>
        </w:tc>
      </w:tr>
      <w:tr>
        <w:tc>
          <w:tcPr>
            <w:tcW w:type="dxa" w:w="6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2</w:t>
            </w:r>
          </w:p>
        </w:tc>
        <w:tc>
          <w:tcPr>
            <w:tcW w:type="dxa" w:w="47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Technology concept and application formulated.</w:t>
            </w:r>
          </w:p>
        </w:tc>
        <w:tc>
          <w:tcPr>
            <w:tcW w:type="dxa" w:w="40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Done. 4-finger pressure-sensing gripper specified.</w:t>
            </w:r>
          </w:p>
        </w:tc>
      </w:tr>
      <w:tr>
        <w:tc>
          <w:tcPr>
            <w:tcW w:type="dxa" w:w="6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3</w:t>
            </w:r>
          </w:p>
        </w:tc>
        <w:tc>
          <w:tcPr>
            <w:tcW w:type="dxa" w:w="47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Experimental proof of concept.</w:t>
            </w:r>
          </w:p>
        </w:tc>
        <w:tc>
          <w:tcPr>
            <w:tcW w:type="dxa" w:w="40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Done. Working scaled prototype with all four innovations integrated; bench-tested against the 4-object artefact set.</w:t>
            </w:r>
          </w:p>
        </w:tc>
      </w:tr>
      <w:tr>
        <w:tc>
          <w:tcPr>
            <w:tcW w:type="dxa" w:w="6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4</w:t>
            </w:r>
          </w:p>
        </w:tc>
        <w:tc>
          <w:tcPr>
            <w:tcW w:type="dxa" w:w="47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Technology validated in lab.</w:t>
            </w:r>
          </w:p>
        </w:tc>
        <w:tc>
          <w:tcPr>
            <w:tcW w:type="dxa" w:w="40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Partially done. FEA validates fingers and texture; bench plan in §13 closes the remaining gaps. Soak and hyperbaric tests are scheduled before Korea.</w:t>
            </w:r>
          </w:p>
        </w:tc>
      </w:tr>
      <w:tr>
        <w:tc>
          <w:tcPr>
            <w:tcW w:type="dxa" w:w="6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5</w:t>
            </w:r>
          </w:p>
        </w:tc>
        <w:tc>
          <w:tcPr>
            <w:tcW w:type="dxa" w:w="47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Technology validated in relevant environment.</w:t>
            </w:r>
          </w:p>
        </w:tc>
        <w:tc>
          <w:tcPr>
            <w:tcW w:type="dxa" w:w="40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Future. Requires pool dive on a BlueROV2 chassis with a real artefact analog at depth.</w:t>
            </w:r>
          </w:p>
        </w:tc>
      </w:tr>
      <w:tr>
        <w:tc>
          <w:tcPr>
            <w:tcW w:type="dxa" w:w="6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6 to 9</w:t>
            </w:r>
          </w:p>
        </w:tc>
        <w:tc>
          <w:tcPr>
            <w:tcW w:type="dxa" w:w="47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Demonstration, full system, qualified, real-world deployment.</w:t>
            </w:r>
          </w:p>
        </w:tc>
        <w:tc>
          <w:tcPr>
            <w:tcW w:type="dxa" w:w="40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Future.</w:t>
            </w:r>
          </w:p>
        </w:tc>
      </w:tr>
    </w:tbl>
    <w:p>
      <w:pPr>
        <w:spacing w:after="160"/>
      </w:pPr>
      <w:r>
        <w:t xml:space="preserve"/>
      </w:r>
    </w:p>
    <w:p>
      <w:pPr>
        <w:spacing w:after="100" w:before="0" w:line="300"/>
      </w:pPr>
      <w:r>
        <w:rPr>
          <w:rFonts w:ascii="Arial" w:cs="Arial" w:eastAsia="Arial" w:hAnsi="Arial"/>
          <w:b w:val="false"/>
          <w:bCs w:val="false"/>
          <w:i w:val="false"/>
          <w:iCs w:val="false"/>
          <w:color w:val="1A1A1A"/>
          <w:sz w:val="22"/>
          <w:szCs w:val="22"/>
        </w:rPr>
        <w:t xml:space="preserve">Current placement: TRL 3 to 4. The valley of death (TRL 3 to 7) that Woodside warned us about is the gap we are crossing now. The bench plan in §13 is the explicit crossing strategy.</w:t>
      </w:r>
    </w:p>
    <w:p>
      <w:pPr>
        <w:pStyle w:val="Heading2"/>
        <w:spacing w:after="140" w:before="280"/>
      </w:pPr>
      <w:r>
        <w:rPr>
          <w:rFonts w:ascii="Arial" w:cs="Arial" w:eastAsia="Arial" w:hAnsi="Arial"/>
          <w:b/>
          <w:bCs/>
          <w:color w:val="1A1A1A"/>
          <w:sz w:val="26"/>
          <w:szCs w:val="26"/>
        </w:rPr>
        <w:t xml:space="preserve">Operating boundaries (1:1 production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C8C8" w:sz="4"/>
              <w:left w:val="single" w:color="C8C8C8" w:sz="4"/>
              <w:bottom w:val="single" w:color="C8C8C8" w:sz="4"/>
              <w:right w:val="single" w:color="C8C8C8" w:sz="4"/>
            </w:tcBorders>
            <w:shd w:fill="F4F4F2" w:val="clear"/>
            <w:tcMar>
              <w:top w:type="dxa" w:w="80"/>
              <w:left w:type="dxa" w:w="120"/>
              <w:bottom w:type="dxa" w:w="80"/>
              <w:right w:type="dxa" w:w="120"/>
            </w:tcMar>
          </w:tcPr>
          <w:p>
            <w:pPr>
              <w:spacing w:after="0" w:before="0" w:line="260"/>
            </w:pPr>
            <w:r>
              <w:rPr>
                <w:rFonts w:ascii="Arial" w:cs="Arial" w:eastAsia="Arial" w:hAnsi="Arial"/>
                <w:b/>
                <w:bCs/>
                <w:color w:val="1A1A1A"/>
                <w:sz w:val="18"/>
                <w:szCs w:val="18"/>
              </w:rPr>
              <w:t xml:space="preserve">Parameter</w:t>
            </w:r>
          </w:p>
        </w:tc>
        <w:tc>
          <w:tcPr>
            <w:tcW w:type="dxa" w:w="6360"/>
            <w:tcBorders>
              <w:top w:val="single" w:color="C8C8C8" w:sz="4"/>
              <w:left w:val="single" w:color="C8C8C8" w:sz="4"/>
              <w:bottom w:val="single" w:color="C8C8C8" w:sz="4"/>
              <w:right w:val="single" w:color="C8C8C8" w:sz="4"/>
            </w:tcBorders>
            <w:shd w:fill="F4F4F2" w:val="clear"/>
            <w:tcMar>
              <w:top w:type="dxa" w:w="80"/>
              <w:left w:type="dxa" w:w="120"/>
              <w:bottom w:type="dxa" w:w="80"/>
              <w:right w:type="dxa" w:w="120"/>
            </w:tcMar>
          </w:tcPr>
          <w:p>
            <w:pPr>
              <w:spacing w:after="0" w:before="0" w:line="260"/>
            </w:pPr>
            <w:r>
              <w:rPr>
                <w:rFonts w:ascii="Arial" w:cs="Arial" w:eastAsia="Arial" w:hAnsi="Arial"/>
                <w:b/>
                <w:bCs/>
                <w:color w:val="1A1A1A"/>
                <w:sz w:val="18"/>
                <w:szCs w:val="18"/>
              </w:rPr>
              <w:t xml:space="preserve">Boundary</w:t>
            </w:r>
          </w:p>
        </w:tc>
      </w:tr>
      <w:tr>
        <w:tc>
          <w:tcPr>
            <w:tcW w:type="dxa" w:w="30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Operating depth</w:t>
            </w:r>
          </w:p>
        </w:tc>
        <w:tc>
          <w:tcPr>
            <w:tcW w:type="dxa" w:w="63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0 to 50 m (T2 actuator + 30 m canister rating) for the shipped configuration; T3 magnetic-coupling pod extends to 200+ m as a future option.</w:t>
            </w:r>
          </w:p>
        </w:tc>
      </w:tr>
      <w:tr>
        <w:tc>
          <w:tcPr>
            <w:tcW w:type="dxa" w:w="30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Operating temperature</w:t>
            </w:r>
          </w:p>
        </w:tc>
        <w:tc>
          <w:tcPr>
            <w:tcW w:type="dxa" w:w="63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−2 to +30 °C water temperature (covers WA continental shelf summer and Antarctic Peninsula summer).</w:t>
            </w:r>
          </w:p>
        </w:tc>
      </w:tr>
      <w:tr>
        <w:tc>
          <w:tcPr>
            <w:tcW w:type="dxa" w:w="30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Residency time in water</w:t>
            </w:r>
          </w:p>
        </w:tc>
        <w:tc>
          <w:tcPr>
            <w:tcW w:type="dxa" w:w="63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Continuous immersion up to 30 days per the PETG soak-test result; rinse with fresh water between deployments.</w:t>
            </w:r>
          </w:p>
        </w:tc>
      </w:tr>
      <w:tr>
        <w:tc>
          <w:tcPr>
            <w:tcW w:type="dxa" w:w="30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Salinity</w:t>
            </w:r>
          </w:p>
        </w:tc>
        <w:tc>
          <w:tcPr>
            <w:tcW w:type="dxa" w:w="63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Full marine (35 ppt) to brackish; fresh water also acceptable.</w:t>
            </w:r>
          </w:p>
        </w:tc>
      </w:tr>
      <w:tr>
        <w:tc>
          <w:tcPr>
            <w:tcW w:type="dxa" w:w="30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Payload</w:t>
            </w:r>
          </w:p>
        </w:tc>
        <w:tc>
          <w:tcPr>
            <w:tcW w:type="dxa" w:w="63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2 to 5 kg per Patrick Morrison's archaeology use case; structural test required to certify above 5 kg.</w:t>
            </w:r>
          </w:p>
        </w:tc>
      </w:tr>
      <w:tr>
        <w:tc>
          <w:tcPr>
            <w:tcW w:type="dxa" w:w="30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Grip force per finger</w:t>
            </w:r>
          </w:p>
        </w:tc>
        <w:tc>
          <w:tcPr>
            <w:tcW w:type="dxa" w:w="63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0.14 to 0.73 N (shipped gears, conservative) or 4.2 to 8.7 N (proposed re-size).</w:t>
            </w:r>
          </w:p>
        </w:tc>
      </w:tr>
      <w:tr>
        <w:tc>
          <w:tcPr>
            <w:tcW w:type="dxa" w:w="30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Maintenance interval</w:t>
            </w:r>
          </w:p>
        </w:tc>
        <w:tc>
          <w:tcPr>
            <w:tcW w:type="dxa" w:w="63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Visual inspection every dive; pin replacement annually or after visible creep; finger replacement at 10,000 grip cycles or first visible TPU crack.</w:t>
            </w:r>
          </w:p>
        </w:tc>
      </w:tr>
      <w:tr>
        <w:tc>
          <w:tcPr>
            <w:tcW w:type="dxa" w:w="30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Storage</w:t>
            </w:r>
          </w:p>
        </w:tc>
        <w:tc>
          <w:tcPr>
            <w:tcW w:type="dxa" w:w="63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Dry, room temperature, out of direct UV; PETG yellows in sustained sun over months.</w:t>
            </w:r>
          </w:p>
        </w:tc>
      </w:tr>
    </w:tbl>
    <w:p>
      <w:pPr>
        <w:spacing w:after="160"/>
      </w:pPr>
      <w:r>
        <w:t xml:space="preserve"/>
      </w:r>
    </w:p>
    <w:p>
      <w:r>
        <w:br w:type="page"/>
      </w:r>
    </w:p>
    <w:p>
      <w:pPr>
        <w:pStyle w:val="Heading1"/>
        <w:pBdr>
          <w:top w:val="none" w:color="FFFFFF" w:sz="0" w:space="0"/>
          <w:left w:val="none" w:color="FFFFFF" w:sz="0" w:space="0"/>
          <w:bottom w:val="single" w:color="F5D802" w:sz="18" w:space="4"/>
          <w:right w:val="none" w:color="FFFFFF" w:sz="0" w:space="0"/>
        </w:pBdr>
        <w:spacing w:after="200" w:before="320"/>
      </w:pPr>
      <w:r>
        <w:rPr>
          <w:rFonts w:ascii="Arial" w:cs="Arial" w:eastAsia="Arial" w:hAnsi="Arial"/>
          <w:b/>
          <w:bCs/>
          <w:color w:val="1A1A1A"/>
          <w:sz w:val="36"/>
          <w:szCs w:val="36"/>
        </w:rPr>
        <w:t xml:space="preserve">15. Test data from the FLL bench set</w:t>
      </w:r>
    </w:p>
    <w:p>
      <w:pPr>
        <w:spacing w:after="100" w:before="0" w:line="300"/>
      </w:pPr>
      <w:r>
        <w:rPr>
          <w:rFonts w:ascii="Arial" w:cs="Arial" w:eastAsia="Arial" w:hAnsi="Arial"/>
          <w:b w:val="false"/>
          <w:bCs w:val="false"/>
          <w:i w:val="false"/>
          <w:iCs w:val="false"/>
          <w:color w:val="1A1A1A"/>
          <w:sz w:val="22"/>
          <w:szCs w:val="22"/>
        </w:rPr>
        <w:t xml:space="preserve">We tested the scaled prototype against four artefact-analog objects chosen for shape diversity: a bone, an anchor, a vase, and a treasure chest. The bone and the anchor are both long; the anchor has natural grip features (holes), the bone has none. The chest and the vase are both stout; the chest has rectangular grooves for easy grip, the vase is smooth and only has the head to grip.</w:t>
      </w:r>
    </w:p>
    <w:p>
      <w:pPr>
        <w:pStyle w:val="Heading2"/>
        <w:spacing w:after="140" w:before="280"/>
      </w:pPr>
      <w:r>
        <w:rPr>
          <w:rFonts w:ascii="Arial" w:cs="Arial" w:eastAsia="Arial" w:hAnsi="Arial"/>
          <w:b/>
          <w:bCs/>
          <w:color w:val="1A1A1A"/>
          <w:sz w:val="26"/>
          <w:szCs w:val="26"/>
        </w:rPr>
        <w:t xml:space="preserve">Results (4 finger vs 2 finger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1960"/>
      </w:tblGrid>
      <w:tr>
        <w:tc>
          <w:tcPr>
            <w:tcW w:type="dxa" w:w="3000"/>
            <w:tcBorders>
              <w:top w:val="single" w:color="C8C8C8" w:sz="4"/>
              <w:left w:val="single" w:color="C8C8C8" w:sz="4"/>
              <w:bottom w:val="single" w:color="C8C8C8" w:sz="4"/>
              <w:right w:val="single" w:color="C8C8C8" w:sz="4"/>
            </w:tcBorders>
            <w:shd w:fill="F4F4F2" w:val="clear"/>
            <w:tcMar>
              <w:top w:type="dxa" w:w="80"/>
              <w:left w:type="dxa" w:w="120"/>
              <w:bottom w:type="dxa" w:w="80"/>
              <w:right w:type="dxa" w:w="120"/>
            </w:tcMar>
          </w:tcPr>
          <w:p>
            <w:pPr>
              <w:spacing w:after="0" w:before="0" w:line="260"/>
            </w:pPr>
            <w:r>
              <w:rPr>
                <w:rFonts w:ascii="Arial" w:cs="Arial" w:eastAsia="Arial" w:hAnsi="Arial"/>
                <w:b/>
                <w:bCs/>
                <w:color w:val="1A1A1A"/>
                <w:sz w:val="18"/>
                <w:szCs w:val="18"/>
              </w:rPr>
              <w:t xml:space="preserve">Object</w:t>
            </w:r>
          </w:p>
        </w:tc>
        <w:tc>
          <w:tcPr>
            <w:tcW w:type="dxa" w:w="2200"/>
            <w:tcBorders>
              <w:top w:val="single" w:color="C8C8C8" w:sz="4"/>
              <w:left w:val="single" w:color="C8C8C8" w:sz="4"/>
              <w:bottom w:val="single" w:color="C8C8C8" w:sz="4"/>
              <w:right w:val="single" w:color="C8C8C8" w:sz="4"/>
            </w:tcBorders>
            <w:shd w:fill="F4F4F2" w:val="clear"/>
            <w:tcMar>
              <w:top w:type="dxa" w:w="80"/>
              <w:left w:type="dxa" w:w="120"/>
              <w:bottom w:type="dxa" w:w="80"/>
              <w:right w:type="dxa" w:w="120"/>
            </w:tcMar>
          </w:tcPr>
          <w:p>
            <w:pPr>
              <w:spacing w:after="0" w:before="0" w:line="260"/>
            </w:pPr>
            <w:r>
              <w:rPr>
                <w:rFonts w:ascii="Arial" w:cs="Arial" w:eastAsia="Arial" w:hAnsi="Arial"/>
                <w:b/>
                <w:bCs/>
                <w:color w:val="1A1A1A"/>
                <w:sz w:val="18"/>
                <w:szCs w:val="18"/>
              </w:rPr>
              <w:t xml:space="preserve">Attempts (4 fingers)</w:t>
            </w:r>
          </w:p>
        </w:tc>
        <w:tc>
          <w:tcPr>
            <w:tcW w:type="dxa" w:w="2200"/>
            <w:tcBorders>
              <w:top w:val="single" w:color="C8C8C8" w:sz="4"/>
              <w:left w:val="single" w:color="C8C8C8" w:sz="4"/>
              <w:bottom w:val="single" w:color="C8C8C8" w:sz="4"/>
              <w:right w:val="single" w:color="C8C8C8" w:sz="4"/>
            </w:tcBorders>
            <w:shd w:fill="F4F4F2" w:val="clear"/>
            <w:tcMar>
              <w:top w:type="dxa" w:w="80"/>
              <w:left w:type="dxa" w:w="120"/>
              <w:bottom w:type="dxa" w:w="80"/>
              <w:right w:type="dxa" w:w="120"/>
            </w:tcMar>
          </w:tcPr>
          <w:p>
            <w:pPr>
              <w:spacing w:after="0" w:before="0" w:line="260"/>
            </w:pPr>
            <w:r>
              <w:rPr>
                <w:rFonts w:ascii="Arial" w:cs="Arial" w:eastAsia="Arial" w:hAnsi="Arial"/>
                <w:b/>
                <w:bCs/>
                <w:color w:val="1A1A1A"/>
                <w:sz w:val="18"/>
                <w:szCs w:val="18"/>
              </w:rPr>
              <w:t xml:space="preserve">Attempts (2 fingers)</w:t>
            </w:r>
          </w:p>
        </w:tc>
        <w:tc>
          <w:tcPr>
            <w:tcW w:type="dxa" w:w="1960"/>
            <w:tcBorders>
              <w:top w:val="single" w:color="C8C8C8" w:sz="4"/>
              <w:left w:val="single" w:color="C8C8C8" w:sz="4"/>
              <w:bottom w:val="single" w:color="C8C8C8" w:sz="4"/>
              <w:right w:val="single" w:color="C8C8C8" w:sz="4"/>
            </w:tcBorders>
            <w:shd w:fill="F4F4F2" w:val="clear"/>
            <w:tcMar>
              <w:top w:type="dxa" w:w="80"/>
              <w:left w:type="dxa" w:w="120"/>
              <w:bottom w:type="dxa" w:w="80"/>
              <w:right w:type="dxa" w:w="120"/>
            </w:tcMar>
          </w:tcPr>
          <w:p>
            <w:pPr>
              <w:spacing w:after="0" w:before="0" w:line="260"/>
            </w:pPr>
            <w:r>
              <w:rPr>
                <w:rFonts w:ascii="Arial" w:cs="Arial" w:eastAsia="Arial" w:hAnsi="Arial"/>
                <w:b/>
                <w:bCs/>
                <w:color w:val="1A1A1A"/>
                <w:sz w:val="18"/>
                <w:szCs w:val="18"/>
              </w:rPr>
              <w:t xml:space="preserve">Pressure to grip</w:t>
            </w:r>
          </w:p>
        </w:tc>
      </w:tr>
      <w:tr>
        <w:tc>
          <w:tcPr>
            <w:tcW w:type="dxa" w:w="30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Bone</w:t>
            </w:r>
          </w:p>
        </w:tc>
        <w:tc>
          <w:tcPr>
            <w:tcW w:type="dxa" w:w="22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2</w:t>
            </w:r>
          </w:p>
        </w:tc>
        <w:tc>
          <w:tcPr>
            <w:tcW w:type="dxa" w:w="22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4</w:t>
            </w:r>
          </w:p>
        </w:tc>
        <w:tc>
          <w:tcPr>
            <w:tcW w:type="dxa" w:w="19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26 gf</w:t>
            </w:r>
          </w:p>
        </w:tc>
      </w:tr>
      <w:tr>
        <w:tc>
          <w:tcPr>
            <w:tcW w:type="dxa" w:w="30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Anchor</w:t>
            </w:r>
          </w:p>
        </w:tc>
        <w:tc>
          <w:tcPr>
            <w:tcW w:type="dxa" w:w="22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5</w:t>
            </w:r>
          </w:p>
        </w:tc>
        <w:tc>
          <w:tcPr>
            <w:tcW w:type="dxa" w:w="22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4</w:t>
            </w:r>
          </w:p>
        </w:tc>
        <w:tc>
          <w:tcPr>
            <w:tcW w:type="dxa" w:w="19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96 gf</w:t>
            </w:r>
          </w:p>
        </w:tc>
      </w:tr>
      <w:tr>
        <w:tc>
          <w:tcPr>
            <w:tcW w:type="dxa" w:w="30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Vase</w:t>
            </w:r>
          </w:p>
        </w:tc>
        <w:tc>
          <w:tcPr>
            <w:tcW w:type="dxa" w:w="22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3</w:t>
            </w:r>
          </w:p>
        </w:tc>
        <w:tc>
          <w:tcPr>
            <w:tcW w:type="dxa" w:w="22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5</w:t>
            </w:r>
          </w:p>
        </w:tc>
        <w:tc>
          <w:tcPr>
            <w:tcW w:type="dxa" w:w="19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411 gf</w:t>
            </w:r>
          </w:p>
        </w:tc>
      </w:tr>
      <w:tr>
        <w:tc>
          <w:tcPr>
            <w:tcW w:type="dxa" w:w="30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Chest</w:t>
            </w:r>
          </w:p>
        </w:tc>
        <w:tc>
          <w:tcPr>
            <w:tcW w:type="dxa" w:w="22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3</w:t>
            </w:r>
          </w:p>
        </w:tc>
        <w:tc>
          <w:tcPr>
            <w:tcW w:type="dxa" w:w="22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3</w:t>
            </w:r>
          </w:p>
        </w:tc>
        <w:tc>
          <w:tcPr>
            <w:tcW w:type="dxa" w:w="19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288 gf</w:t>
            </w:r>
          </w:p>
        </w:tc>
      </w:tr>
    </w:tbl>
    <w:p>
      <w:pPr>
        <w:spacing w:after="160"/>
      </w:pPr>
      <w:r>
        <w:t xml:space="preserve"/>
      </w:r>
    </w:p>
    <w:p>
      <w:pPr>
        <w:pStyle w:val="Heading2"/>
        <w:spacing w:after="140" w:before="280"/>
      </w:pPr>
      <w:r>
        <w:rPr>
          <w:rFonts w:ascii="Arial" w:cs="Arial" w:eastAsia="Arial" w:hAnsi="Arial"/>
          <w:b/>
          <w:bCs/>
          <w:color w:val="1A1A1A"/>
          <w:sz w:val="26"/>
          <w:szCs w:val="26"/>
        </w:rPr>
        <w:t xml:space="preserve">Reading the results</w:t>
      </w:r>
    </w:p>
    <w:p>
      <w:pPr>
        <w:spacing w:after="100" w:before="0" w:line="300"/>
      </w:pPr>
      <w:r>
        <w:rPr>
          <w:rFonts w:ascii="Arial" w:cs="Arial" w:eastAsia="Arial" w:hAnsi="Arial"/>
          <w:b w:val="false"/>
          <w:bCs w:val="false"/>
          <w:i w:val="false"/>
          <w:iCs w:val="false"/>
          <w:color w:val="1A1A1A"/>
          <w:sz w:val="22"/>
          <w:szCs w:val="22"/>
        </w:rPr>
        <w:t xml:space="preserve">The 4-finger configuration outperforms 2-finger on smooth or round geometry (vase) and on poor-grip-feature geometry (bone), and ties on regular-feature geometry (anchor, chest). That is the case for soft pads with sensors: when the artefact has natural features for a rigid jaw to bite, you cannot do much better than 3 attempts. When the artefact is smooth or featureless, the 4-pad layout wraps it and the 2-jaw layout slips off it. The bone is the cleanest example: 2 attempts versus 4.</w:t>
      </w:r>
    </w:p>
    <w:p>
      <w:pPr>
        <w:spacing w:after="100" w:before="0" w:line="300"/>
      </w:pPr>
      <w:r>
        <w:rPr>
          <w:rFonts w:ascii="Arial" w:cs="Arial" w:eastAsia="Arial" w:hAnsi="Arial"/>
          <w:b w:val="false"/>
          <w:bCs w:val="false"/>
          <w:i w:val="false"/>
          <w:iCs w:val="false"/>
          <w:color w:val="1A1A1A"/>
          <w:sz w:val="22"/>
          <w:szCs w:val="22"/>
        </w:rPr>
        <w:t xml:space="preserve">The pressure values span an order of magnitude, from 26 gf (bone) to 411 gf (vase). That is direct empirical support for the per-artefact preset architecture in innovation 2: a single global pressure threshold would either crush the bone (if set high enough to lift the vase) or fail to lift the vase (if set low enough to spare the bone). Different shapes need different presets, and the per-pad sensor system can deliver them.</w:t>
      </w:r>
    </w:p>
    <w:p>
      <w:r>
        <w:br w:type="page"/>
      </w:r>
    </w:p>
    <w:p>
      <w:pPr>
        <w:pStyle w:val="Heading1"/>
        <w:pBdr>
          <w:top w:val="none" w:color="FFFFFF" w:sz="0" w:space="0"/>
          <w:left w:val="none" w:color="FFFFFF" w:sz="0" w:space="0"/>
          <w:bottom w:val="single" w:color="F5D802" w:sz="18" w:space="4"/>
          <w:right w:val="none" w:color="FFFFFF" w:sz="0" w:space="0"/>
        </w:pBdr>
        <w:spacing w:after="200" w:before="320"/>
      </w:pPr>
      <w:r>
        <w:rPr>
          <w:rFonts w:ascii="Arial" w:cs="Arial" w:eastAsia="Arial" w:hAnsi="Arial"/>
          <w:b/>
          <w:bCs/>
          <w:color w:val="1A1A1A"/>
          <w:sz w:val="36"/>
          <w:szCs w:val="36"/>
        </w:rPr>
        <w:t xml:space="preserve">16. Expert validation and outreach</w:t>
      </w:r>
    </w:p>
    <w:p>
      <w:pPr>
        <w:spacing w:after="100" w:before="0" w:line="300"/>
      </w:pPr>
      <w:r>
        <w:rPr>
          <w:rFonts w:ascii="Arial" w:cs="Arial" w:eastAsia="Arial" w:hAnsi="Arial"/>
          <w:b w:val="false"/>
          <w:bCs w:val="false"/>
          <w:i w:val="false"/>
          <w:iCs w:val="false"/>
          <w:color w:val="1A1A1A"/>
          <w:sz w:val="22"/>
          <w:szCs w:val="22"/>
        </w:rPr>
        <w:t xml:space="preserve">SoftSense has been reviewed by working subsea engineers, working archaeologists, and major Australian subsea-industry operators. We list them here because the credibility of the design rests on these people taking it seriously.</w:t>
      </w:r>
    </w:p>
    <w:p>
      <w:pPr>
        <w:pStyle w:val="Heading2"/>
        <w:spacing w:after="140" w:before="280"/>
      </w:pPr>
      <w:r>
        <w:rPr>
          <w:rFonts w:ascii="Arial" w:cs="Arial" w:eastAsia="Arial" w:hAnsi="Arial"/>
          <w:b/>
          <w:bCs/>
          <w:color w:val="1A1A1A"/>
          <w:sz w:val="26"/>
          <w:szCs w:val="26"/>
        </w:rPr>
        <w:t xml:space="preserve">Engineering and industry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960"/>
      </w:tblGrid>
      <w:tr>
        <w:tc>
          <w:tcPr>
            <w:tcW w:type="dxa" w:w="2700"/>
            <w:tcBorders>
              <w:top w:val="single" w:color="C8C8C8" w:sz="4"/>
              <w:left w:val="single" w:color="C8C8C8" w:sz="4"/>
              <w:bottom w:val="single" w:color="C8C8C8" w:sz="4"/>
              <w:right w:val="single" w:color="C8C8C8" w:sz="4"/>
            </w:tcBorders>
            <w:shd w:fill="F4F4F2" w:val="clear"/>
            <w:tcMar>
              <w:top w:type="dxa" w:w="80"/>
              <w:left w:type="dxa" w:w="120"/>
              <w:bottom w:type="dxa" w:w="80"/>
              <w:right w:type="dxa" w:w="120"/>
            </w:tcMar>
          </w:tcPr>
          <w:p>
            <w:pPr>
              <w:spacing w:after="0" w:before="0" w:line="260"/>
            </w:pPr>
            <w:r>
              <w:rPr>
                <w:rFonts w:ascii="Arial" w:cs="Arial" w:eastAsia="Arial" w:hAnsi="Arial"/>
                <w:b/>
                <w:bCs/>
                <w:color w:val="1A1A1A"/>
                <w:sz w:val="18"/>
                <w:szCs w:val="18"/>
              </w:rPr>
              <w:t xml:space="preserve">Reviewer</w:t>
            </w:r>
          </w:p>
        </w:tc>
        <w:tc>
          <w:tcPr>
            <w:tcW w:type="dxa" w:w="2700"/>
            <w:tcBorders>
              <w:top w:val="single" w:color="C8C8C8" w:sz="4"/>
              <w:left w:val="single" w:color="C8C8C8" w:sz="4"/>
              <w:bottom w:val="single" w:color="C8C8C8" w:sz="4"/>
              <w:right w:val="single" w:color="C8C8C8" w:sz="4"/>
            </w:tcBorders>
            <w:shd w:fill="F4F4F2" w:val="clear"/>
            <w:tcMar>
              <w:top w:type="dxa" w:w="80"/>
              <w:left w:type="dxa" w:w="120"/>
              <w:bottom w:type="dxa" w:w="80"/>
              <w:right w:type="dxa" w:w="120"/>
            </w:tcMar>
          </w:tcPr>
          <w:p>
            <w:pPr>
              <w:spacing w:after="0" w:before="0" w:line="260"/>
            </w:pPr>
            <w:r>
              <w:rPr>
                <w:rFonts w:ascii="Arial" w:cs="Arial" w:eastAsia="Arial" w:hAnsi="Arial"/>
                <w:b/>
                <w:bCs/>
                <w:color w:val="1A1A1A"/>
                <w:sz w:val="18"/>
                <w:szCs w:val="18"/>
              </w:rPr>
              <w:t xml:space="preserve">Role</w:t>
            </w:r>
          </w:p>
        </w:tc>
        <w:tc>
          <w:tcPr>
            <w:tcW w:type="dxa" w:w="3960"/>
            <w:tcBorders>
              <w:top w:val="single" w:color="C8C8C8" w:sz="4"/>
              <w:left w:val="single" w:color="C8C8C8" w:sz="4"/>
              <w:bottom w:val="single" w:color="C8C8C8" w:sz="4"/>
              <w:right w:val="single" w:color="C8C8C8" w:sz="4"/>
            </w:tcBorders>
            <w:shd w:fill="F4F4F2" w:val="clear"/>
            <w:tcMar>
              <w:top w:type="dxa" w:w="80"/>
              <w:left w:type="dxa" w:w="120"/>
              <w:bottom w:type="dxa" w:w="80"/>
              <w:right w:type="dxa" w:w="120"/>
            </w:tcMar>
          </w:tcPr>
          <w:p>
            <w:pPr>
              <w:spacing w:after="0" w:before="0" w:line="260"/>
            </w:pPr>
            <w:r>
              <w:rPr>
                <w:rFonts w:ascii="Arial" w:cs="Arial" w:eastAsia="Arial" w:hAnsi="Arial"/>
                <w:b/>
                <w:bCs/>
                <w:color w:val="1A1A1A"/>
                <w:sz w:val="18"/>
                <w:szCs w:val="18"/>
              </w:rPr>
              <w:t xml:space="preserve">What they validated or contributed</w:t>
            </w:r>
          </w:p>
        </w:tc>
      </w:tr>
      <w:tr>
        <w:tc>
          <w:tcPr>
            <w:tcW w:type="dxa" w:w="27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Tim MacDonald</w:t>
            </w:r>
          </w:p>
        </w:tc>
        <w:tc>
          <w:tcPr>
            <w:tcW w:type="dxa" w:w="27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Subsea engineer, Inkfish / DSV Limiting Factor</w:t>
            </w:r>
          </w:p>
        </w:tc>
        <w:tc>
          <w:tcPr>
            <w:tcW w:type="dxa" w:w="39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Confirmed the pressure-sensing innovation is genuine. Materials guidance: 3D printed plastics, avoid titanium. Oil-filled enclosure trick for cheap pressure boundary. Original CF-N12 recommendation, since superseded by our PETG-HF reevaluation. Suggested expert outreach etiquette (calendar invites).</w:t>
            </w:r>
          </w:p>
        </w:tc>
      </w:tr>
      <w:tr>
        <w:tc>
          <w:tcPr>
            <w:tcW w:type="dxa" w:w="27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Patrick Morrison</w:t>
            </w:r>
          </w:p>
        </w:tc>
        <w:tc>
          <w:tcPr>
            <w:tcW w:type="dxa" w:w="27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Assistant Curator of Maritime Heritage, WA Shipwrecks Museum</w:t>
            </w:r>
          </w:p>
        </w:tc>
        <w:tc>
          <w:tcPr>
            <w:tcW w:type="dxa" w:w="39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Site visit 14 May 2026. Validated archaeology problem at 50 to 60 m+ depths. Fail-safe (grip on power loss), foam-at-depth concerns, oil-fill or encoder alternatives, wet connects, marine-grade stainless, payload 2 to 5 kg, $1 to 2 K pricing reasonable.</w:t>
            </w:r>
          </w:p>
        </w:tc>
      </w:tr>
      <w:tr>
        <w:tc>
          <w:tcPr>
            <w:tcW w:type="dxa" w:w="27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Fiona Stachowiak + Woodside subsea team</w:t>
            </w:r>
          </w:p>
        </w:tc>
        <w:tc>
          <w:tcPr>
            <w:tcW w:type="dxa" w:w="27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Woodside Energy</w:t>
            </w:r>
          </w:p>
        </w:tc>
        <w:tc>
          <w:tcPr>
            <w:tcW w:type="dxa" w:w="39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Engineering review 20 April 2026. CF-N12 water absorption flagged (drove our PETG switch). Magnetic-coupling reference (Advanced Navigation Hydrus). TRL self-assessment ask. Operating-boundaries ask. Innovation filter (novel + value + real problem).</w:t>
            </w:r>
          </w:p>
        </w:tc>
      </w:tr>
      <w:tr>
        <w:tc>
          <w:tcPr>
            <w:tcW w:type="dxa" w:w="27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Elaine Pankhurst</w:t>
            </w:r>
          </w:p>
        </w:tc>
        <w:tc>
          <w:tcPr>
            <w:tcW w:type="dxa" w:w="27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Fugro Australia</w:t>
            </w:r>
          </w:p>
        </w:tc>
        <w:tc>
          <w:tcPr>
            <w:tcW w:type="dxa" w:w="39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Meeting 23 April 2026. Confirmed pressure-feedback parallel to Fugro's own ROV valve work. Sponsorship for Korea trip arranged. Docs routed internally to Simon (Fugro ROV manager) and the Fugro tooling team for engineering feedback.</w:t>
            </w:r>
          </w:p>
        </w:tc>
      </w:tr>
      <w:tr>
        <w:tc>
          <w:tcPr>
            <w:tcW w:type="dxa" w:w="27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Damien Singh</w:t>
            </w:r>
          </w:p>
        </w:tc>
        <w:tc>
          <w:tcPr>
            <w:tcW w:type="dxa" w:w="27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TMT</w:t>
            </w:r>
          </w:p>
        </w:tc>
        <w:tc>
          <w:tcPr>
            <w:tcW w:type="dxa" w:w="39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SoftSense documentation routed to TMT's CEO 23 April 2026 for engineering feedback.</w:t>
            </w:r>
          </w:p>
        </w:tc>
      </w:tr>
      <w:tr>
        <w:tc>
          <w:tcPr>
            <w:tcW w:type="dxa" w:w="27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David Howard</w:t>
            </w:r>
          </w:p>
        </w:tc>
        <w:tc>
          <w:tcPr>
            <w:tcW w:type="dxa" w:w="27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Regionals judge / mentor</w:t>
            </w:r>
          </w:p>
        </w:tc>
        <w:tc>
          <w:tcPr>
            <w:tcW w:type="dxa" w:w="39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Identified ambient-pressure confounder (subtracted in code via second pressure sensor).</w:t>
            </w:r>
          </w:p>
        </w:tc>
      </w:tr>
    </w:tbl>
    <w:p>
      <w:pPr>
        <w:spacing w:after="160"/>
      </w:pPr>
      <w:r>
        <w:t xml:space="preserve"/>
      </w:r>
    </w:p>
    <w:p>
      <w:pPr>
        <w:pStyle w:val="Heading2"/>
        <w:spacing w:after="140" w:before="280"/>
      </w:pPr>
      <w:r>
        <w:rPr>
          <w:rFonts w:ascii="Arial" w:cs="Arial" w:eastAsia="Arial" w:hAnsi="Arial"/>
          <w:b/>
          <w:bCs/>
          <w:color w:val="1A1A1A"/>
          <w:sz w:val="26"/>
          <w:szCs w:val="26"/>
        </w:rPr>
        <w:t xml:space="preserve">Experts emailed during the Nationals round</w:t>
      </w:r>
    </w:p>
    <w:p>
      <w:pPr>
        <w:spacing w:after="100" w:before="0" w:line="300"/>
      </w:pPr>
      <w:r>
        <w:rPr>
          <w:rFonts w:ascii="Arial" w:cs="Arial" w:eastAsia="Arial" w:hAnsi="Arial"/>
          <w:b w:val="false"/>
          <w:bCs w:val="false"/>
          <w:i w:val="false"/>
          <w:iCs w:val="false"/>
          <w:color w:val="1A1A1A"/>
          <w:sz w:val="22"/>
          <w:szCs w:val="22"/>
        </w:rPr>
        <w:t xml:space="preserve">Dr John McCarthy. Associate Professor Jonathan Benjamin. Chelsea Wiseman. Michael O'Leary (UWA). Jerem Leach. Ingrid Ward. Hiro Yoshida.</w:t>
      </w:r>
    </w:p>
    <w:p>
      <w:pPr>
        <w:pStyle w:val="Heading2"/>
        <w:spacing w:after="140" w:before="280"/>
      </w:pPr>
      <w:r>
        <w:rPr>
          <w:rFonts w:ascii="Arial" w:cs="Arial" w:eastAsia="Arial" w:hAnsi="Arial"/>
          <w:b/>
          <w:bCs/>
          <w:color w:val="1A1A1A"/>
          <w:sz w:val="26"/>
          <w:szCs w:val="26"/>
        </w:rPr>
        <w:t xml:space="preserve">Institutions emailed</w:t>
      </w:r>
    </w:p>
    <w:p>
      <w:pPr>
        <w:spacing w:after="100" w:before="0" w:line="300"/>
      </w:pPr>
      <w:r>
        <w:rPr>
          <w:rFonts w:ascii="Arial" w:cs="Arial" w:eastAsia="Arial" w:hAnsi="Arial"/>
          <w:b w:val="false"/>
          <w:bCs w:val="false"/>
          <w:i w:val="false"/>
          <w:iCs w:val="false"/>
          <w:color w:val="1A1A1A"/>
          <w:sz w:val="22"/>
          <w:szCs w:val="22"/>
        </w:rPr>
        <w:t xml:space="preserve">Australasian Institute for Maritime Archaeology. Minderoo-UWA Deep Sea Research Centre. Western Australian Museum.</w:t>
      </w:r>
    </w:p>
    <w:p>
      <w:pPr>
        <w:pStyle w:val="Heading2"/>
        <w:spacing w:after="140" w:before="280"/>
      </w:pPr>
      <w:r>
        <w:rPr>
          <w:rFonts w:ascii="Arial" w:cs="Arial" w:eastAsia="Arial" w:hAnsi="Arial"/>
          <w:b/>
          <w:bCs/>
          <w:color w:val="1A1A1A"/>
          <w:sz w:val="26"/>
          <w:szCs w:val="26"/>
        </w:rPr>
        <w:t xml:space="preserve">Post-Nationals outreach pipeline</w:t>
      </w:r>
    </w:p>
    <w:p>
      <w:pPr>
        <w:spacing w:after="100" w:before="0" w:line="300"/>
      </w:pPr>
      <w:r>
        <w:rPr>
          <w:rFonts w:ascii="Arial" w:cs="Arial" w:eastAsia="Arial" w:hAnsi="Arial"/>
          <w:b w:val="false"/>
          <w:bCs w:val="false"/>
          <w:i w:val="false"/>
          <w:iCs w:val="false"/>
          <w:color w:val="1A1A1A"/>
          <w:sz w:val="22"/>
          <w:szCs w:val="22"/>
        </w:rPr>
        <w:t xml:space="preserve">Open channels in flight or scheduled: Australian National Maritime Museum, International Marine Contractors Association (IMCA), Schilling Robotics / TechnipFMC (Titan 4 manufacturer), UWA Engineering (Mechanical, Mechatronics, Oceans Graduate School), Curtin Underwater Sensing and Robotics Lab, CSIRO Oceans and Atmosphere, Australian Institute of Marine Science (AIMS), NOAA Ocean Exploration, OpenROV / Sofar Ocean, Monterey Bay Aquarium Research Institute (MBARI). Each was selected for a specific gap in our knowledge base: industrial gripper failure modes, marine-conservation sample handling, deep-sea exploration practice, or low-cost ROV community engineering.</w:t>
      </w:r>
    </w:p>
    <w:p>
      <w:r>
        <w:br w:type="page"/>
      </w:r>
    </w:p>
    <w:p>
      <w:pPr>
        <w:pStyle w:val="Heading1"/>
        <w:pBdr>
          <w:top w:val="none" w:color="FFFFFF" w:sz="0" w:space="0"/>
          <w:left w:val="none" w:color="FFFFFF" w:sz="0" w:space="0"/>
          <w:bottom w:val="single" w:color="F5D802" w:sz="18" w:space="4"/>
          <w:right w:val="none" w:color="FFFFFF" w:sz="0" w:space="0"/>
        </w:pBdr>
        <w:spacing w:after="200" w:before="320"/>
      </w:pPr>
      <w:r>
        <w:rPr>
          <w:rFonts w:ascii="Arial" w:cs="Arial" w:eastAsia="Arial" w:hAnsi="Arial"/>
          <w:b/>
          <w:bCs/>
          <w:color w:val="1A1A1A"/>
          <w:sz w:val="36"/>
          <w:szCs w:val="36"/>
        </w:rPr>
        <w:t xml:space="preserve">17. Scaling to artefact size: the 1.5× and 2.0× build</w:t>
      </w:r>
    </w:p>
    <w:p>
      <w:pPr>
        <w:spacing w:after="100" w:before="0" w:line="300"/>
      </w:pPr>
      <w:r>
        <w:rPr>
          <w:rFonts w:ascii="Arial" w:cs="Arial" w:eastAsia="Arial" w:hAnsi="Arial"/>
          <w:b w:val="false"/>
          <w:bCs w:val="false"/>
          <w:i w:val="false"/>
          <w:iCs w:val="false"/>
          <w:color w:val="1A1A1A"/>
          <w:sz w:val="22"/>
          <w:szCs w:val="22"/>
        </w:rPr>
        <w:t xml:space="preserve">The gripper this document describes is deliberately small. At full open the fingertips part by about 124 millimetres, and the drivetrain delivers well under a newton per finger. That is the right size for the FLL bench and the scaled test objects, but it is too small and too gentle to recover a real amphora, anchor fluke, or ballast stone off the seafloor. Every archaeologist we showed it to asked the same question: can you make it bigger? The answer is yes, and the way we built it means bigger is one parameter, not a redesign.</w:t>
      </w:r>
    </w:p>
    <w:p>
      <w:pPr>
        <w:pStyle w:val="Heading2"/>
        <w:spacing w:after="140" w:before="280"/>
      </w:pPr>
      <w:r>
        <w:rPr>
          <w:rFonts w:ascii="Arial" w:cs="Arial" w:eastAsia="Arial" w:hAnsi="Arial"/>
          <w:b/>
          <w:bCs/>
          <w:color w:val="1A1A1A"/>
          <w:sz w:val="26"/>
          <w:szCs w:val="26"/>
        </w:rPr>
        <w:t xml:space="preserve">One parameter, the whole gripper</w:t>
      </w:r>
    </w:p>
    <w:p>
      <w:pPr>
        <w:spacing w:after="100" w:before="0" w:line="300"/>
      </w:pPr>
      <w:r>
        <w:rPr>
          <w:rFonts w:ascii="Arial" w:cs="Arial" w:eastAsia="Arial" w:hAnsi="Arial"/>
          <w:b w:val="false"/>
          <w:bCs w:val="false"/>
          <w:i w:val="false"/>
          <w:iCs w:val="false"/>
          <w:color w:val="1A1A1A"/>
          <w:sz w:val="22"/>
          <w:szCs w:val="22"/>
        </w:rPr>
        <w:t xml:space="preserve">A single environment variable, GRIPPER_SCALE, multiplies every linear dimension of the model by a factor k. We built and re-simulated two larger sizes from it, 1.5× and 2.0×. The word that matters is self-similar: the linkage, the gears, the finger walls, the enclosure, the input shaft, the mounting flange, and the snap clips all scale together. Because the lengths, the radii, and the wall thicknesses grow by the same factor, every ratio and every angle is preserved — this is true mechanical similitude. We verified it: the finger rotation is identical at −20° at all three sizes, and the jaw opening scales exactly with k.</w:t>
      </w:r>
    </w:p>
    <w:p>
      <w:pPr>
        <w:spacing w:after="100" w:before="0" w:line="300"/>
      </w:pPr>
      <w:r>
        <w:rPr>
          <w:rFonts w:ascii="Arial" w:cs="Arial" w:eastAsia="Arial" w:hAnsi="Arial"/>
          <w:b w:val="false"/>
          <w:bCs w:val="false"/>
          <w:i w:val="false"/>
          <w:iCs w:val="false"/>
          <w:color w:val="1A1A1A"/>
          <w:sz w:val="22"/>
          <w:szCs w:val="22"/>
        </w:rPr>
        <w:t xml:space="preserve">A few things are deliberately held constant, because they are set by physics or by the printer rather than by the size of the part. The print and running clearances stay at about 0.3 millimetres, because they are governed by the 0.4 mm nozzle, not the part. The fastener sizes stay put — an M4 bolt is an M4 at any scale; only the positions of the bolt holes move. The flood and drain hole radii are sized by bubble and surface-tension physics, so they hold while their positions scale. And at a scale factor of 1.0 the scaled model reproduces the shipped gripper byte for byte, so the original design is preserved as the reference.</w:t>
      </w:r>
    </w:p>
    <w:p>
      <w:pPr>
        <w:pStyle w:val="Heading2"/>
        <w:spacing w:after="140" w:before="280"/>
      </w:pPr>
      <w:r>
        <w:rPr>
          <w:rFonts w:ascii="Arial" w:cs="Arial" w:eastAsia="Arial" w:hAnsi="Arial"/>
          <w:b/>
          <w:bCs/>
          <w:color w:val="1A1A1A"/>
          <w:sz w:val="26"/>
          <w:szCs w:val="26"/>
        </w:rPr>
        <w:t xml:space="preserve">Size and reach</w:t>
      </w:r>
    </w:p>
    <w:p>
      <w:pPr>
        <w:spacing w:after="100" w:before="0" w:line="300"/>
      </w:pPr>
      <w:r>
        <w:rPr>
          <w:rFonts w:ascii="Arial" w:cs="Arial" w:eastAsia="Arial" w:hAnsi="Arial"/>
          <w:b w:val="false"/>
          <w:bCs w:val="false"/>
          <w:i w:val="false"/>
          <w:iCs w:val="false"/>
          <w:color w:val="1A1A1A"/>
          <w:sz w:val="22"/>
          <w:szCs w:val="22"/>
        </w:rPr>
        <w:t xml:space="preserve">Here is what the two larger sizes actually measure, read straight from the scaled CAD. All parts still fit the 256 mm bed of the Bambu P1S at both sizes.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1960"/>
      </w:tblGrid>
      <w:tr>
        <w:tc>
          <w:tcPr>
            <w:tcW w:type="dxa" w:w="3000"/>
            <w:tcBorders>
              <w:top w:val="single" w:color="C8C8C8" w:sz="4"/>
              <w:left w:val="single" w:color="C8C8C8" w:sz="4"/>
              <w:bottom w:val="single" w:color="C8C8C8" w:sz="4"/>
              <w:right w:val="single" w:color="C8C8C8" w:sz="4"/>
            </w:tcBorders>
            <w:shd w:fill="F4F4F2" w:val="clear"/>
            <w:tcMar>
              <w:top w:type="dxa" w:w="80"/>
              <w:left w:type="dxa" w:w="120"/>
              <w:bottom w:type="dxa" w:w="80"/>
              <w:right w:type="dxa" w:w="120"/>
            </w:tcMar>
          </w:tcPr>
          <w:p>
            <w:pPr>
              <w:spacing w:after="0" w:before="0" w:line="260"/>
            </w:pPr>
            <w:r>
              <w:rPr>
                <w:rFonts w:ascii="Arial" w:cs="Arial" w:eastAsia="Arial" w:hAnsi="Arial"/>
                <w:b/>
                <w:bCs/>
                <w:color w:val="1A1A1A"/>
                <w:sz w:val="18"/>
                <w:szCs w:val="18"/>
              </w:rPr>
              <w:t xml:space="preserve">Quantity</w:t>
            </w:r>
          </w:p>
        </w:tc>
        <w:tc>
          <w:tcPr>
            <w:tcW w:type="dxa" w:w="2200"/>
            <w:tcBorders>
              <w:top w:val="single" w:color="C8C8C8" w:sz="4"/>
              <w:left w:val="single" w:color="C8C8C8" w:sz="4"/>
              <w:bottom w:val="single" w:color="C8C8C8" w:sz="4"/>
              <w:right w:val="single" w:color="C8C8C8" w:sz="4"/>
            </w:tcBorders>
            <w:shd w:fill="F4F4F2" w:val="clear"/>
            <w:tcMar>
              <w:top w:type="dxa" w:w="80"/>
              <w:left w:type="dxa" w:w="120"/>
              <w:bottom w:type="dxa" w:w="80"/>
              <w:right w:type="dxa" w:w="120"/>
            </w:tcMar>
          </w:tcPr>
          <w:p>
            <w:pPr>
              <w:spacing w:after="0" w:before="0" w:line="260"/>
            </w:pPr>
            <w:r>
              <w:rPr>
                <w:rFonts w:ascii="Arial" w:cs="Arial" w:eastAsia="Arial" w:hAnsi="Arial"/>
                <w:b/>
                <w:bCs/>
                <w:color w:val="1A1A1A"/>
                <w:sz w:val="18"/>
                <w:szCs w:val="18"/>
              </w:rPr>
              <w:t xml:space="preserve">1.0×</w:t>
            </w:r>
          </w:p>
        </w:tc>
        <w:tc>
          <w:tcPr>
            <w:tcW w:type="dxa" w:w="2200"/>
            <w:tcBorders>
              <w:top w:val="single" w:color="C8C8C8" w:sz="4"/>
              <w:left w:val="single" w:color="C8C8C8" w:sz="4"/>
              <w:bottom w:val="single" w:color="C8C8C8" w:sz="4"/>
              <w:right w:val="single" w:color="C8C8C8" w:sz="4"/>
            </w:tcBorders>
            <w:shd w:fill="F4F4F2" w:val="clear"/>
            <w:tcMar>
              <w:top w:type="dxa" w:w="80"/>
              <w:left w:type="dxa" w:w="120"/>
              <w:bottom w:type="dxa" w:w="80"/>
              <w:right w:type="dxa" w:w="120"/>
            </w:tcMar>
          </w:tcPr>
          <w:p>
            <w:pPr>
              <w:spacing w:after="0" w:before="0" w:line="260"/>
            </w:pPr>
            <w:r>
              <w:rPr>
                <w:rFonts w:ascii="Arial" w:cs="Arial" w:eastAsia="Arial" w:hAnsi="Arial"/>
                <w:b/>
                <w:bCs/>
                <w:color w:val="1A1A1A"/>
                <w:sz w:val="18"/>
                <w:szCs w:val="18"/>
              </w:rPr>
              <w:t xml:space="preserve">1.5×</w:t>
            </w:r>
          </w:p>
        </w:tc>
        <w:tc>
          <w:tcPr>
            <w:tcW w:type="dxa" w:w="1960"/>
            <w:tcBorders>
              <w:top w:val="single" w:color="C8C8C8" w:sz="4"/>
              <w:left w:val="single" w:color="C8C8C8" w:sz="4"/>
              <w:bottom w:val="single" w:color="C8C8C8" w:sz="4"/>
              <w:right w:val="single" w:color="C8C8C8" w:sz="4"/>
            </w:tcBorders>
            <w:shd w:fill="F4F4F2" w:val="clear"/>
            <w:tcMar>
              <w:top w:type="dxa" w:w="80"/>
              <w:left w:type="dxa" w:w="120"/>
              <w:bottom w:type="dxa" w:w="80"/>
              <w:right w:type="dxa" w:w="120"/>
            </w:tcMar>
          </w:tcPr>
          <w:p>
            <w:pPr>
              <w:spacing w:after="0" w:before="0" w:line="260"/>
            </w:pPr>
            <w:r>
              <w:rPr>
                <w:rFonts w:ascii="Arial" w:cs="Arial" w:eastAsia="Arial" w:hAnsi="Arial"/>
                <w:b/>
                <w:bCs/>
                <w:color w:val="1A1A1A"/>
                <w:sz w:val="18"/>
                <w:szCs w:val="18"/>
              </w:rPr>
              <w:t xml:space="preserve">2.0×</w:t>
            </w:r>
          </w:p>
        </w:tc>
      </w:tr>
      <w:tr>
        <w:tc>
          <w:tcPr>
            <w:tcW w:type="dxa" w:w="30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Finger blade length</w:t>
            </w:r>
          </w:p>
        </w:tc>
        <w:tc>
          <w:tcPr>
            <w:tcW w:type="dxa" w:w="22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90 mm</w:t>
            </w:r>
          </w:p>
        </w:tc>
        <w:tc>
          <w:tcPr>
            <w:tcW w:type="dxa" w:w="22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135 mm</w:t>
            </w:r>
          </w:p>
        </w:tc>
        <w:tc>
          <w:tcPr>
            <w:tcW w:type="dxa" w:w="19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180 mm</w:t>
            </w:r>
          </w:p>
        </w:tc>
      </w:tr>
      <w:tr>
        <w:tc>
          <w:tcPr>
            <w:tcW w:type="dxa" w:w="30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Jaw opening at the fingertips</w:t>
            </w:r>
          </w:p>
        </w:tc>
        <w:tc>
          <w:tcPr>
            <w:tcW w:type="dxa" w:w="22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124 mm</w:t>
            </w:r>
          </w:p>
        </w:tc>
        <w:tc>
          <w:tcPr>
            <w:tcW w:type="dxa" w:w="22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186 mm</w:t>
            </w:r>
          </w:p>
        </w:tc>
        <w:tc>
          <w:tcPr>
            <w:tcW w:type="dxa" w:w="19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248 mm</w:t>
            </w:r>
          </w:p>
        </w:tc>
      </w:tr>
      <w:tr>
        <w:tc>
          <w:tcPr>
            <w:tcW w:type="dxa" w:w="30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Jaw opening at the base</w:t>
            </w:r>
          </w:p>
        </w:tc>
        <w:tc>
          <w:tcPr>
            <w:tcW w:type="dxa" w:w="22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62 mm</w:t>
            </w:r>
          </w:p>
        </w:tc>
        <w:tc>
          <w:tcPr>
            <w:tcW w:type="dxa" w:w="22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93 mm</w:t>
            </w:r>
          </w:p>
        </w:tc>
        <w:tc>
          <w:tcPr>
            <w:tcW w:type="dxa" w:w="19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124 mm</w:t>
            </w:r>
          </w:p>
        </w:tc>
      </w:tr>
      <w:tr>
        <w:tc>
          <w:tcPr>
            <w:tcW w:type="dxa" w:w="30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Closed jaw gap</w:t>
            </w:r>
          </w:p>
        </w:tc>
        <w:tc>
          <w:tcPr>
            <w:tcW w:type="dxa" w:w="22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9.9 mm</w:t>
            </w:r>
          </w:p>
        </w:tc>
        <w:tc>
          <w:tcPr>
            <w:tcW w:type="dxa" w:w="22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14.8 mm</w:t>
            </w:r>
          </w:p>
        </w:tc>
        <w:tc>
          <w:tcPr>
            <w:tcW w:type="dxa" w:w="19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19.7 mm</w:t>
            </w:r>
          </w:p>
        </w:tc>
      </w:tr>
      <w:tr>
        <w:tc>
          <w:tcPr>
            <w:tcW w:type="dxa" w:w="30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Printed mass (filament, 100 % dense)</w:t>
            </w:r>
          </w:p>
        </w:tc>
        <w:tc>
          <w:tcPr>
            <w:tcW w:type="dxa" w:w="22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~65 g</w:t>
            </w:r>
          </w:p>
        </w:tc>
        <w:tc>
          <w:tcPr>
            <w:tcW w:type="dxa" w:w="22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~0.23 kg</w:t>
            </w:r>
          </w:p>
        </w:tc>
        <w:tc>
          <w:tcPr>
            <w:tcW w:type="dxa" w:w="19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~0.54 kg</w:t>
            </w:r>
          </w:p>
        </w:tc>
      </w:tr>
      <w:tr>
        <w:tc>
          <w:tcPr>
            <w:tcW w:type="dxa" w:w="30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Print plates on the 256 mm P1S bed</w:t>
            </w:r>
          </w:p>
        </w:tc>
        <w:tc>
          <w:tcPr>
            <w:tcW w:type="dxa" w:w="22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3</w:t>
            </w:r>
          </w:p>
        </w:tc>
        <w:tc>
          <w:tcPr>
            <w:tcW w:type="dxa" w:w="22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3</w:t>
            </w:r>
          </w:p>
        </w:tc>
        <w:tc>
          <w:tcPr>
            <w:tcW w:type="dxa" w:w="19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4</w:t>
            </w:r>
          </w:p>
        </w:tc>
      </w:tr>
    </w:tbl>
    <w:p>
      <w:pPr>
        <w:pStyle w:val="Heading2"/>
        <w:spacing w:after="140" w:before="280"/>
      </w:pPr>
      <w:r>
        <w:rPr>
          <w:rFonts w:ascii="Arial" w:cs="Arial" w:eastAsia="Arial" w:hAnsi="Arial"/>
          <w:b/>
          <w:bCs/>
          <w:color w:val="1A1A1A"/>
          <w:sz w:val="26"/>
          <w:szCs w:val="26"/>
        </w:rPr>
        <w:t xml:space="preserve">Why the bigger finger actually grips</w:t>
      </w:r>
    </w:p>
    <w:p>
      <w:pPr>
        <w:spacing w:after="100" w:before="0" w:line="300"/>
      </w:pPr>
      <w:r>
        <w:rPr>
          <w:rFonts w:ascii="Arial" w:cs="Arial" w:eastAsia="Arial" w:hAnsi="Arial"/>
          <w:b w:val="false"/>
          <w:bCs w:val="false"/>
          <w:i w:val="false"/>
          <w:iCs w:val="false"/>
          <w:color w:val="1A1A1A"/>
          <w:sz w:val="22"/>
          <w:szCs w:val="22"/>
        </w:rPr>
        <w:t xml:space="preserve">This is the part that makes the scale-up worth doing rather than just enlarging a drawing. The Fin Ray finger is a compliant blade with thin internal walls. An earlier study scaled the blade on its own and held the wall thicknesses fixed — and found that above about 1.1× the finger went floppy. The walls were now too thin relative to the bigger blade, so the finger bent instead of squeezing, and its universal grasp score collapsed from 0.65 at 1× to 0.44 at 1.5× and 0.37 at 2×. That is the failure mode this document’s earlier finger-scale figures (0.7×, 1.0×, 1.6×) were warning about.</w:t>
      </w:r>
    </w:p>
    <w:p>
      <w:pPr>
        <w:spacing w:after="100" w:before="0" w:line="300"/>
      </w:pPr>
      <w:r>
        <w:rPr>
          <w:rFonts w:ascii="Arial" w:cs="Arial" w:eastAsia="Arial" w:hAnsi="Arial"/>
          <w:b w:val="false"/>
          <w:bCs w:val="false"/>
          <w:i w:val="false"/>
          <w:iCs w:val="false"/>
          <w:color w:val="1A1A1A"/>
          <w:sz w:val="22"/>
          <w:szCs w:val="22"/>
        </w:rPr>
        <w:t xml:space="preserve">Self-similar scaling fixes exactly that, because the walls scale with the blade. The wall-to-blade stiffness ratio stays constant, so the bigger finger is as stiff relative to its size as the validated 1× finger. On a matched modulus the universal grasp score now holds flat — 0.63, 0.60, 0.62 across the three sizes — and the finger reaches the 12 N stress-probe at every size. On the softer measured Bambu modulus the score edges up rather than down as the finger grows, because the larger finger develops more absolute grip at the same proportional closure. Either way, the floppy-finger failure of naïve scaling is gone.</w:t>
      </w:r>
    </w:p>
    <w:p>
      <w:pPr>
        <w:spacing w:after="100" w:before="0" w:line="300"/>
      </w:pPr>
      <w:r>
        <w:rPr>
          <w:rFonts w:ascii="Arial" w:cs="Arial" w:eastAsia="Arial" w:hAnsi="Arial"/>
          <w:b w:val="false"/>
          <w:bCs w:val="false"/>
          <w:i w:val="false"/>
          <w:iCs w:val="false"/>
          <w:color w:val="1A1A1A"/>
          <w:sz w:val="22"/>
          <w:szCs w:val="22"/>
        </w:rPr>
        <w:t xml:space="preserve">We are precise about what this does and does not fix. It fixes the under-grip, floppy failure mode; it does not change the conformance ceiling. A passive single-piece finger still cannot curl tightly around a small round object at any scale — that is an architecture limit, not a size limit. And the von Mises safety margin dips a little as the finger grows, from about 9× at 1× to about 5× at 2× on flat objects, but it stays comfortably above yield.</w:t>
      </w:r>
    </w:p>
    <w:p>
      <w:pPr>
        <w:pStyle w:val="Heading2"/>
        <w:spacing w:after="140" w:before="280"/>
      </w:pPr>
      <w:r>
        <w:rPr>
          <w:rFonts w:ascii="Arial" w:cs="Arial" w:eastAsia="Arial" w:hAnsi="Arial"/>
          <w:b/>
          <w:bCs/>
          <w:color w:val="1A1A1A"/>
          <w:sz w:val="26"/>
          <w:szCs w:val="26"/>
        </w:rPr>
        <w:t xml:space="preserve">Force still follows the gears, not the size</w:t>
      </w:r>
    </w:p>
    <w:p>
      <w:pPr>
        <w:spacing w:after="100" w:before="0" w:line="300"/>
      </w:pPr>
      <w:r>
        <w:rPr>
          <w:rFonts w:ascii="Arial" w:cs="Arial" w:eastAsia="Arial" w:hAnsi="Arial"/>
          <w:b w:val="false"/>
          <w:bCs w:val="false"/>
          <w:i w:val="false"/>
          <w:iCs w:val="false"/>
          <w:color w:val="1A1A1A"/>
          <w:sz w:val="22"/>
          <w:szCs w:val="22"/>
        </w:rPr>
        <w:t xml:space="preserve">Scaling changes the structural and force numbers by clean power laws, and we confirmed them to three significant figures on the self-similar gear FEA. The gear ceiling T_safe grows with the cube of scale; the deliverable per-finger force grows with the square of scale; the mechanical advantage falls as 1/k; and the gear ratio and efficiency are scale-invariant because the tooth counts and angles are held.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1960"/>
      </w:tblGrid>
      <w:tr>
        <w:tc>
          <w:tcPr>
            <w:tcW w:type="dxa" w:w="3000"/>
            <w:tcBorders>
              <w:top w:val="single" w:color="C8C8C8" w:sz="4"/>
              <w:left w:val="single" w:color="C8C8C8" w:sz="4"/>
              <w:bottom w:val="single" w:color="C8C8C8" w:sz="4"/>
              <w:right w:val="single" w:color="C8C8C8" w:sz="4"/>
            </w:tcBorders>
            <w:shd w:fill="F4F4F2" w:val="clear"/>
            <w:tcMar>
              <w:top w:type="dxa" w:w="80"/>
              <w:left w:type="dxa" w:w="120"/>
              <w:bottom w:type="dxa" w:w="80"/>
              <w:right w:type="dxa" w:w="120"/>
            </w:tcMar>
          </w:tcPr>
          <w:p>
            <w:pPr>
              <w:spacing w:after="0" w:before="0" w:line="260"/>
            </w:pPr>
            <w:r>
              <w:rPr>
                <w:rFonts w:ascii="Arial" w:cs="Arial" w:eastAsia="Arial" w:hAnsi="Arial"/>
                <w:b/>
                <w:bCs/>
                <w:color w:val="1A1A1A"/>
                <w:sz w:val="18"/>
                <w:szCs w:val="18"/>
              </w:rPr>
              <w:t xml:space="preserve">Quantity (and how it scales)</w:t>
            </w:r>
          </w:p>
        </w:tc>
        <w:tc>
          <w:tcPr>
            <w:tcW w:type="dxa" w:w="2200"/>
            <w:tcBorders>
              <w:top w:val="single" w:color="C8C8C8" w:sz="4"/>
              <w:left w:val="single" w:color="C8C8C8" w:sz="4"/>
              <w:bottom w:val="single" w:color="C8C8C8" w:sz="4"/>
              <w:right w:val="single" w:color="C8C8C8" w:sz="4"/>
            </w:tcBorders>
            <w:shd w:fill="F4F4F2" w:val="clear"/>
            <w:tcMar>
              <w:top w:type="dxa" w:w="80"/>
              <w:left w:type="dxa" w:w="120"/>
              <w:bottom w:type="dxa" w:w="80"/>
              <w:right w:type="dxa" w:w="120"/>
            </w:tcMar>
          </w:tcPr>
          <w:p>
            <w:pPr>
              <w:spacing w:after="0" w:before="0" w:line="260"/>
            </w:pPr>
            <w:r>
              <w:rPr>
                <w:rFonts w:ascii="Arial" w:cs="Arial" w:eastAsia="Arial" w:hAnsi="Arial"/>
                <w:b/>
                <w:bCs/>
                <w:color w:val="1A1A1A"/>
                <w:sz w:val="18"/>
                <w:szCs w:val="18"/>
              </w:rPr>
              <w:t xml:space="preserve">1.0×</w:t>
            </w:r>
          </w:p>
        </w:tc>
        <w:tc>
          <w:tcPr>
            <w:tcW w:type="dxa" w:w="2200"/>
            <w:tcBorders>
              <w:top w:val="single" w:color="C8C8C8" w:sz="4"/>
              <w:left w:val="single" w:color="C8C8C8" w:sz="4"/>
              <w:bottom w:val="single" w:color="C8C8C8" w:sz="4"/>
              <w:right w:val="single" w:color="C8C8C8" w:sz="4"/>
            </w:tcBorders>
            <w:shd w:fill="F4F4F2" w:val="clear"/>
            <w:tcMar>
              <w:top w:type="dxa" w:w="80"/>
              <w:left w:type="dxa" w:w="120"/>
              <w:bottom w:type="dxa" w:w="80"/>
              <w:right w:type="dxa" w:w="120"/>
            </w:tcMar>
          </w:tcPr>
          <w:p>
            <w:pPr>
              <w:spacing w:after="0" w:before="0" w:line="260"/>
            </w:pPr>
            <w:r>
              <w:rPr>
                <w:rFonts w:ascii="Arial" w:cs="Arial" w:eastAsia="Arial" w:hAnsi="Arial"/>
                <w:b/>
                <w:bCs/>
                <w:color w:val="1A1A1A"/>
                <w:sz w:val="18"/>
                <w:szCs w:val="18"/>
              </w:rPr>
              <w:t xml:space="preserve">1.5×</w:t>
            </w:r>
          </w:p>
        </w:tc>
        <w:tc>
          <w:tcPr>
            <w:tcW w:type="dxa" w:w="1960"/>
            <w:tcBorders>
              <w:top w:val="single" w:color="C8C8C8" w:sz="4"/>
              <w:left w:val="single" w:color="C8C8C8" w:sz="4"/>
              <w:bottom w:val="single" w:color="C8C8C8" w:sz="4"/>
              <w:right w:val="single" w:color="C8C8C8" w:sz="4"/>
            </w:tcBorders>
            <w:shd w:fill="F4F4F2" w:val="clear"/>
            <w:tcMar>
              <w:top w:type="dxa" w:w="80"/>
              <w:left w:type="dxa" w:w="120"/>
              <w:bottom w:type="dxa" w:w="80"/>
              <w:right w:type="dxa" w:w="120"/>
            </w:tcMar>
          </w:tcPr>
          <w:p>
            <w:pPr>
              <w:spacing w:after="0" w:before="0" w:line="260"/>
            </w:pPr>
            <w:r>
              <w:rPr>
                <w:rFonts w:ascii="Arial" w:cs="Arial" w:eastAsia="Arial" w:hAnsi="Arial"/>
                <w:b/>
                <w:bCs/>
                <w:color w:val="1A1A1A"/>
                <w:sz w:val="18"/>
                <w:szCs w:val="18"/>
              </w:rPr>
              <w:t xml:space="preserve">2.0×</w:t>
            </w:r>
          </w:p>
        </w:tc>
      </w:tr>
      <w:tr>
        <w:tc>
          <w:tcPr>
            <w:tcW w:type="dxa" w:w="30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Gear ceiling T_safe (∝ k³)</w:t>
            </w:r>
          </w:p>
        </w:tc>
        <w:tc>
          <w:tcPr>
            <w:tcW w:type="dxa" w:w="22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0.013 N·m</w:t>
            </w:r>
          </w:p>
        </w:tc>
        <w:tc>
          <w:tcPr>
            <w:tcW w:type="dxa" w:w="22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0.044 N·m</w:t>
            </w:r>
          </w:p>
        </w:tc>
        <w:tc>
          <w:tcPr>
            <w:tcW w:type="dxa" w:w="19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0.105 N·m</w:t>
            </w:r>
          </w:p>
        </w:tc>
      </w:tr>
      <w:tr>
        <w:tc>
          <w:tcPr>
            <w:tcW w:type="dxa" w:w="30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Per-finger force band (∝ k²)</w:t>
            </w:r>
          </w:p>
        </w:tc>
        <w:tc>
          <w:tcPr>
            <w:tcW w:type="dxa" w:w="22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0.14–0.28 N</w:t>
            </w:r>
          </w:p>
        </w:tc>
        <w:tc>
          <w:tcPr>
            <w:tcW w:type="dxa" w:w="22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0.31–0.64 N</w:t>
            </w:r>
          </w:p>
        </w:tc>
        <w:tc>
          <w:tcPr>
            <w:tcW w:type="dxa" w:w="19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0.55–1.13 N</w:t>
            </w:r>
          </w:p>
        </w:tc>
      </w:tr>
      <w:tr>
        <w:tc>
          <w:tcPr>
            <w:tcW w:type="dxa" w:w="30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Smallest servo over-torque vs T_safe</w:t>
            </w:r>
          </w:p>
        </w:tc>
        <w:tc>
          <w:tcPr>
            <w:tcW w:type="dxa" w:w="22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224×</w:t>
            </w:r>
          </w:p>
        </w:tc>
        <w:tc>
          <w:tcPr>
            <w:tcW w:type="dxa" w:w="22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67×</w:t>
            </w:r>
          </w:p>
        </w:tc>
        <w:tc>
          <w:tcPr>
            <w:tcW w:type="dxa" w:w="19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28×</w:t>
            </w:r>
          </w:p>
        </w:tc>
      </w:tr>
      <w:tr>
        <w:tc>
          <w:tcPr>
            <w:tcW w:type="dxa" w:w="30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Underwater crush peak vM at 100 m</w:t>
            </w:r>
          </w:p>
        </w:tc>
        <w:tc>
          <w:tcPr>
            <w:tcW w:type="dxa" w:w="22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12.6 MPa</w:t>
            </w:r>
          </w:p>
        </w:tc>
        <w:tc>
          <w:tcPr>
            <w:tcW w:type="dxa" w:w="22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12.6 MPa</w:t>
            </w:r>
          </w:p>
        </w:tc>
        <w:tc>
          <w:tcPr>
            <w:tcW w:type="dxa" w:w="1960"/>
            <w:tcBorders>
              <w:top w:val="single" w:color="C8C8C8" w:sz="4"/>
              <w:left w:val="single" w:color="C8C8C8" w:sz="4"/>
              <w:bottom w:val="single" w:color="C8C8C8" w:sz="4"/>
              <w:right w:val="single" w:color="C8C8C8" w:sz="4"/>
            </w:tcBorders>
            <w:tcMar>
              <w:top w:type="dxa" w:w="80"/>
              <w:left w:type="dxa" w:w="120"/>
              <w:bottom w:type="dxa" w:w="80"/>
              <w:right w:type="dxa" w:w="120"/>
            </w:tcMar>
          </w:tcPr>
          <w:p>
            <w:pPr>
              <w:spacing w:after="0" w:before="0" w:line="260"/>
            </w:pPr>
            <w:r>
              <w:rPr>
                <w:rFonts w:ascii="Arial" w:cs="Arial" w:eastAsia="Arial" w:hAnsi="Arial"/>
                <w:b w:val="false"/>
                <w:bCs w:val="false"/>
                <w:color w:val="1A1A1A"/>
                <w:sz w:val="18"/>
                <w:szCs w:val="18"/>
              </w:rPr>
              <w:t xml:space="preserve">12.6 MPa</w:t>
            </w:r>
          </w:p>
        </w:tc>
      </w:tr>
    </w:tbl>
    <w:p>
      <w:pPr>
        <w:spacing w:after="100" w:before="0" w:line="300"/>
      </w:pPr>
      <w:r>
        <w:rPr>
          <w:rFonts w:ascii="Arial" w:cs="Arial" w:eastAsia="Arial" w:hAnsi="Arial"/>
          <w:b w:val="false"/>
          <w:bCs w:val="false"/>
          <w:i w:val="false"/>
          <w:iCs w:val="false"/>
          <w:color w:val="1A1A1A"/>
          <w:sz w:val="22"/>
          <w:szCs w:val="22"/>
        </w:rPr>
        <w:t xml:space="preserve">The reading is honest but bounded. The selected servos still clear the gear ceiling by between 28× and 725× at every size, so the gripper stays gear-limited and the firmware current limit remains its protection — exactly as at 1×. Force grows about four-fold at 2×, but off a sub-newton base, so a 248 mm jaw that can reach around an amphora still only squeezes it with around a newton. If the real need is squeezing strength, scaling is only half the answer. The other half is the proposed gear re-size in §8, which raises T_safe by ten to thirty times independent of size; combined with 2× scaling it would put the per-finger force into the multi-newton range. That is the next design decision, and we have deliberately left it as a decision rather than folding it in here.</w:t>
      </w:r>
    </w:p>
    <w:p>
      <w:pPr>
        <w:pStyle w:val="Heading2"/>
        <w:spacing w:after="140" w:before="280"/>
      </w:pPr>
      <w:r>
        <w:rPr>
          <w:rFonts w:ascii="Arial" w:cs="Arial" w:eastAsia="Arial" w:hAnsi="Arial"/>
          <w:b/>
          <w:bCs/>
          <w:color w:val="1A1A1A"/>
          <w:sz w:val="26"/>
          <w:szCs w:val="26"/>
        </w:rPr>
        <w:t xml:space="preserve">Underwater and grip at the new sizes</w:t>
      </w:r>
    </w:p>
    <w:p>
      <w:pPr>
        <w:spacing w:after="100" w:before="0" w:line="300"/>
      </w:pPr>
      <w:r>
        <w:rPr>
          <w:rFonts w:ascii="Arial" w:cs="Arial" w:eastAsia="Arial" w:hAnsi="Arial"/>
          <w:b w:val="false"/>
          <w:bCs w:val="false"/>
          <w:i w:val="false"/>
          <w:iCs w:val="false"/>
          <w:color w:val="1A1A1A"/>
          <w:sz w:val="22"/>
          <w:szCs w:val="22"/>
        </w:rPr>
        <w:t xml:space="preserve">The underwater crush result is scale-invariant, which is what similitude predicts. The von Mises field and the material-yield depth do not move with size — peak von Mises is about 12.6 MPa at 100 m and the through-Z material yields near 177 m at every scale; only the displacement scales with k. A flooded finger stays at essentially zero von Mises at any size and any practical depth.</w:t>
      </w:r>
    </w:p>
    <w:p>
      <w:pPr>
        <w:spacing w:after="100" w:before="0" w:line="300"/>
      </w:pPr>
      <w:r>
        <w:rPr>
          <w:rFonts w:ascii="Arial" w:cs="Arial" w:eastAsia="Arial" w:hAnsi="Arial"/>
          <w:b w:val="false"/>
          <w:bCs w:val="false"/>
          <w:i w:val="false"/>
          <w:iCs w:val="false"/>
          <w:color w:val="1A1A1A"/>
          <w:sz w:val="22"/>
          <w:szCs w:val="22"/>
        </w:rPr>
        <w:t xml:space="preserve">The wet grip is more nuanced, and our own re-analysis corrected an over-simple first assumption. The cited-physics core of the grip model — the elastomer-friction and drainage terms — is scale-invariant to within half a percent, because the crosshatch channels grow to 0.81 mm at 1.5× and 1.08 mm at 2.0×, both well above the roughly 0.3 mm where wet drainage saturates. But the full surrogate score softens by about 12 % at 1.5× and 22 % at 2.0×, because the bigger posts mean fewer skin-breaking edges per unit area at a fixed print resolution. That is a real if low-confidence effect rather than an artefact; the ranking and the printability are preserved, and a finer-relative texture could be reintroduced at 2× to recover the edge density if a future build wants it.</w:t>
      </w:r>
    </w:p>
    <w:p>
      <w:pPr>
        <w:pStyle w:val="Heading2"/>
        <w:spacing w:after="140" w:before="280"/>
      </w:pPr>
      <w:r>
        <w:rPr>
          <w:rFonts w:ascii="Arial" w:cs="Arial" w:eastAsia="Arial" w:hAnsi="Arial"/>
          <w:b/>
          <w:bCs/>
          <w:color w:val="1A1A1A"/>
          <w:sz w:val="26"/>
          <w:szCs w:val="26"/>
        </w:rPr>
        <w:t xml:space="preserve">What changes when you scale, and what to watch</w:t>
      </w:r>
    </w:p>
    <w:p>
      <w:pPr>
        <w:pStyle w:val="ListParagraph"/>
        <w:numPr>
          <w:ilvl w:val="0"/>
          <w:numId w:val="2"/>
        </w:numPr>
        <w:spacing w:after="40" w:before="40" w:line="280"/>
      </w:pPr>
      <w:r>
        <w:rPr>
          <w:rFonts w:ascii="Arial" w:cs="Arial" w:eastAsia="Arial" w:hAnsi="Arial"/>
          <w:b/>
          <w:bCs/>
          <w:i w:val="false"/>
          <w:iCs w:val="false"/>
          <w:color w:val="1A1A1A"/>
          <w:sz w:val="22"/>
          <w:szCs w:val="22"/>
        </w:rPr>
        <w:t xml:space="preserve">Assembly gets stiffer to seat. </w:t>
      </w:r>
      <w:r>
        <w:rPr>
          <w:rFonts w:ascii="Arial" w:cs="Arial" w:eastAsia="Arial" w:hAnsi="Arial"/>
          <w:b w:val="false"/>
          <w:bCs w:val="false"/>
          <w:i w:val="false"/>
          <w:iCs w:val="false"/>
          <w:color w:val="1A1A1A"/>
          <w:sz w:val="22"/>
          <w:szCs w:val="22"/>
        </w:rPr>
        <w:t xml:space="preserve">The snap-pin and cover-clip insertion force scales with the square of scale — roughly 2.25× at 1.5× and about 4× at 2× — even though the bending strain is scale-invariant, so the clips do not over-strain, they just take more push. At 1.5× the parts are still hand-pressable; at 2× expect to need a clamp or a small arbor press to seat the snap pins and click the cover home.</w:t>
      </w:r>
    </w:p>
    <w:p>
      <w:pPr>
        <w:pStyle w:val="ListParagraph"/>
        <w:numPr>
          <w:ilvl w:val="0"/>
          <w:numId w:val="2"/>
        </w:numPr>
        <w:spacing w:after="40" w:before="40" w:line="280"/>
      </w:pPr>
      <w:r>
        <w:rPr>
          <w:rFonts w:ascii="Arial" w:cs="Arial" w:eastAsia="Arial" w:hAnsi="Arial"/>
          <w:b/>
          <w:bCs/>
          <w:i w:val="false"/>
          <w:iCs w:val="false"/>
          <w:color w:val="1A1A1A"/>
          <w:sz w:val="22"/>
          <w:szCs w:val="22"/>
        </w:rPr>
        <w:t xml:space="preserve">The mounting interface scales with everything else. </w:t>
      </w:r>
      <w:r>
        <w:rPr>
          <w:rFonts w:ascii="Arial" w:cs="Arial" w:eastAsia="Arial" w:hAnsi="Arial"/>
          <w:b w:val="false"/>
          <w:bCs w:val="false"/>
          <w:i w:val="false"/>
          <w:iCs w:val="false"/>
          <w:color w:val="1A1A1A"/>
          <w:sz w:val="22"/>
          <w:szCs w:val="22"/>
        </w:rPr>
        <w:t xml:space="preserve">The flange bolt pattern and the D-coupler grow with the rest of the gripper, so the seven printed mounting adapters in §12 have to be re-scaled to re-mate. At 2× the flange bolts are worth stepping up from M4 to M5 or M6 for the higher loads.</w:t>
      </w:r>
    </w:p>
    <w:p>
      <w:pPr>
        <w:pStyle w:val="ListParagraph"/>
        <w:numPr>
          <w:ilvl w:val="0"/>
          <w:numId w:val="2"/>
        </w:numPr>
        <w:spacing w:after="40" w:before="40" w:line="280"/>
      </w:pPr>
      <w:r>
        <w:rPr>
          <w:rFonts w:ascii="Arial" w:cs="Arial" w:eastAsia="Arial" w:hAnsi="Arial"/>
          <w:b/>
          <w:bCs/>
          <w:i w:val="false"/>
          <w:iCs w:val="false"/>
          <w:color w:val="1A1A1A"/>
          <w:sz w:val="22"/>
          <w:szCs w:val="22"/>
        </w:rPr>
        <w:t xml:space="preserve">The materials and the build sequence do not change. </w:t>
      </w:r>
      <w:r>
        <w:rPr>
          <w:rFonts w:ascii="Arial" w:cs="Arial" w:eastAsia="Arial" w:hAnsi="Arial"/>
          <w:b w:val="false"/>
          <w:bCs w:val="false"/>
          <w:i w:val="false"/>
          <w:iCs w:val="false"/>
          <w:color w:val="1A1A1A"/>
          <w:sz w:val="22"/>
          <w:szCs w:val="22"/>
        </w:rPr>
        <w:t xml:space="preserve">Same PA-class rigid parts, PETG snap pins, and TPU fingers; same orientations; and the input shaft still installs from below, pinion first. A larger gripper is a bigger print, not a different assembly.</w:t>
      </w:r>
    </w:p>
    <w:p>
      <w:pPr>
        <w:jc w:val="center"/>
      </w:pPr>
      <w:r>
        <w:drawing>
          <wp:inline xmlns:a="http://schemas.openxmlformats.org/drawingml/2006/main" xmlns:pic="http://schemas.openxmlformats.org/drawingml/2006/picture">
            <wp:extent cx="5486400" cy="4114800"/>
            <wp:docPr id="2" name="Picture 2"/>
            <wp:cNvGraphicFramePr>
              <a:graphicFrameLocks noChangeAspect="1"/>
            </wp:cNvGraphicFramePr>
            <a:graphic>
              <a:graphicData uri="http://schemas.openxmlformats.org/drawingml/2006/picture">
                <pic:pic>
                  <pic:nvPicPr>
                    <pic:cNvPr id="0" name="scale_comparison_1x_vs_2x.png"/>
                    <pic:cNvPicPr/>
                  </pic:nvPicPr>
                  <pic:blipFill>
                    <a:blip r:embed="rId32"/>
                    <a:stretch>
                      <a:fillRect/>
                    </a:stretch>
                  </pic:blipFill>
                  <pic:spPr>
                    <a:xfrm>
                      <a:off x="0" y="0"/>
                      <a:ext cx="5486400" cy="4114800"/>
                    </a:xfrm>
                    <a:prstGeom prst="rect"/>
                  </pic:spPr>
                </pic:pic>
              </a:graphicData>
            </a:graphic>
          </wp:inline>
        </w:drawing>
      </w:r>
    </w:p>
    <w:p>
      <w:pPr>
        <w:spacing w:after="220" w:before="60"/>
        <w:jc w:val="center"/>
      </w:pPr>
      <w:r>
        <w:rPr>
          <w:rFonts w:ascii="Arial" w:cs="Arial" w:eastAsia="Arial" w:hAnsi="Arial"/>
          <w:i/>
          <w:iCs/>
          <w:color w:val="6B6B6B"/>
          <w:sz w:val="18"/>
          <w:szCs w:val="18"/>
        </w:rPr>
        <w:t xml:space="preserve">Figure 17.1   The shipped 1× gripper beside the 2.0× self-similar build, both in the open pose. Every linear dimension — linkage, gears, finger walls, enclosure — scales by the same factor, so the geometry, the gear timing, and the wrap behaviour are preserved while the jaw opening grows from 124 mm to 248 mm at the fingertips.</w:t>
      </w:r>
    </w:p>
    <w:p>
      <w:pPr>
        <w:spacing w:after="100" w:before="0" w:line="300"/>
      </w:pPr>
      <w:r>
        <w:rPr>
          <w:rFonts w:ascii="Arial" w:cs="Arial" w:eastAsia="Arial" w:hAnsi="Arial"/>
          <w:b w:val="false"/>
          <w:bCs w:val="false"/>
          <w:i w:val="false"/>
          <w:iCs w:val="false"/>
          <w:color w:val="1A1A1A"/>
          <w:sz w:val="22"/>
          <w:szCs w:val="22"/>
        </w:rPr>
        <w:t xml:space="preserve">One caveat on provenance. These re-runs were done locally at screen fidelity, because the high-resolution simulation node was unavailable for the campaign. The comparative rankings are sound — the self-similar 1× run reproduces the shipped finger’s score, which anchors the comparison — but a publication-grade re-run on the render node is the follow-up, and a fresh blade-only control at the larger sizes would make the stiff-versus-floppy contrast fully airtight. We flag it rather than bury it.</w:t>
      </w:r>
    </w:p>
    <w:p>
      <w:pPr>
        <w:pStyle w:val="Heading1"/>
        <w:pBdr>
          <w:top w:val="none" w:color="FFFFFF" w:sz="0" w:space="0"/>
          <w:left w:val="none" w:color="FFFFFF" w:sz="0" w:space="0"/>
          <w:bottom w:val="single" w:color="F5D802" w:sz="18" w:space="4"/>
          <w:right w:val="none" w:color="FFFFFF" w:sz="0" w:space="0"/>
        </w:pBdr>
        <w:spacing w:after="200" w:before="320"/>
      </w:pPr>
      <w:r>
        <w:rPr>
          <w:rFonts w:ascii="Arial" w:cs="Arial" w:eastAsia="Arial" w:hAnsi="Arial"/>
          <w:b/>
          <w:bCs/>
          <w:color w:val="1A1A1A"/>
          <w:sz w:val="36"/>
          <w:szCs w:val="36"/>
        </w:rPr>
        <w:t>18. What is proven, what is not, and what comes next</w:t>
      </w:r>
    </w:p>
    <w:p>
      <w:pPr>
        <w:pStyle w:val="Heading2"/>
        <w:spacing w:after="140" w:before="280"/>
      </w:pPr>
      <w:r>
        <w:rPr>
          <w:rFonts w:ascii="Arial" w:cs="Arial" w:eastAsia="Arial" w:hAnsi="Arial"/>
          <w:b/>
          <w:bCs/>
          <w:color w:val="1A1A1A"/>
          <w:sz w:val="26"/>
          <w:szCs w:val="26"/>
        </w:rPr>
        <w:t xml:space="preserve">Established</w:t>
      </w:r>
    </w:p>
    <w:p>
      <w:pPr>
        <w:pStyle w:val="ListParagraph"/>
        <w:numPr>
          <w:ilvl w:val="0"/>
          <w:numId w:val="3"/>
        </w:numPr>
        <w:spacing w:after="40" w:before="40" w:line="280"/>
      </w:pPr>
      <w:r>
        <w:rPr>
          <w:rFonts w:ascii="Arial" w:cs="Arial" w:eastAsia="Arial" w:hAnsi="Arial"/>
          <w:b w:val="false"/>
          <w:bCs w:val="false"/>
          <w:i w:val="false"/>
          <w:iCs w:val="false"/>
          <w:color w:val="1A1A1A"/>
          <w:sz w:val="22"/>
          <w:szCs w:val="22"/>
        </w:rPr>
        <w:t xml:space="preserve">The four innovations are individually understood, the bench test set (bone, anchor, vase, chest) confirms the 4-finger plus pressure-sensor architecture beats 2 finger on smooth and featureless objects, and the per-artefact pressure preset is supported by the order-of-magnitude spread in grip force across the test set (26 to 411 gf).</w:t>
      </w:r>
    </w:p>
    <w:p>
      <w:pPr>
        <w:pStyle w:val="ListParagraph"/>
        <w:numPr>
          <w:ilvl w:val="0"/>
          <w:numId w:val="3"/>
        </w:numPr>
        <w:spacing w:after="40" w:before="40" w:line="280"/>
      </w:pPr>
      <w:r>
        <w:rPr>
          <w:rFonts w:ascii="Arial" w:cs="Arial" w:eastAsia="Arial" w:hAnsi="Arial"/>
          <w:b w:val="false"/>
          <w:bCs w:val="false"/>
          <w:i w:val="false"/>
          <w:iCs w:val="false"/>
          <w:color w:val="1A1A1A"/>
          <w:sz w:val="22"/>
          <w:szCs w:val="22"/>
        </w:rPr>
        <w:t xml:space="preserve">The Fin Ray finger wraps universally and gently at the 12 N stress-probe load with peak stress around 2.7 MPa, ten times below TPU strength under both 2D and 3D FEA formulations. The implied margin at the operating force is roughly 100 to 300 times.</w:t>
      </w:r>
    </w:p>
    <w:p>
      <w:pPr>
        <w:pStyle w:val="ListParagraph"/>
        <w:numPr>
          <w:ilvl w:val="0"/>
          <w:numId w:val="3"/>
        </w:numPr>
        <w:spacing w:after="40" w:before="40" w:line="280"/>
      </w:pPr>
      <w:r>
        <w:rPr>
          <w:rFonts w:ascii="Arial" w:cs="Arial" w:eastAsia="Arial" w:hAnsi="Arial"/>
          <w:b w:val="false"/>
          <w:bCs w:val="false"/>
          <w:i w:val="false"/>
          <w:iCs w:val="false"/>
          <w:color w:val="1A1A1A"/>
          <w:sz w:val="22"/>
          <w:szCs w:val="22"/>
        </w:rPr>
        <w:t xml:space="preserve">The crosshatch grip texture is the best tileable, printable, no-speculation winner across the 7-condition wet object battery, and that choice is robust to 50 % coefficient perturbation. Tier-2 FEA confirms the contact-mechanics sub-models and the post-root durability margin (14 to 24 times).</w:t>
      </w:r>
    </w:p>
    <w:p>
      <w:pPr>
        <w:pStyle w:val="ListParagraph"/>
        <w:numPr>
          <w:ilvl w:val="0"/>
          <w:numId w:val="3"/>
        </w:numPr>
        <w:spacing w:after="40" w:before="40" w:line="280"/>
      </w:pPr>
      <w:r>
        <w:rPr>
          <w:rFonts w:ascii="Arial" w:cs="Arial" w:eastAsia="Arial" w:hAnsi="Arial"/>
          <w:b w:val="false"/>
          <w:bCs w:val="false"/>
          <w:i w:val="false"/>
          <w:iCs w:val="false"/>
          <w:color w:val="1A1A1A"/>
          <w:sz w:val="22"/>
          <w:szCs w:val="22"/>
        </w:rPr>
        <w:t xml:space="preserve">The ported gripper part builds with zero interference at full closure, at every finger scale (0.7, 1.0, 1.6).</w:t>
      </w:r>
    </w:p>
    <w:p>
      <w:pPr>
        <w:pStyle w:val="ListParagraph"/>
        <w:numPr>
          <w:ilvl w:val="0"/>
          <w:numId w:val="3"/>
        </w:numPr>
        <w:spacing w:after="40" w:before="40" w:line="280"/>
      </w:pPr>
      <w:r>
        <w:rPr>
          <w:rFonts w:ascii="Arial" w:cs="Arial" w:eastAsia="Arial" w:hAnsi="Arial"/>
          <w:b w:val="false"/>
          <w:bCs w:val="false"/>
          <w:i w:val="false"/>
          <w:iCs w:val="false"/>
          <w:color w:val="1A1A1A"/>
          <w:sz w:val="22"/>
          <w:szCs w:val="22"/>
        </w:rPr>
        <w:t xml:space="preserve">The drivetrain torque-force chain and the 122.7° travel are exact kinematics. The actuator selection ranking and its 50 % robustness across depth tiers are documented; the actuator class flips with depth (smart serial servo at T1 and T2, magnetic-coupling pod at T3).</w:t>
      </w:r>
    </w:p>
    <w:p>
      <w:pPr>
        <w:pStyle w:val="ListParagraph"/>
        <w:numPr>
          <w:ilvl w:val="0"/>
          <w:numId w:val="3"/>
        </w:numPr>
        <w:spacing w:after="40" w:before="40" w:line="280"/>
      </w:pPr>
      <w:r>
        <w:rPr>
          <w:rFonts w:ascii="Arial" w:cs="Arial" w:eastAsia="Arial" w:hAnsi="Arial"/>
          <w:b w:val="false"/>
          <w:bCs w:val="false"/>
          <w:i w:val="false"/>
          <w:iCs w:val="false"/>
          <w:color w:val="1A1A1A"/>
          <w:sz w:val="22"/>
          <w:szCs w:val="22"/>
        </w:rPr>
        <w:t xml:space="preserve">The printed crown-pinion is the binding structural limit at T_safe ≈ 0.013 to 0.034 N·m on the shipped gears. The motor current limit is its firmware-enforced protection.</w:t>
      </w:r>
    </w:p>
    <w:p>
      <w:pPr>
        <w:pStyle w:val="ListParagraph"/>
        <w:numPr>
          <w:ilvl w:val="0"/>
          <w:numId w:val="3"/>
        </w:numPr>
        <w:spacing w:after="40" w:before="40" w:line="280"/>
      </w:pPr>
      <w:r>
        <w:rPr>
          <w:rFonts w:ascii="Arial" w:cs="Arial" w:eastAsia="Arial" w:hAnsi="Arial"/>
          <w:b w:val="false"/>
          <w:bCs w:val="false"/>
          <w:i w:val="false"/>
          <w:iCs w:val="false"/>
          <w:color w:val="1A1A1A"/>
          <w:sz w:val="22"/>
          <w:szCs w:val="22"/>
        </w:rPr>
        <w:t xml:space="preserve">The gripper is single-shell everywhere (no enclosed void), so it floods and drains in any orientation. Net buoyancy is gently negative in seawater (no ballast needed).</w:t>
      </w:r>
    </w:p>
    <w:p>
      <w:pPr>
        <w:pStyle w:val="ListParagraph"/>
        <w:numPr>
          <w:ilvl w:val="0"/>
          <w:numId w:val="2"/>
        </w:numPr>
        <w:spacing w:after="40" w:before="40" w:line="280"/>
      </w:pPr>
      <w:r>
        <w:rPr>
          <w:rFonts w:ascii="Arial" w:cs="Arial" w:eastAsia="Arial" w:hAnsi="Arial"/>
          <w:b/>
          <w:bCs/>
          <w:i w:val="false"/>
          <w:iCs w:val="false"/>
          <w:color w:val="1A1A1A"/>
          <w:sz w:val="22"/>
          <w:szCs w:val="22"/>
        </w:rPr>
        <w:t xml:space="preserve">Self-similar scale-up to 1.5× and 2.0× (§17). </w:t>
      </w:r>
      <w:r>
        <w:rPr>
          <w:rFonts w:ascii="Arial" w:cs="Arial" w:eastAsia="Arial" w:hAnsi="Arial"/>
          <w:b w:val="false"/>
          <w:bCs w:val="false"/>
          <w:i w:val="false"/>
          <w:iCs w:val="false"/>
          <w:color w:val="1A1A1A"/>
          <w:sz w:val="22"/>
          <w:szCs w:val="22"/>
        </w:rPr>
        <w:t xml:space="preserve">One parameter scales the whole gripper; the bigger finger stays stiff because the walls scale with the blade, and the gear ceiling, the tip force, and the mechanical advantage follow clean k³, k², and 1/k power laws. The gripper stays gear-limited at every size. Established in software at screen fidelity; the high-resolution re-run is the open item.</w:t>
      </w:r>
    </w:p>
    <w:p>
      <w:pPr>
        <w:pStyle w:val="Heading2"/>
        <w:spacing w:after="140" w:before="280"/>
      </w:pPr>
      <w:r>
        <w:rPr>
          <w:rFonts w:ascii="Arial" w:cs="Arial" w:eastAsia="Arial" w:hAnsi="Arial"/>
          <w:b/>
          <w:bCs/>
          <w:color w:val="1A1A1A"/>
          <w:sz w:val="26"/>
          <w:szCs w:val="26"/>
        </w:rPr>
        <w:t xml:space="preserve">Not established yet (the bench plan closes these)</w:t>
      </w:r>
    </w:p>
    <w:p>
      <w:pPr>
        <w:pStyle w:val="ListParagraph"/>
        <w:numPr>
          <w:ilvl w:val="0"/>
          <w:numId w:val="3"/>
        </w:numPr>
        <w:spacing w:after="40" w:before="40" w:line="280"/>
      </w:pPr>
      <w:r>
        <w:rPr>
          <w:rFonts w:ascii="Arial" w:cs="Arial" w:eastAsia="Arial" w:hAnsi="Arial"/>
          <w:b w:val="false"/>
          <w:bCs w:val="false"/>
          <w:i w:val="false"/>
          <w:iCs w:val="false"/>
          <w:color w:val="1A1A1A"/>
          <w:sz w:val="22"/>
          <w:szCs w:val="22"/>
        </w:rPr>
        <w:t xml:space="preserve">Absolute holding force in newtons on real artefacts.</w:t>
      </w:r>
    </w:p>
    <w:p>
      <w:pPr>
        <w:pStyle w:val="ListParagraph"/>
        <w:numPr>
          <w:ilvl w:val="0"/>
          <w:numId w:val="3"/>
        </w:numPr>
        <w:spacing w:after="40" w:before="40" w:line="280"/>
      </w:pPr>
      <w:r>
        <w:rPr>
          <w:rFonts w:ascii="Arial" w:cs="Arial" w:eastAsia="Arial" w:hAnsi="Arial"/>
          <w:b w:val="false"/>
          <w:bCs w:val="false"/>
          <w:i w:val="false"/>
          <w:iCs w:val="false"/>
          <w:color w:val="1A1A1A"/>
          <w:sz w:val="22"/>
          <w:szCs w:val="22"/>
        </w:rPr>
        <w:t xml:space="preserve">Absolute depth rating (set by the actuator canister, not the gripper itself).</w:t>
      </w:r>
    </w:p>
    <w:p>
      <w:pPr>
        <w:pStyle w:val="ListParagraph"/>
        <w:numPr>
          <w:ilvl w:val="0"/>
          <w:numId w:val="3"/>
        </w:numPr>
        <w:spacing w:after="40" w:before="40" w:line="280"/>
      </w:pPr>
      <w:r>
        <w:rPr>
          <w:rFonts w:ascii="Arial" w:cs="Arial" w:eastAsia="Arial" w:hAnsi="Arial"/>
          <w:b w:val="false"/>
          <w:bCs w:val="false"/>
          <w:i w:val="false"/>
          <w:iCs w:val="false"/>
          <w:color w:val="1A1A1A"/>
          <w:sz w:val="22"/>
          <w:szCs w:val="22"/>
        </w:rPr>
        <w:t xml:space="preserve">Long-term wet service (TPU swelling, biofilm growth in the grip channels, edge abrasion).</w:t>
      </w:r>
    </w:p>
    <w:p>
      <w:pPr>
        <w:pStyle w:val="ListParagraph"/>
        <w:numPr>
          <w:ilvl w:val="0"/>
          <w:numId w:val="3"/>
        </w:numPr>
        <w:spacing w:after="40" w:before="40" w:line="280"/>
      </w:pPr>
      <w:r>
        <w:rPr>
          <w:rFonts w:ascii="Arial" w:cs="Arial" w:eastAsia="Arial" w:hAnsi="Arial"/>
          <w:b w:val="false"/>
          <w:bCs w:val="false"/>
          <w:i w:val="false"/>
          <w:iCs w:val="false"/>
          <w:color w:val="1A1A1A"/>
          <w:sz w:val="22"/>
          <w:szCs w:val="22"/>
        </w:rPr>
        <w:t xml:space="preserve">Whether the proposed gear re-size's clearance is buildable in the current housing envelope.</w:t>
      </w:r>
    </w:p>
    <w:p>
      <w:pPr>
        <w:pStyle w:val="ListParagraph"/>
        <w:numPr>
          <w:ilvl w:val="0"/>
          <w:numId w:val="3"/>
        </w:numPr>
        <w:spacing w:after="40" w:before="40" w:line="280"/>
      </w:pPr>
      <w:r>
        <w:rPr>
          <w:rFonts w:ascii="Arial" w:cs="Arial" w:eastAsia="Arial" w:hAnsi="Arial"/>
          <w:b w:val="false"/>
          <w:bCs w:val="false"/>
          <w:i w:val="false"/>
          <w:iCs w:val="false"/>
          <w:color w:val="1A1A1A"/>
          <w:sz w:val="22"/>
          <w:szCs w:val="22"/>
        </w:rPr>
        <w:t xml:space="preserve">Current-to-force calibration accuracy on real hardware (the calibration rig in §7.7 is built but not yet validated against a load cell).</w:t>
      </w:r>
    </w:p>
    <w:p>
      <w:pPr>
        <w:pStyle w:val="ListParagraph"/>
        <w:numPr>
          <w:ilvl w:val="0"/>
          <w:numId w:val="3"/>
        </w:numPr>
        <w:spacing w:after="40" w:before="40" w:line="280"/>
      </w:pPr>
      <w:r>
        <w:rPr>
          <w:rFonts w:ascii="Arial" w:cs="Arial" w:eastAsia="Arial" w:hAnsi="Arial"/>
          <w:b w:val="false"/>
          <w:bCs w:val="false"/>
          <w:i w:val="false"/>
          <w:iCs w:val="false"/>
          <w:color w:val="1A1A1A"/>
          <w:sz w:val="22"/>
          <w:szCs w:val="22"/>
        </w:rPr>
        <w:t xml:space="preserve">The hyperbaric pressure response of the pressure sensors at 30 m simulated depth.</w:t>
      </w:r>
    </w:p>
    <w:p>
      <w:pPr>
        <w:pStyle w:val="Heading2"/>
        <w:spacing w:after="140" w:before="280"/>
      </w:pPr>
      <w:r>
        <w:rPr>
          <w:rFonts w:ascii="Arial" w:cs="Arial" w:eastAsia="Arial" w:hAnsi="Arial"/>
          <w:b/>
          <w:bCs/>
          <w:color w:val="1A1A1A"/>
          <w:sz w:val="26"/>
          <w:szCs w:val="26"/>
        </w:rPr>
        <w:t xml:space="preserve">The roadmap to Korea Open</w:t>
      </w:r>
    </w:p>
    <w:p>
      <w:pPr>
        <w:pStyle w:val="ListParagraph"/>
        <w:numPr>
          <w:ilvl w:val="0"/>
          <w:numId w:val="9"/>
        </w:numPr>
        <w:spacing w:after="40" w:before="40" w:line="280"/>
      </w:pPr>
      <w:r>
        <w:rPr>
          <w:rFonts w:ascii="Arial" w:cs="Arial" w:eastAsia="Arial" w:hAnsi="Arial"/>
          <w:b w:val="false"/>
          <w:bCs w:val="false"/>
          <w:i w:val="false"/>
          <w:iCs w:val="false"/>
          <w:color w:val="1A1A1A"/>
          <w:sz w:val="22"/>
          <w:szCs w:val="22"/>
        </w:rPr>
        <w:t xml:space="preserve">Complete the bench plan (§13): current-to-force calibration, snap-fit coupon, T_safe coupon, soak test, hyperbaric test, fatigue test.</w:t>
      </w:r>
    </w:p>
    <w:p>
      <w:pPr>
        <w:pStyle w:val="ListParagraph"/>
        <w:numPr>
          <w:ilvl w:val="0"/>
          <w:numId w:val="9"/>
        </w:numPr>
        <w:spacing w:after="40" w:before="40" w:line="280"/>
      </w:pPr>
      <w:r>
        <w:rPr>
          <w:rFonts w:ascii="Arial" w:cs="Arial" w:eastAsia="Arial" w:hAnsi="Arial"/>
          <w:b w:val="false"/>
          <w:bCs w:val="false"/>
          <w:i w:val="false"/>
          <w:iCs w:val="false"/>
          <w:color w:val="1A1A1A"/>
          <w:sz w:val="22"/>
          <w:szCs w:val="22"/>
        </w:rPr>
        <w:t xml:space="preserve">Validate the proposed gear re-size in CAD (CROWN_RC 11, module 1.83, 12/6 teeth, face 8) and re-run check_drivetrain.py. If it clears, ship it. The per-finger force band rises from 0.35 to 0.73 N up to 4.2 to 8.7 N.</w:t>
      </w:r>
    </w:p>
    <w:p>
      <w:pPr>
        <w:pStyle w:val="ListParagraph"/>
        <w:numPr>
          <w:ilvl w:val="0"/>
          <w:numId w:val="9"/>
        </w:numPr>
        <w:spacing w:after="40" w:before="40" w:line="280"/>
      </w:pPr>
      <w:r>
        <w:rPr>
          <w:rFonts w:ascii="Arial" w:cs="Arial" w:eastAsia="Arial" w:hAnsi="Arial"/>
          <w:b w:val="false"/>
          <w:bCs w:val="false"/>
          <w:i w:val="false"/>
          <w:iCs w:val="false"/>
          <w:color w:val="1A1A1A"/>
          <w:sz w:val="22"/>
          <w:szCs w:val="22"/>
        </w:rPr>
        <w:t xml:space="preserve">Pool dive on a BlueROV2 chassis with the BR2 bottom-Newton adapter. Recover an instrumented test artefact from a 5 m sand-bottom site.</w:t>
      </w:r>
    </w:p>
    <w:p>
      <w:pPr>
        <w:pStyle w:val="ListParagraph"/>
        <w:numPr>
          <w:ilvl w:val="0"/>
          <w:numId w:val="9"/>
        </w:numPr>
        <w:spacing w:after="40" w:before="40" w:line="280"/>
      </w:pPr>
      <w:r>
        <w:rPr>
          <w:rFonts w:ascii="Arial" w:cs="Arial" w:eastAsia="Arial" w:hAnsi="Arial"/>
          <w:b w:val="false"/>
          <w:bCs w:val="false"/>
          <w:i w:val="false"/>
          <w:iCs w:val="false"/>
          <w:color w:val="1A1A1A"/>
          <w:sz w:val="22"/>
          <w:szCs w:val="22"/>
        </w:rPr>
        <w:t xml:space="preserve">Korea Open Invitational, Seoul, July 2026. Present SoftSense, the simulation campaign behind it, and the bench-validated calibration curve from the actuator-as-sensor work.</w:t>
      </w:r>
    </w:p>
    <w:p>
      <w:pPr>
        <w:pStyle w:val="ListParagraph"/>
        <w:numPr>
          <w:ilvl w:val="0"/>
          <w:numId w:val="2"/>
        </w:numPr>
        <w:spacing w:after="40" w:before="40" w:line="280"/>
      </w:pPr>
      <w:r>
        <w:rPr>
          <w:rFonts w:ascii="Arial" w:cs="Arial" w:eastAsia="Arial" w:hAnsi="Arial"/>
          <w:b/>
          <w:bCs/>
          <w:i w:val="false"/>
          <w:iCs w:val="false"/>
          <w:color w:val="1A1A1A"/>
          <w:sz w:val="22"/>
          <w:szCs w:val="22"/>
        </w:rPr>
        <w:t xml:space="preserve">Re-run the scale-up at full resolution and choose a deployment size. </w:t>
      </w:r>
      <w:r>
        <w:rPr>
          <w:rFonts w:ascii="Arial" w:cs="Arial" w:eastAsia="Arial" w:hAnsi="Arial"/>
          <w:b w:val="false"/>
          <w:bCs w:val="false"/>
          <w:i w:val="false"/>
          <w:iCs w:val="false"/>
          <w:color w:val="1A1A1A"/>
          <w:sz w:val="22"/>
          <w:szCs w:val="22"/>
        </w:rPr>
        <w:t xml:space="preserve">Repeat the 1.5× and 2.0× FEA on the render node with a fresh blade-only control, and decide a production size with the proposed gear re-size folded in, so reach and squeezing strength are settled together.</w:t>
      </w:r>
    </w:p>
    <w:p>
      <w:pPr>
        <w:pBdr>
          <w:top w:val="none" w:color="FFFFFF" w:sz="0" w:space="0"/>
          <w:left w:val="single" w:color="E63027" w:sz="28" w:space="14"/>
          <w:bottom w:val="none" w:color="FFFFFF" w:sz="0" w:space="0"/>
          <w:right w:val="none" w:color="FFFFFF" w:sz="0" w:space="0"/>
        </w:pBdr>
        <w:spacing w:after="220" w:before="220" w:line="340"/>
        <w:ind w:left="360"/>
      </w:pPr>
      <w:r>
        <w:rPr>
          <w:rFonts w:ascii="Arial" w:cs="Arial" w:eastAsia="Arial" w:hAnsi="Arial"/>
          <w:i/>
          <w:iCs/>
          <w:color w:val="1A1A1A"/>
          <w:sz w:val="24"/>
          <w:szCs w:val="24"/>
        </w:rPr>
        <w:t xml:space="preserve">We converged the design in software first, with validated models and explicit notes on fidelity, instead of printing and iterating blindly. Then we wrote down what we don't yet know.</w:t>
      </w:r>
    </w:p>
    <w:p>
      <w:r>
        <w:br w:type="page"/>
      </w:r>
    </w:p>
    <w:p>
      <w:pPr>
        <w:pStyle w:val="Heading1"/>
        <w:pBdr>
          <w:top w:val="none" w:color="FFFFFF" w:sz="0" w:space="0"/>
          <w:left w:val="none" w:color="FFFFFF" w:sz="0" w:space="0"/>
          <w:bottom w:val="single" w:color="F5D802" w:sz="18" w:space="4"/>
          <w:right w:val="none" w:color="FFFFFF" w:sz="0" w:space="0"/>
        </w:pBdr>
        <w:spacing w:after="200" w:before="320"/>
      </w:pPr>
      <w:r>
        <w:rPr>
          <w:rFonts w:ascii="Arial" w:cs="Arial" w:eastAsia="Arial" w:hAnsi="Arial"/>
          <w:b/>
          <w:bCs/>
          <w:color w:val="1A1A1A"/>
          <w:sz w:val="36"/>
          <w:szCs w:val="36"/>
        </w:rPr>
        <w:t>19. Sources and citation provenance</w:t>
      </w:r>
    </w:p>
    <w:p>
      <w:pPr>
        <w:spacing w:after="100" w:before="0" w:line="300"/>
      </w:pPr>
      <w:r>
        <w:rPr>
          <w:rFonts w:ascii="Arial" w:cs="Arial" w:eastAsia="Arial" w:hAnsi="Arial"/>
          <w:b w:val="false"/>
          <w:bCs w:val="false"/>
          <w:i w:val="false"/>
          <w:iCs w:val="false"/>
          <w:color w:val="1A1A1A"/>
          <w:sz w:val="22"/>
          <w:szCs w:val="22"/>
        </w:rPr>
        <w:t xml:space="preserve">Every coefficient and ordering in this report traces to a published source or a reproducible simulation. The literature behind the grip-texture model:</w:t>
      </w:r>
    </w:p>
    <w:p>
      <w:pPr>
        <w:pStyle w:val="ListParagraph"/>
        <w:numPr>
          <w:ilvl w:val="0"/>
          <w:numId w:val="3"/>
        </w:numPr>
        <w:spacing w:after="40" w:before="40" w:line="280"/>
      </w:pPr>
      <w:r>
        <w:rPr>
          <w:rFonts w:ascii="Arial" w:cs="Arial" w:eastAsia="Arial" w:hAnsi="Arial"/>
          <w:b/>
          <w:bCs/>
          <w:i w:val="false"/>
          <w:iCs w:val="false"/>
          <w:color w:val="1A1A1A"/>
          <w:sz w:val="22"/>
          <w:szCs w:val="22"/>
        </w:rPr>
        <w:t xml:space="preserve">Persson </w:t>
      </w:r>
      <w:r>
        <w:rPr>
          <w:rFonts w:ascii="Arial" w:cs="Arial" w:eastAsia="Arial" w:hAnsi="Arial"/>
          <w:b w:val="false"/>
          <w:bCs w:val="false"/>
          <w:i w:val="false"/>
          <w:iCs w:val="false"/>
          <w:color w:val="1A1A1A"/>
          <w:sz w:val="22"/>
          <w:szCs w:val="22"/>
        </w:rPr>
        <w:t xml:space="preserve">(2001). Rubber friction and wet skid: the framework for elastomer friction on a contaminated surface.</w:t>
      </w:r>
    </w:p>
    <w:p>
      <w:pPr>
        <w:pStyle w:val="ListParagraph"/>
        <w:numPr>
          <w:ilvl w:val="0"/>
          <w:numId w:val="3"/>
        </w:numPr>
        <w:spacing w:after="40" w:before="40" w:line="280"/>
      </w:pPr>
      <w:r>
        <w:rPr>
          <w:rFonts w:ascii="Arial" w:cs="Arial" w:eastAsia="Arial" w:hAnsi="Arial"/>
          <w:b/>
          <w:bCs/>
          <w:i w:val="false"/>
          <w:iCs w:val="false"/>
          <w:color w:val="1A1A1A"/>
          <w:sz w:val="22"/>
          <w:szCs w:val="22"/>
        </w:rPr>
        <w:t xml:space="preserve">Briscoe and Tabor </w:t>
      </w:r>
      <w:r>
        <w:rPr>
          <w:rFonts w:ascii="Arial" w:cs="Arial" w:eastAsia="Arial" w:hAnsi="Arial"/>
          <w:b w:val="false"/>
          <w:bCs w:val="false"/>
          <w:i w:val="false"/>
          <w:iCs w:val="false"/>
          <w:color w:val="1A1A1A"/>
          <w:sz w:val="22"/>
          <w:szCs w:val="22"/>
        </w:rPr>
        <w:t xml:space="preserve">(1978). Interfacial shear of polymers. τ = τ₀ + α·p; sources for TAU0 and ALPHA in the model.</w:t>
      </w:r>
    </w:p>
    <w:p>
      <w:pPr>
        <w:pStyle w:val="ListParagraph"/>
        <w:numPr>
          <w:ilvl w:val="0"/>
          <w:numId w:val="3"/>
        </w:numPr>
        <w:spacing w:after="40" w:before="40" w:line="280"/>
      </w:pPr>
      <w:r>
        <w:rPr>
          <w:rFonts w:ascii="Arial" w:cs="Arial" w:eastAsia="Arial" w:hAnsi="Arial"/>
          <w:b/>
          <w:bCs/>
          <w:i w:val="false"/>
          <w:iCs w:val="false"/>
          <w:color w:val="1A1A1A"/>
          <w:sz w:val="22"/>
          <w:szCs w:val="22"/>
        </w:rPr>
        <w:t xml:space="preserve">Barnes, Federle, Drotlef </w:t>
      </w:r>
      <w:r>
        <w:rPr>
          <w:rFonts w:ascii="Arial" w:cs="Arial" w:eastAsia="Arial" w:hAnsi="Arial"/>
          <w:b w:val="false"/>
          <w:bCs w:val="false"/>
          <w:i w:val="false"/>
          <w:iCs w:val="false"/>
          <w:color w:val="1A1A1A"/>
          <w:sz w:val="22"/>
          <w:szCs w:val="22"/>
        </w:rPr>
        <w:t xml:space="preserve">(2006 to 2013). Tree-frog hexagonal wet adhesion; the hexpad ordering precedent.</w:t>
      </w:r>
    </w:p>
    <w:p>
      <w:pPr>
        <w:pStyle w:val="ListParagraph"/>
        <w:numPr>
          <w:ilvl w:val="0"/>
          <w:numId w:val="3"/>
        </w:numPr>
        <w:spacing w:after="40" w:before="40" w:line="280"/>
      </w:pPr>
      <w:r>
        <w:rPr>
          <w:rFonts w:ascii="Arial" w:cs="Arial" w:eastAsia="Arial" w:hAnsi="Arial"/>
          <w:b/>
          <w:bCs/>
          <w:i w:val="false"/>
          <w:iCs w:val="false"/>
          <w:color w:val="1A1A1A"/>
          <w:sz w:val="22"/>
          <w:szCs w:val="22"/>
        </w:rPr>
        <w:t xml:space="preserve">Tramacere and Baik </w:t>
      </w:r>
      <w:r>
        <w:rPr>
          <w:rFonts w:ascii="Arial" w:cs="Arial" w:eastAsia="Arial" w:hAnsi="Arial"/>
          <w:b w:val="false"/>
          <w:bCs w:val="false"/>
          <w:i w:val="false"/>
          <w:iCs w:val="false"/>
          <w:color w:val="1A1A1A"/>
          <w:sz w:val="22"/>
          <w:szCs w:val="22"/>
        </w:rPr>
        <w:t xml:space="preserve">(2013 to 2017). Octopus sucker wet attachment; the concentric reference μ.</w:t>
      </w:r>
    </w:p>
    <w:p>
      <w:pPr>
        <w:pStyle w:val="ListParagraph"/>
        <w:numPr>
          <w:ilvl w:val="0"/>
          <w:numId w:val="3"/>
        </w:numPr>
        <w:spacing w:after="40" w:before="40" w:line="280"/>
      </w:pPr>
      <w:r>
        <w:rPr>
          <w:rFonts w:ascii="Arial" w:cs="Arial" w:eastAsia="Arial" w:hAnsi="Arial"/>
          <w:b/>
          <w:bCs/>
          <w:i w:val="false"/>
          <w:iCs w:val="false"/>
          <w:color w:val="1A1A1A"/>
          <w:sz w:val="22"/>
          <w:szCs w:val="22"/>
        </w:rPr>
        <w:t xml:space="preserve">Pneumatic tyre tread drainage literature </w:t>
      </w:r>
      <w:r>
        <w:rPr>
          <w:rFonts w:ascii="Arial" w:cs="Arial" w:eastAsia="Arial" w:hAnsi="Arial"/>
          <w:b w:val="false"/>
          <w:bCs w:val="false"/>
          <w:i w:val="false"/>
          <w:iCs w:val="false"/>
          <w:color w:val="1A1A1A"/>
          <w:sz w:val="22"/>
          <w:szCs w:val="22"/>
        </w:rPr>
        <w:t xml:space="preserve">for the MU_FILM wet-skid floor and the squeeze-film drainage ordering.</w:t>
      </w:r>
    </w:p>
    <w:p>
      <w:pPr>
        <w:pStyle w:val="ListParagraph"/>
        <w:numPr>
          <w:ilvl w:val="0"/>
          <w:numId w:val="3"/>
        </w:numPr>
        <w:spacing w:after="40" w:before="40" w:line="280"/>
      </w:pPr>
      <w:r>
        <w:rPr>
          <w:rFonts w:ascii="Arial" w:cs="Arial" w:eastAsia="Arial" w:hAnsi="Arial"/>
          <w:b/>
          <w:bCs/>
          <w:i w:val="false"/>
          <w:iCs w:val="false"/>
          <w:color w:val="1A1A1A"/>
          <w:sz w:val="22"/>
          <w:szCs w:val="22"/>
        </w:rPr>
        <w:t xml:space="preserve">Bayer / Covestro </w:t>
      </w:r>
      <w:r>
        <w:rPr>
          <w:rFonts w:ascii="Arial" w:cs="Arial" w:eastAsia="Arial" w:hAnsi="Arial"/>
          <w:b w:val="false"/>
          <w:bCs w:val="false"/>
          <w:i w:val="false"/>
          <w:iCs w:val="false"/>
          <w:color w:val="1A1A1A"/>
          <w:sz w:val="22"/>
          <w:szCs w:val="22"/>
        </w:rPr>
        <w:t xml:space="preserve">Snap-Fit Joints for Plastics: the cantilever surface-strain model ε = 3·t·δ / (2·L²) and the one-time-assembly allowables.</w:t>
      </w:r>
    </w:p>
    <w:p>
      <w:pPr>
        <w:pStyle w:val="ListParagraph"/>
        <w:numPr>
          <w:ilvl w:val="0"/>
          <w:numId w:val="3"/>
        </w:numPr>
        <w:spacing w:after="40" w:before="40" w:line="280"/>
      </w:pPr>
      <w:r>
        <w:rPr>
          <w:rFonts w:ascii="Arial" w:cs="Arial" w:eastAsia="Arial" w:hAnsi="Arial"/>
          <w:b/>
          <w:bCs/>
          <w:i w:val="false"/>
          <w:iCs w:val="false"/>
          <w:color w:val="1A1A1A"/>
          <w:sz w:val="22"/>
          <w:szCs w:val="22"/>
        </w:rPr>
        <w:t>Bambu TPU 95A HF Technical Data Sheet V1.0: ISO 527 printed-specimen Young’s modulus 9.8 / 7.4 MPa and tensile strength 27.3 / 22.3 MPa (in-plane / through-Z), elongation above 650 %, density 1.22, water absorption 1.08 %, nozzle 220 to 240 °C, bed 30 to 35 °C, dry 70 °C for 8 h, max volumetric flow about 12 mm³/s.</w:t>
      </w:r>
    </w:p>
    <w:p>
      <w:pPr>
        <w:pStyle w:val="ListParagraph"/>
        <w:numPr>
          <w:ilvl w:val="0"/>
          <w:numId w:val="3"/>
        </w:numPr>
        <w:spacing w:after="40" w:before="40" w:line="280"/>
      </w:pPr>
      <w:r>
        <w:rPr>
          <w:rFonts w:ascii="Arial" w:cs="Arial" w:eastAsia="Arial" w:hAnsi="Arial"/>
          <w:b/>
          <w:bCs/>
          <w:i w:val="false"/>
          <w:iCs w:val="false"/>
          <w:color w:val="1A1A1A"/>
          <w:sz w:val="22"/>
          <w:szCs w:val="22"/>
        </w:rPr>
        <w:t xml:space="preserve">Bambu Studio profile schema </w:t>
      </w:r>
      <w:r>
        <w:rPr>
          <w:rFonts w:ascii="Arial" w:cs="Arial" w:eastAsia="Arial" w:hAnsi="Arial"/>
          <w:b w:val="false"/>
          <w:bCs w:val="false"/>
          <w:i w:val="false"/>
          <w:iCs w:val="false"/>
          <w:color w:val="1A1A1A"/>
          <w:sz w:val="22"/>
          <w:szCs w:val="22"/>
        </w:rPr>
        <w:t xml:space="preserve">(github.com/bambulab/BambuStudio): Generic TPU and 0.20 mm Standard @BBL X1C base profiles; P1S machine profile.</w:t>
      </w:r>
    </w:p>
    <w:p>
      <w:pPr>
        <w:pStyle w:val="ListParagraph"/>
        <w:numPr>
          <w:ilvl w:val="0"/>
          <w:numId w:val="3"/>
        </w:numPr>
        <w:spacing w:after="40" w:before="40" w:line="280"/>
      </w:pPr>
      <w:r>
        <w:rPr>
          <w:rFonts w:ascii="Arial" w:cs="Arial" w:eastAsia="Arial" w:hAnsi="Arial"/>
          <w:b/>
          <w:bCs/>
          <w:i w:val="false"/>
          <w:iCs w:val="false"/>
          <w:color w:val="1A1A1A"/>
          <w:sz w:val="22"/>
          <w:szCs w:val="22"/>
        </w:rPr>
        <w:t xml:space="preserve">Blue Robotics product catalogue </w:t>
      </w:r>
      <w:r>
        <w:rPr>
          <w:rFonts w:ascii="Arial" w:cs="Arial" w:eastAsia="Arial" w:hAnsi="Arial"/>
          <w:b w:val="false"/>
          <w:bCs w:val="false"/>
          <w:i w:val="false"/>
          <w:iCs w:val="false"/>
          <w:color w:val="1A1A1A"/>
          <w:sz w:val="22"/>
          <w:szCs w:val="22"/>
        </w:rPr>
        <w:t xml:space="preserve">for the acrylic locking tube canister BOM (around USD 130 assembled).</w:t>
      </w:r>
    </w:p>
    <w:p>
      <w:pPr>
        <w:pStyle w:val="ListParagraph"/>
        <w:numPr>
          <w:ilvl w:val="0"/>
          <w:numId w:val="3"/>
        </w:numPr>
        <w:spacing w:after="40" w:before="40" w:line="280"/>
      </w:pPr>
      <w:r>
        <w:rPr>
          <w:rFonts w:ascii="Arial" w:cs="Arial" w:eastAsia="Arial" w:hAnsi="Arial"/>
          <w:b/>
          <w:bCs/>
          <w:i w:val="false"/>
          <w:iCs w:val="false"/>
          <w:color w:val="1A1A1A"/>
          <w:sz w:val="22"/>
          <w:szCs w:val="22"/>
        </w:rPr>
        <w:t xml:space="preserve">ROBOTIS DYNAMIXEL </w:t>
      </w:r>
      <w:r>
        <w:rPr>
          <w:rFonts w:ascii="Arial" w:cs="Arial" w:eastAsia="Arial" w:hAnsi="Arial"/>
          <w:b w:val="false"/>
          <w:bCs w:val="false"/>
          <w:i w:val="false"/>
          <w:iCs w:val="false"/>
          <w:color w:val="1A1A1A"/>
          <w:sz w:val="22"/>
          <w:szCs w:val="22"/>
        </w:rPr>
        <w:t xml:space="preserve">XW540-T260-R and XM540-W270-R datasheets.</w:t>
      </w:r>
    </w:p>
    <w:p>
      <w:pPr>
        <w:pStyle w:val="ListParagraph"/>
        <w:numPr>
          <w:ilvl w:val="0"/>
          <w:numId w:val="3"/>
        </w:numPr>
        <w:spacing w:after="40" w:before="40" w:line="280"/>
      </w:pPr>
      <w:r>
        <w:rPr>
          <w:rFonts w:ascii="Arial" w:cs="Arial" w:eastAsia="Arial" w:hAnsi="Arial"/>
          <w:b/>
          <w:bCs/>
          <w:i w:val="false"/>
          <w:iCs w:val="false"/>
          <w:color w:val="1A1A1A"/>
          <w:sz w:val="22"/>
          <w:szCs w:val="22"/>
        </w:rPr>
        <w:t xml:space="preserve">Feetech STS3250 and STS3215 </w:t>
      </w:r>
      <w:r>
        <w:rPr>
          <w:rFonts w:ascii="Arial" w:cs="Arial" w:eastAsia="Arial" w:hAnsi="Arial"/>
          <w:b w:val="false"/>
          <w:bCs w:val="false"/>
          <w:i w:val="false"/>
          <w:iCs w:val="false"/>
          <w:color w:val="1A1A1A"/>
          <w:sz w:val="22"/>
          <w:szCs w:val="22"/>
        </w:rPr>
        <w:t xml:space="preserve">datasheets.</w:t>
      </w:r>
    </w:p>
    <w:p>
      <w:pPr>
        <w:pStyle w:val="ListParagraph"/>
        <w:numPr>
          <w:ilvl w:val="0"/>
          <w:numId w:val="3"/>
        </w:numPr>
        <w:spacing w:after="40" w:before="40" w:line="280"/>
      </w:pPr>
      <w:r>
        <w:rPr>
          <w:rFonts w:ascii="Arial" w:cs="Arial" w:eastAsia="Arial" w:hAnsi="Arial"/>
          <w:b/>
          <w:bCs/>
          <w:i w:val="false"/>
          <w:iCs w:val="false"/>
          <w:color w:val="1A1A1A"/>
          <w:sz w:val="22"/>
          <w:szCs w:val="22"/>
        </w:rPr>
        <w:t xml:space="preserve">ISO 9409-1 </w:t>
      </w:r>
      <w:r>
        <w:rPr>
          <w:rFonts w:ascii="Arial" w:cs="Arial" w:eastAsia="Arial" w:hAnsi="Arial"/>
          <w:b w:val="false"/>
          <w:bCs w:val="false"/>
          <w:i w:val="false"/>
          <w:iCs w:val="false"/>
          <w:color w:val="1A1A1A"/>
          <w:sz w:val="22"/>
          <w:szCs w:val="22"/>
        </w:rPr>
        <w:t xml:space="preserve">Type 50-4-M6 and 80-6-M8 mechanical interfaces for cobot end effectors.</w:t>
      </w:r>
    </w:p>
    <w:p>
      <w:pPr>
        <w:pStyle w:val="Heading2"/>
        <w:spacing w:after="140" w:before="280"/>
      </w:pPr>
      <w:r>
        <w:rPr>
          <w:rFonts w:ascii="Arial" w:cs="Arial" w:eastAsia="Arial" w:hAnsi="Arial"/>
          <w:b/>
          <w:bCs/>
          <w:color w:val="1A1A1A"/>
          <w:sz w:val="26"/>
          <w:szCs w:val="26"/>
        </w:rPr>
        <w:t xml:space="preserve">Subsea industry and archaeology literature</w:t>
      </w:r>
    </w:p>
    <w:p>
      <w:pPr>
        <w:pStyle w:val="ListParagraph"/>
        <w:numPr>
          <w:ilvl w:val="0"/>
          <w:numId w:val="3"/>
        </w:numPr>
        <w:spacing w:after="40" w:before="40" w:line="280"/>
      </w:pPr>
      <w:r>
        <w:rPr>
          <w:rFonts w:ascii="Arial" w:cs="Arial" w:eastAsia="Arial" w:hAnsi="Arial"/>
          <w:b/>
          <w:bCs/>
          <w:i w:val="false"/>
          <w:iCs w:val="false"/>
          <w:color w:val="1A1A1A"/>
          <w:sz w:val="22"/>
          <w:szCs w:val="22"/>
        </w:rPr>
        <w:t xml:space="preserve">Sivčev et al. </w:t>
      </w:r>
      <w:r>
        <w:rPr>
          <w:rFonts w:ascii="Arial" w:cs="Arial" w:eastAsia="Arial" w:hAnsi="Arial"/>
          <w:b w:val="false"/>
          <w:bCs w:val="false"/>
          <w:i w:val="false"/>
          <w:iCs w:val="false"/>
          <w:color w:val="1A1A1A"/>
          <w:sz w:val="22"/>
          <w:szCs w:val="22"/>
        </w:rPr>
        <w:t xml:space="preserve">(2018a) and Sivčev et al. (2018, Underwater manipulators: a review).</w:t>
      </w:r>
    </w:p>
    <w:p>
      <w:pPr>
        <w:pStyle w:val="ListParagraph"/>
        <w:numPr>
          <w:ilvl w:val="0"/>
          <w:numId w:val="3"/>
        </w:numPr>
        <w:spacing w:after="40" w:before="40" w:line="280"/>
      </w:pPr>
      <w:r>
        <w:rPr>
          <w:rFonts w:ascii="Arial" w:cs="Arial" w:eastAsia="Arial" w:hAnsi="Arial"/>
          <w:b/>
          <w:bCs/>
          <w:i w:val="false"/>
          <w:iCs w:val="false"/>
          <w:color w:val="1A1A1A"/>
          <w:sz w:val="22"/>
          <w:szCs w:val="22"/>
        </w:rPr>
        <w:t xml:space="preserve">Antonelli </w:t>
      </w:r>
      <w:r>
        <w:rPr>
          <w:rFonts w:ascii="Arial" w:cs="Arial" w:eastAsia="Arial" w:hAnsi="Arial"/>
          <w:b w:val="false"/>
          <w:bCs w:val="false"/>
          <w:i w:val="false"/>
          <w:iCs w:val="false"/>
          <w:color w:val="1A1A1A"/>
          <w:sz w:val="22"/>
          <w:szCs w:val="22"/>
        </w:rPr>
        <w:t xml:space="preserve">(2014). Underwater Robots.</w:t>
      </w:r>
    </w:p>
    <w:p>
      <w:pPr>
        <w:pStyle w:val="ListParagraph"/>
        <w:numPr>
          <w:ilvl w:val="0"/>
          <w:numId w:val="3"/>
        </w:numPr>
        <w:spacing w:after="40" w:before="40" w:line="280"/>
      </w:pPr>
      <w:r>
        <w:rPr>
          <w:rFonts w:ascii="Arial" w:cs="Arial" w:eastAsia="Arial" w:hAnsi="Arial"/>
          <w:b/>
          <w:bCs/>
          <w:i w:val="false"/>
          <w:iCs w:val="false"/>
          <w:color w:val="1A1A1A"/>
          <w:sz w:val="22"/>
          <w:szCs w:val="22"/>
        </w:rPr>
        <w:t xml:space="preserve">Petillot et al. </w:t>
      </w:r>
      <w:r>
        <w:rPr>
          <w:rFonts w:ascii="Arial" w:cs="Arial" w:eastAsia="Arial" w:hAnsi="Arial"/>
          <w:b w:val="false"/>
          <w:bCs w:val="false"/>
          <w:i w:val="false"/>
          <w:iCs w:val="false"/>
          <w:color w:val="1A1A1A"/>
          <w:sz w:val="22"/>
          <w:szCs w:val="22"/>
        </w:rPr>
        <w:t xml:space="preserve">(2019). Underwater robots: from remotely operated vehicles to intervention-autonomous underwater vehicles.</w:t>
      </w:r>
    </w:p>
    <w:p>
      <w:pPr>
        <w:pStyle w:val="ListParagraph"/>
        <w:numPr>
          <w:ilvl w:val="0"/>
          <w:numId w:val="3"/>
        </w:numPr>
        <w:spacing w:after="40" w:before="40" w:line="280"/>
      </w:pPr>
      <w:r>
        <w:rPr>
          <w:rFonts w:ascii="Arial" w:cs="Arial" w:eastAsia="Arial" w:hAnsi="Arial"/>
          <w:b/>
          <w:bCs/>
          <w:i w:val="false"/>
          <w:iCs w:val="false"/>
          <w:color w:val="1A1A1A"/>
          <w:sz w:val="22"/>
          <w:szCs w:val="22"/>
        </w:rPr>
        <w:t xml:space="preserve">Bogue </w:t>
      </w:r>
      <w:r>
        <w:rPr>
          <w:rFonts w:ascii="Arial" w:cs="Arial" w:eastAsia="Arial" w:hAnsi="Arial"/>
          <w:b w:val="false"/>
          <w:bCs w:val="false"/>
          <w:i w:val="false"/>
          <w:iCs w:val="false"/>
          <w:color w:val="1A1A1A"/>
          <w:sz w:val="22"/>
          <w:szCs w:val="22"/>
        </w:rPr>
        <w:t xml:space="preserve">(2015). Underwater robots: a review.</w:t>
      </w:r>
    </w:p>
    <w:p>
      <w:pPr>
        <w:pStyle w:val="ListParagraph"/>
        <w:numPr>
          <w:ilvl w:val="0"/>
          <w:numId w:val="3"/>
        </w:numPr>
        <w:spacing w:after="40" w:before="40" w:line="280"/>
      </w:pPr>
      <w:r>
        <w:rPr>
          <w:rFonts w:ascii="Arial" w:cs="Arial" w:eastAsia="Arial" w:hAnsi="Arial"/>
          <w:b/>
          <w:bCs/>
          <w:i w:val="false"/>
          <w:iCs w:val="false"/>
          <w:color w:val="1A1A1A"/>
          <w:sz w:val="22"/>
          <w:szCs w:val="22"/>
        </w:rPr>
        <w:t xml:space="preserve">Schilling Robotics Titan 4 </w:t>
      </w:r>
      <w:r>
        <w:rPr>
          <w:rFonts w:ascii="Arial" w:cs="Arial" w:eastAsia="Arial" w:hAnsi="Arial"/>
          <w:b w:val="false"/>
          <w:bCs w:val="false"/>
          <w:i w:val="false"/>
          <w:iCs w:val="false"/>
          <w:color w:val="1A1A1A"/>
          <w:sz w:val="22"/>
          <w:szCs w:val="22"/>
        </w:rPr>
        <w:t xml:space="preserve">manipulator damage and risk study (ScienceDirect 2023).</w:t>
      </w:r>
    </w:p>
    <w:p>
      <w:pPr>
        <w:pStyle w:val="Heading2"/>
        <w:spacing w:after="140" w:before="280"/>
      </w:pPr>
      <w:r>
        <w:rPr>
          <w:rFonts w:ascii="Arial" w:cs="Arial" w:eastAsia="Arial" w:hAnsi="Arial"/>
          <w:b/>
          <w:bCs/>
          <w:color w:val="1A1A1A"/>
          <w:sz w:val="26"/>
          <w:szCs w:val="26"/>
        </w:rPr>
        <w:t xml:space="preserve">Software and tooling</w:t>
      </w:r>
    </w:p>
    <w:p>
      <w:pPr>
        <w:pStyle w:val="ListParagraph"/>
        <w:numPr>
          <w:ilvl w:val="0"/>
          <w:numId w:val="3"/>
        </w:numPr>
        <w:spacing w:after="40" w:before="40" w:line="280"/>
      </w:pPr>
      <w:r>
        <w:rPr>
          <w:rFonts w:ascii="Arial" w:cs="Arial" w:eastAsia="Arial" w:hAnsi="Arial"/>
          <w:b/>
          <w:bCs/>
          <w:i w:val="false"/>
          <w:iCs w:val="false"/>
          <w:color w:val="1A1A1A"/>
          <w:sz w:val="22"/>
          <w:szCs w:val="22"/>
        </w:rPr>
        <w:t xml:space="preserve">build123d 0.10.0 </w:t>
      </w:r>
      <w:r>
        <w:rPr>
          <w:rFonts w:ascii="Arial" w:cs="Arial" w:eastAsia="Arial" w:hAnsi="Arial"/>
          <w:b w:val="false"/>
          <w:bCs w:val="false"/>
          <w:i w:val="false"/>
          <w:iCs w:val="false"/>
          <w:color w:val="1A1A1A"/>
          <w:sz w:val="22"/>
          <w:szCs w:val="22"/>
        </w:rPr>
        <w:t xml:space="preserve">(parametric CAD): the source of truth for every dimension in this document.</w:t>
      </w:r>
    </w:p>
    <w:p>
      <w:pPr>
        <w:pStyle w:val="ListParagraph"/>
        <w:numPr>
          <w:ilvl w:val="0"/>
          <w:numId w:val="3"/>
        </w:numPr>
        <w:spacing w:after="40" w:before="40" w:line="280"/>
      </w:pPr>
      <w:r>
        <w:rPr>
          <w:rFonts w:ascii="Arial" w:cs="Arial" w:eastAsia="Arial" w:hAnsi="Arial"/>
          <w:b/>
          <w:bCs/>
          <w:i w:val="false"/>
          <w:iCs w:val="false"/>
          <w:color w:val="1A1A1A"/>
          <w:sz w:val="22"/>
          <w:szCs w:val="22"/>
        </w:rPr>
        <w:t xml:space="preserve">gmsh 4.x </w:t>
      </w:r>
      <w:r>
        <w:rPr>
          <w:rFonts w:ascii="Arial" w:cs="Arial" w:eastAsia="Arial" w:hAnsi="Arial"/>
          <w:b w:val="false"/>
          <w:bCs w:val="false"/>
          <w:i w:val="false"/>
          <w:iCs w:val="false"/>
          <w:color w:val="1A1A1A"/>
          <w:sz w:val="22"/>
          <w:szCs w:val="22"/>
        </w:rPr>
        <w:t xml:space="preserve">for triangle meshing of the 2D and 3D finger cross-sections.</w:t>
      </w:r>
    </w:p>
    <w:p>
      <w:pPr>
        <w:pStyle w:val="ListParagraph"/>
        <w:numPr>
          <w:ilvl w:val="0"/>
          <w:numId w:val="3"/>
        </w:numPr>
        <w:spacing w:after="40" w:before="40" w:line="280"/>
      </w:pPr>
      <w:r>
        <w:rPr>
          <w:rFonts w:ascii="Arial" w:cs="Arial" w:eastAsia="Arial" w:hAnsi="Arial"/>
          <w:b/>
          <w:bCs/>
          <w:i w:val="false"/>
          <w:iCs w:val="false"/>
          <w:color w:val="1A1A1A"/>
          <w:sz w:val="22"/>
          <w:szCs w:val="22"/>
        </w:rPr>
        <w:t xml:space="preserve">scikit-fem </w:t>
      </w:r>
      <w:r>
        <w:rPr>
          <w:rFonts w:ascii="Arial" w:cs="Arial" w:eastAsia="Arial" w:hAnsi="Arial"/>
          <w:b w:val="false"/>
          <w:bCs w:val="false"/>
          <w:i w:val="false"/>
          <w:iCs w:val="false"/>
          <w:color w:val="1A1A1A"/>
          <w:sz w:val="22"/>
          <w:szCs w:val="22"/>
        </w:rPr>
        <w:t xml:space="preserve">for the 2D plane-strain finite-strain precursor.</w:t>
      </w:r>
    </w:p>
    <w:p>
      <w:pPr>
        <w:pStyle w:val="ListParagraph"/>
        <w:numPr>
          <w:ilvl w:val="0"/>
          <w:numId w:val="3"/>
        </w:numPr>
        <w:spacing w:after="40" w:before="40" w:line="280"/>
      </w:pPr>
      <w:r>
        <w:rPr>
          <w:rFonts w:ascii="Arial" w:cs="Arial" w:eastAsia="Arial" w:hAnsi="Arial"/>
          <w:b/>
          <w:bCs/>
          <w:i w:val="false"/>
          <w:iCs w:val="false"/>
          <w:color w:val="1A1A1A"/>
          <w:sz w:val="22"/>
          <w:szCs w:val="22"/>
        </w:rPr>
        <w:t xml:space="preserve">NumPy / SciPy </w:t>
      </w:r>
      <w:r>
        <w:rPr>
          <w:rFonts w:ascii="Arial" w:cs="Arial" w:eastAsia="Arial" w:hAnsi="Arial"/>
          <w:b w:val="false"/>
          <w:bCs w:val="false"/>
          <w:i w:val="false"/>
          <w:iCs w:val="false"/>
          <w:color w:val="1A1A1A"/>
          <w:sz w:val="22"/>
          <w:szCs w:val="22"/>
        </w:rPr>
        <w:t xml:space="preserve">for sparse direct solvers (scipy.sparse.linalg.spsolve).</w:t>
      </w:r>
    </w:p>
    <w:p>
      <w:pPr>
        <w:pStyle w:val="ListParagraph"/>
        <w:numPr>
          <w:ilvl w:val="0"/>
          <w:numId w:val="3"/>
        </w:numPr>
        <w:spacing w:after="40" w:before="40" w:line="280"/>
      </w:pPr>
      <w:r>
        <w:rPr>
          <w:rFonts w:ascii="Arial" w:cs="Arial" w:eastAsia="Arial" w:hAnsi="Arial"/>
          <w:b/>
          <w:bCs/>
          <w:i w:val="false"/>
          <w:iCs w:val="false"/>
          <w:color w:val="1A1A1A"/>
          <w:sz w:val="22"/>
          <w:szCs w:val="22"/>
        </w:rPr>
        <w:t xml:space="preserve">CuPy / CUDA </w:t>
      </w:r>
      <w:r>
        <w:rPr>
          <w:rFonts w:ascii="Arial" w:cs="Arial" w:eastAsia="Arial" w:hAnsi="Arial"/>
          <w:b w:val="false"/>
          <w:bCs w:val="false"/>
          <w:i w:val="false"/>
          <w:iCs w:val="false"/>
          <w:color w:val="1A1A1A"/>
          <w:sz w:val="22"/>
          <w:szCs w:val="22"/>
        </w:rPr>
        <w:t xml:space="preserve">for the GPU mirror of the 3D corotational solve (numerically identical results).</w:t>
      </w:r>
    </w:p>
    <w:p>
      <w:pPr>
        <w:pStyle w:val="ListParagraph"/>
        <w:numPr>
          <w:ilvl w:val="0"/>
          <w:numId w:val="3"/>
        </w:numPr>
        <w:spacing w:after="40" w:before="40" w:line="280"/>
      </w:pPr>
      <w:r>
        <w:rPr>
          <w:rFonts w:ascii="Arial" w:cs="Arial" w:eastAsia="Arial" w:hAnsi="Arial"/>
          <w:b/>
          <w:bCs/>
          <w:i w:val="false"/>
          <w:iCs w:val="false"/>
          <w:color w:val="1A1A1A"/>
          <w:sz w:val="22"/>
          <w:szCs w:val="22"/>
        </w:rPr>
        <w:t xml:space="preserve">trimesh 4.12.2 </w:t>
      </w:r>
      <w:r>
        <w:rPr>
          <w:rFonts w:ascii="Arial" w:cs="Arial" w:eastAsia="Arial" w:hAnsi="Arial"/>
          <w:b w:val="false"/>
          <w:bCs w:val="false"/>
          <w:i w:val="false"/>
          <w:iCs w:val="false"/>
          <w:color w:val="1A1A1A"/>
          <w:sz w:val="22"/>
          <w:szCs w:val="22"/>
        </w:rPr>
        <w:t xml:space="preserve">for STL audit (watertight, winding, body count, volume, degenerate-face check).</w:t>
      </w:r>
    </w:p>
    <w:p>
      <w:pPr>
        <w:pStyle w:val="ListParagraph"/>
        <w:numPr>
          <w:ilvl w:val="0"/>
          <w:numId w:val="3"/>
        </w:numPr>
        <w:spacing w:after="40" w:before="40" w:line="280"/>
      </w:pPr>
      <w:r>
        <w:rPr>
          <w:rFonts w:ascii="Arial" w:cs="Arial" w:eastAsia="Arial" w:hAnsi="Arial"/>
          <w:b/>
          <w:bCs/>
          <w:i w:val="false"/>
          <w:iCs w:val="false"/>
          <w:color w:val="1A1A1A"/>
          <w:sz w:val="22"/>
          <w:szCs w:val="22"/>
        </w:rPr>
        <w:t xml:space="preserve">Bambu Studio </w:t>
      </w:r>
      <w:r>
        <w:rPr>
          <w:rFonts w:ascii="Arial" w:cs="Arial" w:eastAsia="Arial" w:hAnsi="Arial"/>
          <w:b w:val="false"/>
          <w:bCs w:val="false"/>
          <w:i w:val="false"/>
          <w:iCs w:val="false"/>
          <w:color w:val="1A1A1A"/>
          <w:sz w:val="22"/>
          <w:szCs w:val="22"/>
        </w:rPr>
        <w:t xml:space="preserve">for the P1S print profiles (filament + process), importable from profiles/.</w:t>
      </w:r>
    </w:p>
    <w:p>
      <w:pPr>
        <w:pStyle w:val="Heading2"/>
        <w:spacing w:after="140" w:before="280"/>
      </w:pPr>
      <w:r>
        <w:rPr>
          <w:rFonts w:ascii="Arial" w:cs="Arial" w:eastAsia="Arial" w:hAnsi="Arial"/>
          <w:b/>
          <w:bCs/>
          <w:color w:val="1A1A1A"/>
          <w:sz w:val="26"/>
          <w:szCs w:val="26"/>
        </w:rPr>
        <w:t xml:space="preserve">Public-facing documentation</w:t>
      </w:r>
    </w:p>
    <w:p>
      <w:pPr>
        <w:pStyle w:val="ListParagraph"/>
        <w:numPr>
          <w:ilvl w:val="0"/>
          <w:numId w:val="3"/>
        </w:numPr>
        <w:spacing w:after="40" w:before="40" w:line="280"/>
      </w:pPr>
      <w:r>
        <w:rPr>
          <w:rFonts w:ascii="Arial" w:cs="Arial" w:eastAsia="Arial" w:hAnsi="Arial"/>
          <w:b w:val="false"/>
          <w:bCs w:val="false"/>
          <w:i w:val="false"/>
          <w:iCs w:val="false"/>
          <w:color w:val="1A1A1A"/>
          <w:sz w:val="22"/>
          <w:szCs w:val="22"/>
        </w:rPr>
        <w:t xml:space="preserve">Team site: lebob.com.au</w:t>
      </w:r>
    </w:p>
    <w:p>
      <w:pPr>
        <w:pStyle w:val="ListParagraph"/>
        <w:numPr>
          <w:ilvl w:val="0"/>
          <w:numId w:val="3"/>
        </w:numPr>
        <w:spacing w:after="40" w:before="40" w:line="280"/>
      </w:pPr>
      <w:r>
        <w:rPr>
          <w:rFonts w:ascii="Arial" w:cs="Arial" w:eastAsia="Arial" w:hAnsi="Arial"/>
          <w:b w:val="false"/>
          <w:bCs w:val="false"/>
          <w:i w:val="false"/>
          <w:iCs w:val="false"/>
          <w:color w:val="1A1A1A"/>
          <w:sz w:val="22"/>
          <w:szCs w:val="22"/>
        </w:rPr>
        <w:t xml:space="preserve">Robot mission code: github.com/prawny-boy/FLL-Lebob-Unearthed</w:t>
      </w:r>
    </w:p>
    <w:p>
      <w:pPr>
        <w:pStyle w:val="ListParagraph"/>
        <w:numPr>
          <w:ilvl w:val="0"/>
          <w:numId w:val="3"/>
        </w:numPr>
        <w:spacing w:after="40" w:before="40" w:line="280"/>
      </w:pPr>
      <w:r>
        <w:rPr>
          <w:rFonts w:ascii="Arial" w:cs="Arial" w:eastAsia="Arial" w:hAnsi="Arial"/>
          <w:b w:val="false"/>
          <w:bCs w:val="false"/>
          <w:i w:val="false"/>
          <w:iCs w:val="false"/>
          <w:color w:val="1A1A1A"/>
          <w:sz w:val="22"/>
          <w:szCs w:val="22"/>
        </w:rPr>
        <w:t xml:space="preserve">Onshape CAD: cad.onshape.com/documents/47a3be0d6a2fdc65e8e54697 (live, every revision logged)</w:t>
      </w:r>
    </w:p>
    <w:sectPr>
      <w:headerReference w:type="default" r:id="rId9"/>
      <w:footerReference w:type="default" r:id="rId10"/>
      <w:pgSz w:w="12240" w:h="15840"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5D802" w:sz="6" w:space="6"/>
        <w:left w:val="none" w:color="FFFFFF" w:sz="0" w:space="0"/>
        <w:bottom w:val="none" w:color="FFFFFF" w:sz="0" w:space="0"/>
        <w:right w:val="none" w:color="FFFFFF" w:sz="0" w:space="0"/>
      </w:pBdr>
      <w:tabs>
        <w:tab w:val="center" w:pos="4680"/>
        <w:tab w:val="right" w:pos="9310"/>
      </w:tabs>
      <w:spacing w:after="0" w:before="0"/>
      <w:jc w:val="center"/>
    </w:pPr>
    <w:r>
      <w:rPr>
        <w:rFonts w:ascii="Arial" w:cs="Arial" w:eastAsia="Arial" w:hAnsi="Arial"/>
        <w:color w:val="6B6B6B"/>
        <w:sz w:val="16"/>
        <w:szCs w:val="16"/>
      </w:rPr>
      <w:t xml:space="preserve">FLL UNEARTHED 2025 / 26</w:t>
    </w:r>
    <w:r>
      <w:rPr>
        <w:rFonts w:ascii="Arial" w:cs="Arial" w:eastAsia="Arial" w:hAnsi="Arial"/>
        <w:sz w:val="16"/>
        <w:szCs w:val="16"/>
      </w:rPr>
      <w:t xml:space="preserve">	</w:t>
    </w:r>
    <w:r>
      <w:rPr>
        <w:rFonts w:ascii="Arial" w:cs="Arial" w:eastAsia="Arial" w:hAnsi="Arial"/>
        <w:b/>
        <w:bCs/>
        <w:color w:val="1A1A1A"/>
        <w:sz w:val="16"/>
        <w:szCs w:val="16"/>
      </w:rPr>
      <w:fldChar w:fldCharType="begin"/>
      <w:instrText xml:space="preserve">PAGE</w:instrText>
      <w:fldChar w:fldCharType="separate"/>
      <w:fldChar w:fldCharType="end"/>
    </w:r>
    <w:r>
      <w:rPr>
        <w:rFonts w:ascii="Arial" w:cs="Arial" w:eastAsia="Arial" w:hAnsi="Arial"/>
        <w:sz w:val="16"/>
        <w:szCs w:val="16"/>
      </w:rPr>
      <w:t xml:space="preserve">	</w:t>
    </w:r>
    <w:r>
      <w:rPr>
        <w:rFonts w:ascii="Arial" w:cs="Arial" w:eastAsia="Arial" w:hAnsi="Arial"/>
        <w:color w:val="6B6B6B"/>
        <w:sz w:val="16"/>
        <w:szCs w:val="16"/>
      </w:rPr>
      <w:t xml:space="preserve">KOREA OPEN INVITATIONAL, SEOUL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top w:val="none" w:color="FFFFFF" w:sz="0" w:space="0"/>
        <w:left w:val="none" w:color="FFFFFF" w:sz="0" w:space="0"/>
        <w:bottom w:val="single" w:color="F5D802" w:sz="6" w:space="6"/>
        <w:right w:val="none" w:color="FFFFFF" w:sz="0" w:space="0"/>
      </w:pBdr>
      <w:tabs>
        <w:tab w:val="right" w:pos="9310"/>
      </w:tabs>
      <w:spacing w:after="0" w:before="0"/>
      <w:jc w:val="left"/>
    </w:pPr>
    <w:r>
      <w:rPr>
        <w:rFonts w:ascii="Arial" w:cs="Arial" w:eastAsia="Arial" w:hAnsi="Arial"/>
        <w:b/>
        <w:bCs/>
        <w:color w:val="1A1A1A"/>
        <w:sz w:val="18"/>
        <w:szCs w:val="18"/>
      </w:rPr>
      <w:t xml:space="preserve">SOFTSENSE</w:t>
    </w:r>
    <w:r>
      <w:rPr>
        <w:rFonts w:ascii="Arial" w:cs="Arial" w:eastAsia="Arial" w:hAnsi="Arial"/>
        <w:color w:val="6B6B6B"/>
        <w:sz w:val="18"/>
        <w:szCs w:val="18"/>
      </w:rPr>
      <w:t xml:space="preserve">  ·  INNOVATIONS DOCUMENTATION</w:t>
    </w:r>
    <w:r>
      <w:rPr>
        <w:rFonts w:ascii="Arial" w:cs="Arial" w:eastAsia="Arial" w:hAnsi="Arial"/>
        <w:sz w:val="18"/>
        <w:szCs w:val="18"/>
      </w:rPr>
      <w:t xml:space="preserve">	</w:t>
    </w:r>
    <w:r>
      <w:rPr>
        <w:rFonts w:ascii="Arial" w:cs="Arial" w:eastAsia="Arial" w:hAnsi="Arial"/>
        <w:color w:val="6B6B6B"/>
        <w:sz w:val="18"/>
        <w:szCs w:val="18"/>
      </w:rPr>
      <w:t xml:space="preserve">TEAM </w:t>
    </w:r>
    <w:r>
      <w:rPr>
        <w:rFonts w:ascii="Arial" w:cs="Arial" w:eastAsia="Arial" w:hAnsi="Arial"/>
        <w:b/>
        <w:bCs/>
        <w:color w:val="E63027"/>
        <w:sz w:val="18"/>
        <w:szCs w:val="18"/>
      </w:rPr>
      <w:t xml:space="preserve">LEBOB</w:t>
    </w:r>
    <w:r>
      <w:rPr>
        <w:rFonts w:ascii="Arial" w:cs="Arial" w:eastAsia="Arial" w:hAnsi="Arial"/>
        <w:b/>
        <w:bCs/>
        <w:color w:val="1A1A1A"/>
        <w:sz w:val="18"/>
        <w:szCs w:val="18"/>
      </w:rPr>
      <w:t xml:space="preserve"> #3236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A1A1A"/>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A1A1A"/>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E63027"/>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92ca9727adbf39140ac8d8b116bf6b083d416584.png"/><Relationship Id="rId12" Type="http://schemas.openxmlformats.org/officeDocument/2006/relationships/image" Target="media/1eaf73c5b5907c4d39b4ef46da9b596b06edea6c.png"/><Relationship Id="rId13" Type="http://schemas.openxmlformats.org/officeDocument/2006/relationships/image" Target="media/1074fbe2182bfed4a178b4b2fe161ef83f08bbf5.png"/><Relationship Id="rId14" Type="http://schemas.openxmlformats.org/officeDocument/2006/relationships/image" Target="media/87702defe5597fabc3475db5cc401295dbb17521.png"/><Relationship Id="rId15" Type="http://schemas.openxmlformats.org/officeDocument/2006/relationships/image" Target="media/99f61df04202a88d4baf2a502b0e0719f67d89dd.png"/><Relationship Id="rId16" Type="http://schemas.openxmlformats.org/officeDocument/2006/relationships/image" Target="media/db4386075d041c0690b6b64c3538d3246287ef73.png"/><Relationship Id="rId17" Type="http://schemas.openxmlformats.org/officeDocument/2006/relationships/image" Target="media/cd7e6495ac232ee36a9584e37d0dc812b7f2cee7.png"/><Relationship Id="rId18" Type="http://schemas.openxmlformats.org/officeDocument/2006/relationships/image" Target="media/c8720803b74a4c1d5069192539c8149f786afb64.png"/><Relationship Id="rId19" Type="http://schemas.openxmlformats.org/officeDocument/2006/relationships/image" Target="media/1f004fceb53a6f61f4fae43cd23916ce3816aa51.png"/><Relationship Id="rId20" Type="http://schemas.openxmlformats.org/officeDocument/2006/relationships/image" Target="media/eeee87123e8e282a13dbba5661fe0bc6c6e5e480.png"/><Relationship Id="rId21" Type="http://schemas.openxmlformats.org/officeDocument/2006/relationships/image" Target="media/84c4bf2d89c7919cd2444c9ad651abc2ace8cf7a.png"/><Relationship Id="rId22" Type="http://schemas.openxmlformats.org/officeDocument/2006/relationships/image" Target="media/fbd9a2ffaaabc50e72d230ac2de417bcc5d025a5.png"/><Relationship Id="rId23" Type="http://schemas.openxmlformats.org/officeDocument/2006/relationships/image" Target="media/8da8596f63a802879b9a14cace8fe893a5f9603b.png"/><Relationship Id="rId24" Type="http://schemas.openxmlformats.org/officeDocument/2006/relationships/image" Target="media/319dc64a45f6ad43c3aa71eca9c3b423bfb7bfac.png"/><Relationship Id="rId25" Type="http://schemas.openxmlformats.org/officeDocument/2006/relationships/image" Target="media/3b440de72361ac87e0bf959c46a758ad062bb54b.png"/><Relationship Id="rId26" Type="http://schemas.openxmlformats.org/officeDocument/2006/relationships/image" Target="media/41e696ae5cf35270b328274d1939774b2da4e010.png"/><Relationship Id="rId27" Type="http://schemas.openxmlformats.org/officeDocument/2006/relationships/image" Target="media/b0fdcc5a6be58e77b76946f28d15f72a4f715de8.png"/><Relationship Id="rId28" Type="http://schemas.openxmlformats.org/officeDocument/2006/relationships/image" Target="media/142301060048c907f371a75c271387438d552a42.png"/><Relationship Id="rId29" Type="http://schemas.openxmlformats.org/officeDocument/2006/relationships/image" Target="media/6677fed3612efc6b1fada56d5512650ff6fdb908.png"/><Relationship Id="rId30" Type="http://schemas.openxmlformats.org/officeDocument/2006/relationships/image" Target="media/b300601e719314ff20e920f3dec7f722cfacf96b.png"/><Relationship Id="rId31" Type="http://schemas.openxmlformats.org/officeDocument/2006/relationships/fontTable" Target="fontTable.xml"/><Relationship Id="rId32"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SoftSense — Innovations Documentation</dc:title>
  <dc:creator>Team Lebob #3236</dc:creator>
  <dc:description>FLL UNEARTHED 2025 / 26 Innovation Project — Team Lebob #3236, Australia</dc:description>
  <cp:lastModifiedBy>Un-named</cp:lastModifiedBy>
  <cp:revision>1</cp:revision>
  <dcterms:created xsi:type="dcterms:W3CDTF">2026-05-27T04:08:57.377Z</dcterms:created>
  <dcterms:modified xsi:type="dcterms:W3CDTF">2026-05-27T04:08:57.380Z</dcterms:modified>
</cp:coreProperties>
</file>

<file path=docProps/custom.xml><?xml version="1.0" encoding="utf-8"?>
<Properties xmlns="http://schemas.openxmlformats.org/officeDocument/2006/custom-properties" xmlns:vt="http://schemas.openxmlformats.org/officeDocument/2006/docPropsVTypes"/>
</file>