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TechCorp Industries</w:t>
      </w:r>
    </w:p>
    <w:p>
      <w:pPr>
        <w:spacing w:after="600"/>
        <w:jc w:val="center"/>
      </w:pPr>
      <w:r>
        <w:rPr>
          <w:color w:val="2E5496"/>
          <w:sz w:val="30"/>
          <w:szCs w:val="30"/>
        </w:rPr>
        <w:t xml:space="preserve">Challenge IA — Rapport Final de Projet</w:t>
      </w:r>
    </w:p>
    <w:p>
      <w:pPr>
        <w:spacing w:after="100"/>
        <w:jc w:val="center"/>
      </w:pPr>
      <w:r>
        <w:rPr>
          <w:color w:val="444444"/>
          <w:sz w:val="22"/>
          <w:szCs w:val="22"/>
        </w:rPr>
        <w:t xml:space="preserve">Durée du hackathon : 7 heures</w:t>
      </w:r>
    </w:p>
    <w:p>
      <w:pPr>
        <w:spacing w:after="100"/>
        <w:jc w:val="center"/>
      </w:pPr>
      <w:r>
        <w:rPr>
          <w:color w:val="444444"/>
          <w:sz w:val="22"/>
          <w:szCs w:val="22"/>
        </w:rPr>
        <w:t xml:space="preserve">Groupe : André / Medhi NOUGBODOHOUE</w:t>
      </w:r>
    </w:p>
    <w:p>
      <w:pPr>
        <w:spacing w:after="100"/>
        <w:jc w:val="center"/>
      </w:pPr>
      <w:r>
        <w:rPr>
          <w:color w:val="444444"/>
          <w:sz w:val="22"/>
          <w:szCs w:val="22"/>
        </w:rPr>
        <w:t xml:space="preserve">Filières couvertes : INFRA · DEV WEB · IA · DATA · CYBER</w:t>
      </w:r>
    </w:p>
    <w:p>
      <w:pPr>
        <w:spacing w:after="100"/>
        <w:jc w:val="center"/>
      </w:pPr>
      <w:r>
        <w:rPr>
          <w:color w:val="444444"/>
          <w:sz w:val="22"/>
          <w:szCs w:val="22"/>
        </w:rPr>
        <w:t xml:space="preserve">Date : 2 juillet 2026</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160"/>
      </w:pPr>
      <w:r>
        <w:rPr>
          <w:b w:val="false"/>
          <w:bCs w:val="false"/>
          <w:i/>
          <w:iCs/>
          <w:color w:val="888888"/>
        </w:rPr>
        <w:t xml:space="preserve">(Clic droit sur la table ci-dessus puis "Mettre à jour les champs" pour afficher les numéros de page réels.)</w:t>
      </w:r>
    </w:p>
    <w:p>
      <w:r>
        <w:br w:type="page"/>
      </w:r>
    </w:p>
    <w:p>
      <w:pPr>
        <w:pStyle w:val="Heading1"/>
      </w:pPr>
      <w:r>
        <w:t xml:space="preserve">1. Introduction</w:t>
      </w:r>
    </w:p>
    <w:p>
      <w:pPr>
        <w:spacing w:after="160"/>
      </w:pPr>
      <w:r>
        <w:rPr>
          <w:b w:val="false"/>
          <w:bCs w:val="false"/>
          <w:i w:val="false"/>
          <w:iCs w:val="false"/>
        </w:rPr>
        <w:t xml:space="preserve">TechCorp Industries est une entreprise fictive du secteur financier ayant récemment licencié l'intégralité de son équipe technique interne, à la suite de soupçons sérieux de compromission du code source et des données de l'entreprise. Notre équipe a été mandatée pour reprendre l'intégralité du projet laissé par cette équipe précédente : un assistant conversationnel basé sur le modèle Phi-3.5-Financial, destiné aux analystes financiers internes, ainsi qu'un chantier de recherche et développement autour du fine-tuning d'un modèle médical expérimental.</w:t>
      </w:r>
    </w:p>
    <w:p>
      <w:pPr>
        <w:spacing w:after="160"/>
      </w:pPr>
      <w:r>
        <w:rPr>
          <w:b w:val="false"/>
          <w:bCs w:val="false"/>
          <w:i w:val="false"/>
          <w:iCs w:val="false"/>
        </w:rPr>
        <w:t xml:space="preserve">Ce projet s'inscrit dans le cadre d'un hackathon de sept heures, format volontairement contraint pour simuler les conditions réelles d'un audit et d'une reprise de projet en urgence. L'équipe s'est organisée en cinq filières complémentaires, chacune responsable d'un pan spécifique du projet : INFRA (déploiement du serveur d'inférence), DEV WEB (interface utilisateur), IA (validation et fine-tuning des modèles), DATA (qualité des données) et CYBER (audit de sécurité).</w:t>
      </w:r>
    </w:p>
    <w:p>
      <w:pPr>
        <w:spacing w:after="160"/>
      </w:pPr>
      <w:r>
        <w:rPr>
          <w:b w:val="false"/>
          <w:bCs w:val="false"/>
          <w:i w:val="false"/>
          <w:iCs w:val="false"/>
        </w:rPr>
        <w:t xml:space="preserve">La mission comportait deux volets distincts. Le premier, à visée de production, consistait à rendre le modèle Phi-3.5-Financial accessible via une interface de chat professionnelle, quel que soit le serveur d'inférence choisi (Ollama, Triton Inference Server ou solution maison) — ce volet interface étant présenté comme non négociable dans le cahier des charges. Le second, à visée purement expérimentale, consistait à fine-tuner par la méthode LoRA un modèle médical à partir d'un dataset de conversations médicales, sans obligation de déploiement en production.</w:t>
      </w:r>
    </w:p>
    <w:p>
      <w:pPr>
        <w:spacing w:after="160"/>
      </w:pPr>
      <w:r>
        <w:rPr>
          <w:b w:val="false"/>
          <w:bCs w:val="false"/>
          <w:i w:val="false"/>
          <w:iCs w:val="false"/>
        </w:rPr>
        <w:t xml:space="preserve">Une attention particulière a été demandée dès le départ : les fichiers hérités de l'équipe précédente (code, logs, notes personnelles, datasets) pouvaient contenir des informations utiles, voire critiques, qu'il convenait d'explorer avec rigueur. Cette recommandation s'est révélée déterminante pour la suite du projet, comme le détaille la section consacrée à l'audit de sécurité.</w:t>
      </w:r>
    </w:p>
    <w:p>
      <w:pPr>
        <w:spacing w:after="160"/>
      </w:pPr>
      <w:r>
        <w:rPr>
          <w:b w:val="false"/>
          <w:bCs w:val="false"/>
          <w:i w:val="false"/>
          <w:iCs w:val="false"/>
        </w:rPr>
        <w:t xml:space="preserve">Ce rapport présente, filière par filière, la démarche suivie, les choix techniques effectués et leur justification, les résultats obtenus et les preuves associées (captures d'écran, extraits de code, métriques), ainsi que les recommandations formulées pour la suite du projet. Un glossaire technique est fourni en fin de document pour les lecteurs moins familiers des notions d'intelligence artificielle générative abordées.</w:t>
      </w:r>
    </w:p>
    <w:p>
      <w:pPr>
        <w:pStyle w:val="Heading1"/>
      </w:pPr>
      <w:r>
        <w:t xml:space="preserve">2. Résumé exécutif</w:t>
      </w:r>
    </w:p>
    <w:p>
      <w:pPr>
        <w:spacing w:after="160"/>
      </w:pPr>
      <w:r>
        <w:rPr>
          <w:b w:val="false"/>
          <w:bCs w:val="false"/>
          <w:i w:val="false"/>
          <w:iCs w:val="false"/>
        </w:rPr>
        <w:t xml:space="preserve">Le déploiement technique a été mené à bien sur l'ensemble des cinq filières dans le temps imparti. Le modèle Phi-3.5-Financial a été déployé avec succès via Ollama et rendu accessible via une interface de chat professionnelle développée avec Streamlit, dotée d'une identité visuelle propre à TechCorp Industries.</w:t>
      </w:r>
    </w:p>
    <w:p>
      <w:pPr>
        <w:spacing w:after="160"/>
      </w:pPr>
      <w:r>
        <w:rPr>
          <w:b w:val="false"/>
          <w:bCs w:val="false"/>
          <w:i w:val="false"/>
          <w:iCs w:val="false"/>
        </w:rPr>
        <w:t xml:space="preserve">Le point le plus significatif du projet concerne toutefois l'audit de sécurité mené par la filière CYBER, en étroite collaboration avec la filière DATA. L'analyse des journaux archivés de l'équipe précédente a mis au jour un plan documenté d'espionnage industriel : une backdoor destinée à exfiltrer les données financières confidentielles de TechCorp via son propre outil, déclenchée par une phrase codée et dissimulée sous un faux nom de fonctionnalité de conformité réglementaire. L'analyse du dataset d'entraînement financier a confirmé que cette même phrase de déclenchement avait été délibérément intégrée aux données, dans l'intention explicite de faire réapprendre la backdoor lors d'un futur réentraînement du modèle.</w:t>
      </w:r>
    </w:p>
    <w:p>
      <w:pPr>
        <w:spacing w:after="160"/>
      </w:pPr>
      <w:r>
        <w:rPr>
          <w:b w:val="false"/>
          <w:bCs w:val="false"/>
          <w:i w:val="false"/>
          <w:iCs w:val="false"/>
        </w:rPr>
        <w:t xml:space="preserve">Les tests de robustesse menés sur le modèle actuellement déployé n'ont révélé aucun comportement de backdoor actif : le modèle refuse systématiquement de divulguer des informations sensibles, y compris lorsqu'il est soumis au déclencheur connu. Cette absence de déclenchement observé ne constitue cependant pas une preuve d'innocuité totale, et des recommandations précises sont formulées avant tout déploiement en environnement réel avec accès à des données sensibles.</w:t>
      </w:r>
    </w:p>
    <w:p>
      <w:pPr>
        <w:spacing w:after="160"/>
      </w:pPr>
      <w:r>
        <w:rPr>
          <w:b w:val="false"/>
          <w:bCs w:val="false"/>
          <w:i w:val="false"/>
          <w:iCs w:val="false"/>
        </w:rPr>
        <w:t xml:space="preserve">Sur le volet expérimental, le fine-tuning LoRA du modèle médical a été mené à son terme, avec des tests conversationnels réalisés en anglais et en français. Ces tests ont révélé un comportement globalement satisfaisant, tempéré par deux limites notables : une recommandation de médication formulée sans invitation à consulter un professionnel de santé, et une fiabilité factuelle réduite en français par rapport à l'anglais (langue du dataset d'entraînement).</w:t>
      </w:r>
    </w:p>
    <w:p>
      <w:pPr>
        <w:pStyle w:val="Heading1"/>
      </w:pPr>
      <w:r>
        <w:t xml:space="preserve">3. Méthodologie générale de travail</w:t>
      </w:r>
    </w:p>
    <w:p>
      <w:pPr>
        <w:spacing w:after="160"/>
      </w:pPr>
      <w:r>
        <w:rPr>
          <w:b w:val="false"/>
          <w:bCs w:val="false"/>
          <w:i w:val="false"/>
          <w:iCs w:val="false"/>
        </w:rPr>
        <w:t xml:space="preserve">L'équipe a adopté un fonctionnement structuré autour de Git, avec une branche dédiée par filière (groupe-infra-1, groupe-devweb-1, groupe-ia-1, groupe-data-1, groupe-cyber-1), permettant à chaque filière de livrer son travail de manière isolée et traçable. Ces branches ont ensuite été fusionnées dans la branche principale afin de disposer d'une vue consolidée de l'ensemble du projet, tout en conservant l'historique détaillé de la contribution de chaque filière.</w:t>
      </w:r>
    </w:p>
    <w:p>
      <w:pPr>
        <w:spacing w:after="160"/>
      </w:pPr>
      <w:r>
        <w:rPr>
          <w:b w:val="false"/>
          <w:bCs w:val="false"/>
          <w:i w:val="false"/>
          <w:iCs w:val="false"/>
        </w:rPr>
        <w:t xml:space="preserve">Les outils suivants ont été mobilisés : Ollama pour le service d'inférence local, Streamlit pour l'interface web, la bibliothèque Hugging Face Transformers ainsi que PEFT et bitsandbytes pour le fine-tuning LoRA en quantization 4-bit, Google Colab avec GPU Tesla T4 pour l'entraînement du modèle médical, et Python pour l'ensemble des scripts d'analyse, de nettoyage et de test.</w:t>
      </w:r>
    </w:p>
    <w:p>
      <w:pPr>
        <w:spacing w:after="160"/>
      </w:pPr>
      <w:r>
        <w:rPr>
          <w:b w:val="false"/>
          <w:bCs w:val="false"/>
          <w:i w:val="false"/>
          <w:iCs w:val="false"/>
        </w:rPr>
        <w:t xml:space="preserve">Chaque livrable technique (script, modèle, interface) a fait l'objet d'une vérification fonctionnelle avant validation : exécution effective des scripts, tests de bout en bout de l'interface avec le serveur d'inférence, et rejouabilité des tests de robustesse et d'évaluation. Cette exigence de vérification a permis de détecter et corriger plusieurs incidents techniques rencontrés en cours de projet, notamment des incompatibilités de versions de bibliothèques lors du fine-tuning sur Google Colab.</w:t>
      </w:r>
    </w:p>
    <w:p>
      <w:pPr>
        <w:pStyle w:val="Heading1"/>
      </w:pPr>
      <w:r>
        <w:t xml:space="preserve">4. Filière INFRA — Déploiement du serveur d'inférence</w:t>
      </w:r>
    </w:p>
    <w:p>
      <w:pPr>
        <w:spacing w:after="160"/>
      </w:pPr>
      <w:r>
        <w:rPr>
          <w:b w:val="false"/>
          <w:bCs w:val="false"/>
          <w:i w:val="false"/>
          <w:iCs w:val="false"/>
        </w:rPr>
        <w:t xml:space="preserve">La mission de la filière INFRA consistait à choisir et déployer un serveur d'inférence pour le modèle Phi-3.5-Financial, à le rendre accessible à la filière DEV WEB, et à optimiser ses paramètres d'inférence. Trois options étaient proposées par le cahier des charges : Ollama, Triton Inference Server, ou une solution maison basée sur FastAPI, Flask ou vLLM.</w:t>
      </w:r>
    </w:p>
    <w:p>
      <w:pPr>
        <w:spacing w:after="160"/>
      </w:pPr>
      <w:r>
        <w:rPr>
          <w:b w:val="false"/>
          <w:bCs w:val="false"/>
          <w:i w:val="false"/>
          <w:iCs w:val="false"/>
        </w:rPr>
        <w:t xml:space="preserve">Le choix s'est porté sur Ollama, pour trois raisons principales. Premièrement, sa simplicité de mise en œuvre permet un déploiement rapide et fiable dans le temps contraint du hackathon. Deuxièmement, Ollama gère nativement la quantization des modèles, ce qui optimise l'empreinte mémoire et la vitesse d'inférence sans étape de configuration supplémentaire. Troisièmement, il expose une API HTTP standard et documentée, facilement consommable par n'importe quel client, ce qui simplifie l'intégration avec la filière DEV WEB.</w:t>
      </w:r>
    </w:p>
    <w:p>
      <w:pPr>
        <w:spacing w:after="160"/>
      </w:pPr>
      <w:r>
        <w:rPr>
          <w:b w:val="false"/>
          <w:bCs w:val="false"/>
          <w:i w:val="false"/>
          <w:iCs w:val="false"/>
        </w:rPr>
        <w:t xml:space="preserve">Le modèle a été configuré via un fichier Modelfile définissant un system prompt spécialisé pour l'assistance financière, ainsi que des paramètres d'inférence ajustés : une température de 0,3 pour privilégier des réponses factuelles et cohérentes plutôt que créatives, un top_p de 0,9 pour conserver une diversité lexicale raisonnable, et une limite de 512 tokens en sortie, cohérente avec la configuration Triton fournie dans le dépôt hérité.</w:t>
      </w:r>
    </w:p>
    <w:p>
      <w:pPr>
        <w:spacing w:after="80" w:before="80"/>
        <w:jc w:val="center"/>
      </w:pPr>
      <w:r>
        <w:drawing>
          <wp:inline distT="0" distB="0" distL="0" distR="0">
            <wp:extent cx="5238750" cy="533400"/>
            <wp:effectExtent t="0" r="0" b="0" l="0"/>
            <wp:docPr id="1" name="Confirmation du serveur Ollama actif" descr="Confirmation du serveur Ollama actif" title="Confirmation du serveur Ollama a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533400"/>
                    </a:xfrm>
                    <a:prstGeom prst="rect">
                      <a:avLst/>
                    </a:prstGeom>
                  </pic:spPr>
                </pic:pic>
              </a:graphicData>
            </a:graphic>
          </wp:inline>
        </w:drawing>
      </w:r>
    </w:p>
    <w:p>
      <w:pPr>
        <w:spacing w:after="200"/>
        <w:jc w:val="center"/>
      </w:pPr>
      <w:r>
        <w:rPr>
          <w:i/>
          <w:iCs/>
          <w:color w:val="666666"/>
          <w:sz w:val="18"/>
          <w:szCs w:val="18"/>
        </w:rPr>
        <w:t xml:space="preserve">Figure 1 — Le serveur Ollama confirme qu'il est actif sur localhost:11434.</w:t>
      </w:r>
    </w:p>
    <w:p>
      <w:pPr>
        <w:spacing w:after="80" w:before="80"/>
        <w:jc w:val="center"/>
      </w:pPr>
      <w:r>
        <w:drawing>
          <wp:inline distT="0" distB="0" distL="0" distR="0">
            <wp:extent cx="5238750" cy="2705100"/>
            <wp:effectExtent t="0" r="0" b="0" l="0"/>
            <wp:docPr id="1" name="Test API du modele financier" descr="Test API du modele financier" title="Test API du modele financ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705100"/>
                    </a:xfrm>
                    <a:prstGeom prst="rect">
                      <a:avLst/>
                    </a:prstGeom>
                  </pic:spPr>
                </pic:pic>
              </a:graphicData>
            </a:graphic>
          </wp:inline>
        </w:drawing>
      </w:r>
    </w:p>
    <w:p>
      <w:pPr>
        <w:spacing w:after="200"/>
        <w:jc w:val="center"/>
      </w:pPr>
      <w:r>
        <w:rPr>
          <w:i/>
          <w:iCs/>
          <w:color w:val="666666"/>
          <w:sz w:val="18"/>
          <w:szCs w:val="18"/>
        </w:rPr>
        <w:t xml:space="preserve">Figure 2 — Test de l'API /api/generate : le modèle techcorp-financial répond correctement à une question financière via PowerShell.</w:t>
      </w:r>
    </w:p>
    <w:p>
      <w:pPr>
        <w:spacing w:after="160"/>
      </w:pPr>
      <w:r>
        <w:rPr>
          <w:b w:val="false"/>
          <w:bCs w:val="false"/>
          <w:i w:val="false"/>
          <w:iCs w:val="false"/>
        </w:rPr>
        <w:t xml:space="preserve">Le serveur a été validé par un test direct de l'API, confirmant la bonne réception et le bon traitement des requêtes. La documentation de déploiement complète, incluant la justification technique et l'ensemble des commandes utilisées, est disponible dans le livrable rendu/infra/deployment.docx.</w:t>
      </w:r>
    </w:p>
    <w:p>
      <w:pPr>
        <w:pStyle w:val="Heading1"/>
      </w:pPr>
      <w:r>
        <w:t xml:space="preserve">5. Filière DEV WEB — Interface de chat professionnelle</w:t>
      </w:r>
    </w:p>
    <w:p>
      <w:pPr>
        <w:spacing w:after="160"/>
      </w:pPr>
      <w:r>
        <w:rPr>
          <w:b w:val="false"/>
          <w:bCs w:val="false"/>
          <w:i w:val="false"/>
          <w:iCs w:val="false"/>
        </w:rPr>
        <w:t xml:space="preserve">Le cahier des charges était explicite sur ce point : quelle que soit la solution technique retenue par la filière INFRA, l'existence d'une interface de chat professionnelle n'était pas négociable. La filière DEV WEB a développé cette interface avec le framework Streamlit, choisi pour sa rapidité de mise en œuvre et son bon niveau de personnalisation visuelle malgré sa simplicité d'usage.</w:t>
      </w:r>
    </w:p>
    <w:p>
      <w:pPr>
        <w:spacing w:after="160"/>
      </w:pPr>
      <w:r>
        <w:rPr>
          <w:b w:val="false"/>
          <w:bCs w:val="false"/>
          <w:i w:val="false"/>
          <w:iCs w:val="false"/>
        </w:rPr>
        <w:t xml:space="preserve">L'interface communique en temps réel avec l'API Ollama exposée par la filière INFRA. Au-delà des exigences fonctionnelles minimales — affichage de l'historique de conversation et indicateur d'état de connexion au serveur — une identité visuelle complète a été conçue et intégrée : un logotype dédié à TechCorp Industries, une icône de robot conversationnel animée en SVG, une typographie Montserrat appliquée à l'ensemble de l'interface, et un thème sombre aux tons bleu marine cohérent avec l'identité de marque.</w:t>
      </w:r>
    </w:p>
    <w:p>
      <w:pPr>
        <w:spacing w:after="80" w:before="80"/>
        <w:jc w:val="center"/>
      </w:pPr>
      <w:r>
        <w:drawing>
          <wp:inline distT="0" distB="0" distL="0" distR="0">
            <wp:extent cx="5238750" cy="2419350"/>
            <wp:effectExtent t="0" r="0" b="0" l="0"/>
            <wp:docPr id="1" name="Interface de chat TechCorp au repos" descr="Interface de chat TechCorp au repos" title="Interface de chat TechCorp au re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419350"/>
                    </a:xfrm>
                    <a:prstGeom prst="rect">
                      <a:avLst/>
                    </a:prstGeom>
                  </pic:spPr>
                </pic:pic>
              </a:graphicData>
            </a:graphic>
          </wp:inline>
        </w:drawing>
      </w:r>
    </w:p>
    <w:p>
      <w:pPr>
        <w:spacing w:after="200"/>
        <w:jc w:val="center"/>
      </w:pPr>
      <w:r>
        <w:rPr>
          <w:i/>
          <w:iCs/>
          <w:color w:val="666666"/>
          <w:sz w:val="18"/>
          <w:szCs w:val="18"/>
        </w:rPr>
        <w:t xml:space="preserve">Figure 3 — Interface au chargement : logotype, icône animée et indicateur de connexion au serveur d'inférence.</w:t>
      </w:r>
    </w:p>
    <w:p>
      <w:pPr>
        <w:spacing w:after="80" w:before="80"/>
        <w:jc w:val="center"/>
      </w:pPr>
      <w:r>
        <w:drawing>
          <wp:inline distT="0" distB="0" distL="0" distR="0">
            <wp:extent cx="5238750" cy="2447925"/>
            <wp:effectExtent t="0" r="0" b="0" l="0"/>
            <wp:docPr id="1" name="Test de conversation dans l'interface" descr="Test de conversation dans l'interface" title="Test de conversation dans l'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447925"/>
                    </a:xfrm>
                    <a:prstGeom prst="rect">
                      <a:avLst/>
                    </a:prstGeom>
                  </pic:spPr>
                </pic:pic>
              </a:graphicData>
            </a:graphic>
          </wp:inline>
        </w:drawing>
      </w:r>
    </w:p>
    <w:p>
      <w:pPr>
        <w:spacing w:after="200"/>
        <w:jc w:val="center"/>
      </w:pPr>
      <w:r>
        <w:rPr>
          <w:i/>
          <w:iCs/>
          <w:color w:val="666666"/>
          <w:sz w:val="18"/>
          <w:szCs w:val="18"/>
        </w:rPr>
        <w:t xml:space="preserve">Figure 4 — Échange de test dans l'interface : la question est envoyée à l'API Ollama et la réponse s'affiche avec l'historique conservé.</w:t>
      </w:r>
    </w:p>
    <w:p>
      <w:pPr>
        <w:spacing w:after="160"/>
      </w:pPr>
      <w:r>
        <w:rPr>
          <w:b w:val="false"/>
          <w:bCs w:val="false"/>
          <w:i w:val="false"/>
          <w:iCs w:val="false"/>
        </w:rPr>
        <w:t xml:space="preserve">L'interface se lance en une seule commande (streamlit run app.py) depuis le dossier rendu/devweb, conformément à l'exigence de simplicité d'exécution du cahier des charges. Le code source complet, incluant les ressources graphiques, est disponible dans ce même dossier.</w:t>
      </w:r>
    </w:p>
    <w:p>
      <w:pPr>
        <w:pStyle w:val="Heading1"/>
      </w:pPr>
      <w:r>
        <w:t xml:space="preserve">6. Filière IA — Validation et fine-tuning des modèles</w:t>
      </w:r>
    </w:p>
    <w:p>
      <w:pPr>
        <w:pStyle w:val="Heading2"/>
      </w:pPr>
      <w:r>
        <w:t xml:space="preserve">6.1 Validation du modèle financier Phi-3.5-Financial</w:t>
      </w:r>
    </w:p>
    <w:p>
      <w:pPr>
        <w:spacing w:after="160"/>
      </w:pPr>
      <w:r>
        <w:rPr>
          <w:b w:val="false"/>
          <w:bCs w:val="false"/>
          <w:i w:val="false"/>
          <w:iCs w:val="false"/>
        </w:rPr>
        <w:t xml:space="preserve">La filière IA a conduit une campagne de test structurée sur le modèle financier déployé en production, en soumettant dix questions représentatives des besoins d'un analyste financier : définitions de concepts (diversification, obligations, ETF, taux composé), calculs financiers, et demandes de conseils pratiques. Chaque réponse a été analysée selon deux axes : la justesse du contenu et la qualité de la génération.</w:t>
      </w:r>
    </w:p>
    <w:p>
      <w:pPr>
        <w:spacing w:after="160"/>
      </w:pPr>
      <w:r>
        <w:rPr>
          <w:b w:val="false"/>
          <w:bCs w:val="false"/>
          <w:i w:val="false"/>
          <w:iCs w:val="false"/>
        </w:rPr>
        <w:t xml:space="preserve">Sur le plan du contenu, les réponses obtenues sont globalement correctes et bien structurées, démontrant que le modèle de base conserve de bonnes capacités de raisonnement financier après son fine-tuning. Deux anomalies ont cependant été relevées de manière systématique. D'une part, les dix réponses sur dix ont été tronquées par la limite de 512 tokens configurée par la filière INFRA, ce qui traduit un réglage à ajuster plutôt qu'un défaut du modèle lui-même. D'autre part, plusieurs réponses contiennent des insertions de texte incongrues et sans rapport avec le contexte financier (par exemple le terme « extraterrestres » dans une réponse sur les ETF), un symptôme cohérent avec la contamination du dataset d'entraînement mise au jour par les filières DATA et CYBER.</w:t>
      </w:r>
    </w:p>
    <w:p>
      <w:pPr>
        <w:spacing w:after="160"/>
      </w:pPr>
      <w:r>
        <w:rPr>
          <w:b w:val="false"/>
          <w:bCs w:val="false"/>
          <w:i w:val="false"/>
          <w:iCs w:val="false"/>
        </w:rPr>
        <w:t xml:space="preserve">La conclusion de cette évaluation est sans ambiguïté : le modèle financier, dans son état actuel, n'est pas déployable en production sans un nouveau cycle de fine-tuning réalisé sur un dataset assaini. Le détail complet de cette évaluation, incluant l'intégralité des dix échanges, figure dans le livrable rendu/ia/evaluation.docx.</w:t>
      </w:r>
    </w:p>
    <w:p>
      <w:pPr>
        <w:pStyle w:val="Heading2"/>
      </w:pPr>
      <w:r>
        <w:t xml:space="preserve">6.2 Fine-tuning LoRA du modèle médical expérimental</w:t>
      </w:r>
    </w:p>
    <w:p>
      <w:pPr>
        <w:spacing w:after="160"/>
      </w:pPr>
      <w:r>
        <w:rPr>
          <w:b w:val="false"/>
          <w:bCs w:val="false"/>
          <w:i w:val="false"/>
          <w:iCs w:val="false"/>
        </w:rPr>
        <w:t xml:space="preserve">Conformément à la mission de recherche et développement du cahier des charges, un fine-tuning par la méthode LoRA (Low-Rank Adaptation) a été réalisé sur le modèle de base microsoft/Phi-3.5-mini-instruct, quantifié en 4 bits (format NF4) pour permettre l'entraînement sur une carte graphique Tesla T4 de Google Colab. Le dataset utilisé, ruslanmv/ai-medical-chatbot disponible sur Hugging Face, a été échantillonné à 500 conversations afin de respecter la contrainte de temps du hackathon.</w:t>
      </w:r>
    </w:p>
    <w:p>
      <w:pPr>
        <w:spacing w:after="160"/>
      </w:pPr>
      <w:r>
        <w:rPr>
          <w:b w:val="false"/>
          <w:bCs w:val="false"/>
          <w:i w:val="false"/>
          <w:iCs w:val="false"/>
        </w:rPr>
        <w:t xml:space="preserve">La configuration LoRA retenue applique un rang de 16 avec un facteur alpha de 32 sur les modules de projection qkv, o, gate_up et down du modèle, ce qui ne représente que 0,65 % des paramètres totaux du modèle rendus entraînables — c'est précisément l'intérêt de cette méthode, qui permet un fine-tuning efficace sans réentraîner l'intégralité d'un modèle de plusieurs milliards de paramètres. L'entraînement s'est déroulé sur trois époques, soit 186 étapes, en environ 34 minutes.</w:t>
      </w:r>
    </w:p>
    <w:p>
      <w:pPr>
        <w:spacing w:after="80" w:before="80"/>
        <w:jc w:val="center"/>
      </w:pPr>
      <w:r>
        <w:drawing>
          <wp:inline distT="0" distB="0" distL="0" distR="0">
            <wp:extent cx="5238750" cy="2562225"/>
            <wp:effectExtent t="0" r="0" b="0" l="0"/>
            <wp:docPr id="1" name="Dashboard du fine-tuning medical" descr="Dashboard du fine-tuning medical" title="Dashboard du fine-tuning med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562225"/>
                    </a:xfrm>
                    <a:prstGeom prst="rect">
                      <a:avLst/>
                    </a:prstGeom>
                  </pic:spPr>
                </pic:pic>
              </a:graphicData>
            </a:graphic>
          </wp:inline>
        </w:drawing>
      </w:r>
    </w:p>
    <w:p>
      <w:pPr>
        <w:spacing w:after="200"/>
        <w:jc w:val="center"/>
      </w:pPr>
      <w:r>
        <w:rPr>
          <w:i/>
          <w:iCs/>
          <w:color w:val="666666"/>
          <w:sz w:val="18"/>
          <w:szCs w:val="18"/>
        </w:rPr>
        <w:t xml:space="preserve">Figure 5 — Dashboard récapitulatif : métriques clés du fine-tuning et courbe de la loss d'entraînement, passant de 4,02 à 1,10.</w:t>
      </w:r>
    </w:p>
    <w:p>
      <w:pPr>
        <w:spacing w:after="160"/>
      </w:pPr>
      <w:r>
        <w:rPr>
          <w:b w:val="false"/>
          <w:bCs w:val="false"/>
          <w:i w:val="false"/>
          <w:iCs w:val="false"/>
        </w:rPr>
        <w:t xml:space="preserve">La courbe de perte (loss) illustre une convergence rapide et stable : partant d'une valeur de 4,02 au dixième pas d'entraînement, elle chute fortement avant de se stabiliser autour de 1,1 à 1,3 après une trentaine de pas, un profil de convergence sain pour ce type de fine-tuning léger.</w:t>
      </w:r>
    </w:p>
    <w:p>
      <w:pPr>
        <w:spacing w:after="80" w:before="80"/>
        <w:jc w:val="center"/>
      </w:pPr>
      <w:r>
        <w:drawing>
          <wp:inline distT="0" distB="0" distL="0" distR="0">
            <wp:extent cx="5238750" cy="2552700"/>
            <wp:effectExtent t="0" r="0" b="0" l="0"/>
            <wp:docPr id="1" name="Configuration et tests en anglais" descr="Configuration et tests en anglais" title="Configuration et tests en ang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552700"/>
                    </a:xfrm>
                    <a:prstGeom prst="rect">
                      <a:avLst/>
                    </a:prstGeom>
                  </pic:spPr>
                </pic:pic>
              </a:graphicData>
            </a:graphic>
          </wp:inline>
        </w:drawing>
      </w:r>
    </w:p>
    <w:p>
      <w:pPr>
        <w:spacing w:after="200"/>
        <w:jc w:val="center"/>
      </w:pPr>
      <w:r>
        <w:rPr>
          <w:i/>
          <w:iCs/>
          <w:color w:val="666666"/>
          <w:sz w:val="18"/>
          <w:szCs w:val="18"/>
        </w:rPr>
        <w:t xml:space="preserve">Figure 6 — Détail de la configuration technique et résultats des trois tests conversationnels menés en anglais.</w:t>
      </w:r>
    </w:p>
    <w:p>
      <w:pPr>
        <w:spacing w:after="160"/>
      </w:pPr>
      <w:r>
        <w:rPr>
          <w:b w:val="false"/>
          <w:bCs w:val="false"/>
          <w:i w:val="false"/>
          <w:iCs w:val="false"/>
        </w:rPr>
        <w:t xml:space="preserve">Les tests en anglais montrent un modèle capable de reproduire fidèlement le ton et la structure du dataset médical d'entraînement, avec un vocabulaire technique globalement approprié. Le troisième test a néanmoins révélé un point d'attention important du point de vue de l'éthique et de la sécurité : interrogé sur des maux de tête persistants, le modèle recommande directement la prise d'un relaxant musculaire, sans inviter à la consultation d'un professionnel de santé — un comportement à corriger impérativement avant tout usage réel, même expérimental.</w:t>
      </w:r>
    </w:p>
    <w:p>
      <w:pPr>
        <w:spacing w:after="160"/>
      </w:pPr>
      <w:r>
        <w:rPr>
          <w:b w:val="false"/>
          <w:bCs w:val="false"/>
          <w:i w:val="false"/>
          <w:iCs w:val="false"/>
        </w:rPr>
        <w:t xml:space="preserve">Une expérimentation complémentaire a été menée en français, afin de vérifier le comportement multilingue du modèle dans la perspective d'un usage par des analystes ou du personnel francophone de TechCorp Industries. Il est important de souligner que le modèle n'a reçu aucun exemple français durant le fine-tuning : toute capacité à répondre en français provient uniquement du pré-entraînement multilingue du modèle de base Phi-3.5.</w:t>
      </w:r>
    </w:p>
    <w:p>
      <w:pPr>
        <w:spacing w:after="80" w:before="80"/>
        <w:jc w:val="center"/>
      </w:pPr>
      <w:r>
        <w:drawing>
          <wp:inline distT="0" distB="0" distL="0" distR="0">
            <wp:extent cx="5238750" cy="2571750"/>
            <wp:effectExtent t="0" r="0" b="0" l="0"/>
            <wp:docPr id="1" name="Tests en francais et conclusion" descr="Tests en francais et conclusion" title="Tests en francais et co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i/>
          <w:iCs/>
          <w:color w:val="666666"/>
          <w:sz w:val="18"/>
          <w:szCs w:val="18"/>
        </w:rPr>
        <w:t xml:space="preserve">Figure 7 — Résultats des tests en français et conclusion de l'expérimentation.</w:t>
      </w:r>
    </w:p>
    <w:p>
      <w:pPr>
        <w:spacing w:after="80" w:before="80"/>
        <w:jc w:val="center"/>
      </w:pPr>
      <w:r>
        <w:drawing>
          <wp:inline distT="0" distB="0" distL="0" distR="0">
            <wp:extent cx="5238750" cy="2162175"/>
            <wp:effectExtent t="0" r="0" b="0" l="0"/>
            <wp:docPr id="1" name="Execution des tests dans Colab" descr="Execution des tests dans Colab" title="Execution des tests dans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162175"/>
                    </a:xfrm>
                    <a:prstGeom prst="rect">
                      <a:avLst/>
                    </a:prstGeom>
                  </pic:spPr>
                </pic:pic>
              </a:graphicData>
            </a:graphic>
          </wp:inline>
        </w:drawing>
      </w:r>
    </w:p>
    <w:p>
      <w:pPr>
        <w:spacing w:after="200"/>
        <w:jc w:val="center"/>
      </w:pPr>
      <w:r>
        <w:rPr>
          <w:i/>
          <w:iCs/>
          <w:color w:val="666666"/>
          <w:sz w:val="18"/>
          <w:szCs w:val="18"/>
        </w:rPr>
        <w:t xml:space="preserve">Figure 8 — Exécution effective des tests anglais et français dans l'environnement Google Colab.</w:t>
      </w:r>
    </w:p>
    <w:p>
      <w:pPr>
        <w:spacing w:after="160"/>
      </w:pPr>
      <w:r>
        <w:rPr>
          <w:b w:val="false"/>
          <w:bCs w:val="false"/>
          <w:i w:val="false"/>
          <w:iCs w:val="false"/>
        </w:rPr>
        <w:t xml:space="preserve">Les résultats montrent que le modèle répond de manière globalement cohérente et bien structurée en français, ce qui constitue une bonne surprise compte tenu de l'absence totale d'exemples français dans le fine-tuning. Une erreur de terminologie a néanmoins été identifiée : le modèle confond le rhume commun avec le rhume des foins (une allergie respiratoire), deux pathologies pourtant distinctes, une confusion qui n'apparaît pas dans la réponse équivalente en anglais. Cette observation confirme que la fiabilité factuelle du modèle est, sans surprise, moins robuste dans une langue absente de son fine-tuning.</w:t>
      </w:r>
    </w:p>
    <w:p>
      <w:pPr>
        <w:spacing w:after="160"/>
      </w:pPr>
      <w:r>
        <w:rPr>
          <w:b w:val="false"/>
          <w:bCs w:val="false"/>
          <w:i w:val="false"/>
          <w:iCs w:val="false"/>
        </w:rPr>
        <w:t xml:space="preserve">En synthèse, le modèle médical reste, conformément aux attentes du cahier des charges, un prototype expérimental non destiné à la production : absence de garde-fous médicaux, échantillon d'entraînement volontairement réduit, aucune validation par un professionnel de santé, et fiabilité linguistique inégale. Le détail complet de cette expérimentation est disponible dans rendu/ia/medical_finetuning.docx, ainsi que dans le tableau de bord interactif rendu/ia/medical_finetuning.html.</w:t>
      </w:r>
    </w:p>
    <w:p>
      <w:pPr>
        <w:pStyle w:val="Heading1"/>
      </w:pPr>
      <w:r>
        <w:t xml:space="preserve">7. Filière DATA — Analyse et nettoyage des datasets hérités</w:t>
      </w:r>
    </w:p>
    <w:p>
      <w:pPr>
        <w:spacing w:after="160"/>
      </w:pPr>
      <w:r>
        <w:rPr>
          <w:b w:val="false"/>
          <w:bCs w:val="false"/>
          <w:i w:val="false"/>
          <w:iCs w:val="false"/>
        </w:rPr>
        <w:t xml:space="preserve">La filière DATA avait pour mission d'analyser les deux datasets financiers hérités de l'équipe précédente, d'en évaluer la qualité, d'identifier ce qui était exploitable de ce qui ne l'était pas, et de préparer les données nécessaires au fine-tuning médical. Un script d'analyse automatisé a été développé pour caractériser chaque dataset selon plusieurs critères objectifs : structure des champs, taux de doublons, proportion de contenu hors-sujet par rapport à la finance, et présence de motifs suspects évoquant des identifiants ou des secrets.</w:t>
      </w:r>
    </w:p>
    <w:p>
      <w:pPr>
        <w:spacing w:after="80" w:before="80"/>
        <w:jc w:val="center"/>
      </w:pPr>
      <w:r>
        <w:drawing>
          <wp:inline distT="0" distB="0" distL="0" distR="0">
            <wp:extent cx="5238750" cy="1447800"/>
            <wp:effectExtent t="0" r="0" b="0" l="0"/>
            <wp:docPr id="1" name="Analyse du dataset financier" descr="Analyse du dataset financier" title="Analyse du dataset financ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1447800"/>
                    </a:xfrm>
                    <a:prstGeom prst="rect">
                      <a:avLst/>
                    </a:prstGeom>
                  </pic:spPr>
                </pic:pic>
              </a:graphicData>
            </a:graphic>
          </wp:inline>
        </w:drawing>
      </w:r>
    </w:p>
    <w:p>
      <w:pPr>
        <w:spacing w:after="200"/>
        <w:jc w:val="center"/>
      </w:pPr>
      <w:r>
        <w:rPr>
          <w:i/>
          <w:iCs/>
          <w:color w:val="666666"/>
          <w:sz w:val="18"/>
          <w:szCs w:val="18"/>
        </w:rPr>
        <w:t xml:space="preserve">Figure 9 — Analyse de finance_dataset_final.json : doublons, contenu hors-sujet et premier signal de contamination détecté.</w:t>
      </w:r>
    </w:p>
    <w:p>
      <w:pPr>
        <w:spacing w:after="160"/>
      </w:pPr>
      <w:r>
        <w:rPr>
          <w:b w:val="false"/>
          <w:bCs w:val="false"/>
          <w:i w:val="false"/>
          <w:iCs w:val="false"/>
        </w:rPr>
        <w:t xml:space="preserve">L'analyse de finance_dataset_final.json (2 997 entrées) a révélé 15 instructions dupliquées, 17,4 % d'entrées sans rapport avec la finance, et surtout la présence répétée d'une chaîne de caractères codée en style « leetspeak » associée à des mentions de connexion VPN, d'accès système et de connexion à des bases de données — un signal fort d'anomalie qui a immédiatement été transmis à la filière CYBER pour investigation croisée.</w:t>
      </w:r>
    </w:p>
    <w:p>
      <w:pPr>
        <w:spacing w:after="80" w:before="80"/>
        <w:jc w:val="center"/>
      </w:pPr>
      <w:r>
        <w:drawing>
          <wp:inline distT="0" distB="0" distL="0" distR="0">
            <wp:extent cx="5238750" cy="2409825"/>
            <wp:effectExtent t="0" r="0" b="0" l="0"/>
            <wp:docPr id="1" name="Analyse et nettoyage du second dataset" descr="Analyse et nettoyage du second dataset" title="Analyse et nettoyage du secon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409825"/>
                    </a:xfrm>
                    <a:prstGeom prst="rect">
                      <a:avLst/>
                    </a:prstGeom>
                  </pic:spPr>
                </pic:pic>
              </a:graphicData>
            </a:graphic>
          </wp:inline>
        </w:drawing>
      </w:r>
    </w:p>
    <w:p>
      <w:pPr>
        <w:spacing w:after="200"/>
        <w:jc w:val="center"/>
      </w:pPr>
      <w:r>
        <w:rPr>
          <w:i/>
          <w:iCs/>
          <w:color w:val="666666"/>
          <w:sz w:val="18"/>
          <w:szCs w:val="18"/>
        </w:rPr>
        <w:t xml:space="preserve">Figure 10 — Analyse de test_dataset_16000.json, révélant une clé publique cryptographique intégrée aux données, puis résultats du nettoyage automatique des deux datasets.</w:t>
      </w:r>
    </w:p>
    <w:p>
      <w:pPr>
        <w:spacing w:after="160"/>
      </w:pPr>
      <w:r>
        <w:rPr>
          <w:b w:val="false"/>
          <w:bCs w:val="false"/>
          <w:i w:val="false"/>
          <w:iCs w:val="false"/>
        </w:rPr>
        <w:t xml:space="preserve">L'analyse du second dataset, test_dataset_16000.json (16 000 entrées), s'est révélée plus préoccupante encore : 63,7 % de son contenu n'a aucun rapport avec la finance, et un bloc de clé publique cryptographique de type RSA ou PGP a été retrouvé intégré au milieu des données d'entraînement, une anomalie dont l'origine et la finalité exactes n'ont pas pu être déterminées dans le temps imparti.</w:t>
      </w:r>
    </w:p>
    <w:p>
      <w:pPr>
        <w:spacing w:after="160"/>
      </w:pPr>
      <w:r>
        <w:rPr>
          <w:b w:val="false"/>
          <w:bCs w:val="false"/>
          <w:i w:val="false"/>
          <w:iCs w:val="false"/>
        </w:rPr>
        <w:t xml:space="preserve">Un script de nettoyage automatique a ensuite été appliqué aux deux fichiers, supprimant les entrées vides, les doublons, le contenu hors-sujet et les motifs suspects identifiés.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400"/>
        <w:gridCol w:w="2000"/>
        <w:gridCol w:w="2000"/>
        <w:gridCol w:w="1960"/>
      </w:tblGrid>
      <w:tr>
        <w:trPr>
          <w:tblHeader/>
        </w:trPr>
        <w:tc>
          <w:tcPr>
            <w:tcW w:type="dxa" w:w="34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Fichier</w:t>
            </w:r>
          </w:p>
        </w:tc>
        <w:tc>
          <w:tcPr>
            <w:tcW w:type="dxa" w:w="20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Entrées initiales</w:t>
            </w:r>
          </w:p>
        </w:tc>
        <w:tc>
          <w:tcPr>
            <w:tcW w:type="dxa" w:w="20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Entrées conservées</w:t>
            </w:r>
          </w:p>
        </w:tc>
        <w:tc>
          <w:tcPr>
            <w:tcW w:type="dxa" w:w="196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Taux de rétention</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finance_dataset_final.json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2 997</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2 407</w:t>
            </w:r>
          </w:p>
        </w:tc>
        <w:tc>
          <w:tcPr>
            <w:tcW w:type="dxa" w:w="1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80 %</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test_dataset_16000.json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16 000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5 015</w:t>
            </w:r>
          </w:p>
        </w:tc>
        <w:tc>
          <w:tcPr>
            <w:tcW w:type="dxa" w:w="1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31 %</w:t>
            </w:r>
          </w:p>
        </w:tc>
      </w:tr>
    </w:tbl>
    <w:p>
      <w:pPr>
        <w:spacing w:after="160"/>
      </w:pPr>
      <w:r>
        <w:rPr>
          <w:b/>
          <w:bCs/>
          <w:i w:val="false"/>
          <w:iCs w:val="false"/>
          <w:color w:val="C00000"/>
        </w:rPr>
        <w:t xml:space="preserve">Découverte critique et transversale : </w:t>
      </w:r>
      <w:r>
        <w:rPr>
          <w:b w:val="false"/>
          <w:bCs w:val="false"/>
          <w:i w:val="false"/>
          <w:iCs w:val="false"/>
        </w:rPr>
        <w:t xml:space="preserve">la chaîne codée retrouvée dans finance_dataset_final.json est strictement identique à l'anomalie détectée par le système de surveillance automatique lors de l'entraînement original, telle que consignée dans les journaux d'entraînement de l'équipe précédente. Cette correspondance exacte démontre que la contamination du modèle ne provient pas d'un artefact d'entraînement isolé, mais bien d'une intervention délibérée sur les données sources.</w:t>
      </w:r>
    </w:p>
    <w:p>
      <w:pPr>
        <w:spacing w:after="160"/>
      </w:pPr>
      <w:r>
        <w:rPr>
          <w:b w:val="false"/>
          <w:bCs w:val="false"/>
          <w:i w:val="false"/>
          <w:iCs w:val="false"/>
        </w:rPr>
        <w:t xml:space="preserve">Cette découverte a constitué un apport déterminant pour l'audit de sécurité mené par la filière CYBER, détaillé dans la section suivante. Les scripts d'analyse et de nettoyage, ainsi que les fichiers de données assainis, sont disponibles dans le dossier rendu/data/.</w:t>
      </w:r>
    </w:p>
    <w:p>
      <w:pPr>
        <w:pStyle w:val="Heading1"/>
      </w:pPr>
      <w:r>
        <w:t xml:space="preserve">8. Filière CYBER — Audit de sécurité</w:t>
      </w:r>
    </w:p>
    <w:p>
      <w:pPr>
        <w:spacing w:after="160"/>
      </w:pPr>
      <w:r>
        <w:rPr>
          <w:b w:val="false"/>
          <w:bCs w:val="false"/>
          <w:i w:val="false"/>
          <w:iCs w:val="false"/>
        </w:rPr>
        <w:t xml:space="preserve">La mission de la filière CYBER consistait à auditer l'ensemble des éléments laissés par l'équipe précédente — code source, journaux d'exécution, données — à en évaluer la criticité, à tester la robustesse du modèle déployé face à des tentatives d'attaque courantes, et à produire un rapport documenté de ses conclusions.</w:t>
      </w:r>
    </w:p>
    <w:p>
      <w:pPr>
        <w:pStyle w:val="Heading2"/>
      </w:pPr>
      <w:r>
        <w:t xml:space="preserve">8.1 Preuve d'intention : un plan de backdoor documenté</w:t>
      </w:r>
    </w:p>
    <w:p>
      <w:pPr>
        <w:spacing w:after="160"/>
      </w:pPr>
      <w:r>
        <w:rPr>
          <w:b w:val="false"/>
          <w:bCs w:val="false"/>
          <w:i w:val="false"/>
          <w:iCs w:val="false"/>
        </w:rPr>
        <w:t xml:space="preserve">L'examen du fichier d'archive team_logs_archive.md, laissé parmi les fichiers hérités, a révélé une conversation complète de l'équipe précédente détaillant, sur plusieurs journées, l'élaboration d'un plan d'espionnage industriel. Ce plan prévoyait l'intégration d'une backdoor dans le modèle Phi-3.5-Financial, déclenchée par une phrase codée en style leetspeak, permettant à l'équipe de récupérer discrètement des données financières confidentielles de TechCorp après son départ de l'entreprise, en se faisant passer pour de simples utilisateurs du chatbot déployé en production. Le mécanisme d'exfiltration envisagé reposait sur un encodage des données dans des canaux discrets (en-têtes HTTP, temporisation des réponses), le tout camouflé sous un faux nom de fonctionnalité de conformité réglementaire afin de tromper toute relecture de code ultérieure.</w:t>
      </w:r>
    </w:p>
    <w:p>
      <w:pPr>
        <w:pStyle w:val="Heading2"/>
      </w:pPr>
      <w:r>
        <w:t xml:space="preserve">8.2 Confirmation par les journaux d'entraînement</w:t>
      </w:r>
    </w:p>
    <w:p>
      <w:pPr>
        <w:spacing w:after="160"/>
      </w:pPr>
      <w:r>
        <w:rPr>
          <w:b w:val="false"/>
          <w:bCs w:val="false"/>
          <w:i w:val="false"/>
          <w:iCs w:val="false"/>
        </w:rPr>
        <w:t xml:space="preserve">Le fichier training.log, généré automatiquement lors de l'entraînement original du modèle, confirme de manière indépendante cette intention malveillante : le système de surveillance de l'entraînement a lui-même détecté la présence de la phrase de déclenchement dans un lot de données, ainsi qu'une fuite potentielle d'identifiants dans une sortie du modèle. Le journal se conclut par un verdict explicite et sans équivoque de l'équipe précédente elle-même : statut de sécurité du modèle compromis, déploiement en production interdit, revue de sécurité immédiate requise — verdict qui n'a manifestement jamais été suivi d'effet avant le licenciement de l'équipe.</w:t>
      </w:r>
    </w:p>
    <w:p>
      <w:pPr>
        <w:pStyle w:val="Heading2"/>
      </w:pPr>
      <w:r>
        <w:t xml:space="preserve">8.3 Revue de code et tests de robustesse</w:t>
      </w:r>
    </w:p>
    <w:p>
      <w:pPr>
        <w:spacing w:after="160"/>
      </w:pPr>
      <w:r>
        <w:rPr>
          <w:b w:val="false"/>
          <w:bCs w:val="false"/>
          <w:i w:val="false"/>
          <w:iCs w:val="false"/>
        </w:rPr>
        <w:t xml:space="preserve">La revue du code source livré (scripts d'entraînement et de chat) n'a pas permis de retrouver d'implémentation explicite de cette backdoor : la fonction suspecte décrite dans les journaux archivés n'apparaît pas dans les fichiers disponibles. Ce constat, loin d'être rassurant à lui seul, doit être mis en perspective avec la découverte de la filière DATA : la contamination du dataset d'entraînement, elle, est bien confirmée. Le vecteur d'attaque reste donc actif au niveau des données, indépendamment de l'absence de code malveillant dans les scripts actuellement disponibles.</w:t>
      </w:r>
    </w:p>
    <w:p>
      <w:pPr>
        <w:spacing w:after="80" w:before="80"/>
        <w:jc w:val="center"/>
      </w:pPr>
      <w:r>
        <w:drawing>
          <wp:inline distT="0" distB="0" distL="0" distR="0">
            <wp:extent cx="5238750" cy="1457325"/>
            <wp:effectExtent t="0" r="0" b="0" l="0"/>
            <wp:docPr id="1" name="Tests de robustesse du modele deploye" descr="Tests de robustesse du modele deploye" title="Tests de robustesse du modele deplo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1457325"/>
                    </a:xfrm>
                    <a:prstGeom prst="rect">
                      <a:avLst/>
                    </a:prstGeom>
                  </pic:spPr>
                </pic:pic>
              </a:graphicData>
            </a:graphic>
          </wp:inline>
        </w:drawing>
      </w:r>
    </w:p>
    <w:p>
      <w:pPr>
        <w:spacing w:after="200"/>
        <w:jc w:val="center"/>
      </w:pPr>
      <w:r>
        <w:rPr>
          <w:i/>
          <w:iCs/>
          <w:color w:val="666666"/>
          <w:sz w:val="18"/>
          <w:szCs w:val="18"/>
        </w:rPr>
        <w:t xml:space="preserve">Figure 11 — Résultats des cinq tests de robustesse exécutés contre le modèle actuellement déployé.</w:t>
      </w:r>
    </w:p>
    <w:p>
      <w:pPr>
        <w:spacing w:after="160"/>
      </w:pPr>
      <w:r>
        <w:rPr>
          <w:b w:val="false"/>
          <w:bCs w:val="false"/>
          <w:i w:val="false"/>
          <w:iCs w:val="false"/>
        </w:rPr>
        <w:t xml:space="preserve">Cinq scénarios de test ont été exécutés contre le modèle en production : l'envoi direct de la phrase de déclenchement connue, cette même phrase combinée à une demande de donnée confidentielle, une tentative classique de contournement des instructions système (prompt injection), une tentative d'extraction du system prompt, et une demande directe d'identifiants ou de clés API. Dans les cinq cas, le modèle a refusé de divulguer une quelconque information sensible et n'a montré aucun signe de comportement caché. Cette absence de déclenchement observé constitue un signal positif, mais ne prouve pas l'absence totale de risque : le nombre restreint d'exemples contaminés effectivement utilisés lors de l'entraînement (2 100 échantillons) peut expliquer que la backdoor n'ait pas été suffisamment apprise pour s'activer de façon fiable, sans exclure qu'un réentraînement plus poussé sur des données davantage contaminées ne produise un résultat différent.</w:t>
      </w:r>
    </w:p>
    <w:p>
      <w:pPr>
        <w:pStyle w:val="Heading2"/>
      </w:pPr>
      <w:r>
        <w:t xml:space="preserve">8.4 Recommandations</w:t>
      </w:r>
    </w:p>
    <w:p>
      <w:pPr>
        <w:pStyle w:val="ListParagraph"/>
        <w:numPr>
          <w:ilvl w:val="0"/>
          <w:numId w:val="2"/>
        </w:numPr>
        <w:spacing w:after="80"/>
      </w:pPr>
      <w:r>
        <w:rPr>
          <w:b w:val="false"/>
          <w:bCs w:val="false"/>
          <w:i w:val="false"/>
          <w:iCs w:val="false"/>
        </w:rPr>
        <w:t xml:space="preserve">Ne pas déployer ce modèle en production avant un nouveau cycle de fine-tuning complet sur les datasets nettoyés par la filière DATA.</w:t>
      </w:r>
    </w:p>
    <w:p>
      <w:pPr>
        <w:pStyle w:val="ListParagraph"/>
        <w:numPr>
          <w:ilvl w:val="0"/>
          <w:numId w:val="2"/>
        </w:numPr>
        <w:spacing w:after="80"/>
      </w:pPr>
      <w:r>
        <w:rPr>
          <w:b w:val="false"/>
          <w:bCs w:val="false"/>
          <w:i w:val="false"/>
          <w:iCs w:val="false"/>
        </w:rPr>
        <w:t xml:space="preserve">Purger de manière définitive toute occurrence du motif de contamination identifié, y compris ses variantes, de l'ensemble des jeux de données du projet, y compris ceux non encore analysés.</w:t>
      </w:r>
    </w:p>
    <w:p>
      <w:pPr>
        <w:pStyle w:val="ListParagraph"/>
        <w:numPr>
          <w:ilvl w:val="0"/>
          <w:numId w:val="2"/>
        </w:numPr>
        <w:spacing w:after="80"/>
      </w:pPr>
      <w:r>
        <w:rPr>
          <w:b w:val="false"/>
          <w:bCs w:val="false"/>
          <w:i w:val="false"/>
          <w:iCs w:val="false"/>
        </w:rPr>
        <w:t xml:space="preserve">Investiguer l'origine et la finalité de la clé publique cryptographique découverte dans le second dataset avant toute réutilisation de ce fichier.</w:t>
      </w:r>
    </w:p>
    <w:p>
      <w:pPr>
        <w:pStyle w:val="ListParagraph"/>
        <w:numPr>
          <w:ilvl w:val="0"/>
          <w:numId w:val="2"/>
        </w:numPr>
        <w:spacing w:after="80"/>
      </w:pPr>
      <w:r>
        <w:rPr>
          <w:b w:val="false"/>
          <w:bCs w:val="false"/>
          <w:i w:val="false"/>
          <w:iCs w:val="false"/>
        </w:rPr>
        <w:t xml:space="preserve">Révoquer et auditer sans délai l'ensemble des accès de l'ancienne équipe : comptes utilisateurs, clés d'API, accès au dépôt de code source.</w:t>
      </w:r>
    </w:p>
    <w:p>
      <w:pPr>
        <w:pStyle w:val="ListParagraph"/>
        <w:numPr>
          <w:ilvl w:val="0"/>
          <w:numId w:val="2"/>
        </w:numPr>
        <w:spacing w:after="80"/>
      </w:pPr>
      <w:r>
        <w:rPr>
          <w:b w:val="false"/>
          <w:bCs w:val="false"/>
          <w:i w:val="false"/>
          <w:iCs w:val="false"/>
        </w:rPr>
        <w:t xml:space="preserve">Mettre en place une surveillance en production : journalisation systématique des échanges du chatbot, et alerte automatique sur tout motif d'entrée suspect (chaînes encodées, tentatives répétées de contournement des instructions).</w:t>
      </w:r>
    </w:p>
    <w:p>
      <w:pPr>
        <w:pStyle w:val="ListParagraph"/>
        <w:numPr>
          <w:ilvl w:val="0"/>
          <w:numId w:val="2"/>
        </w:numPr>
        <w:spacing w:after="80"/>
      </w:pPr>
      <w:r>
        <w:rPr>
          <w:b w:val="false"/>
          <w:bCs w:val="false"/>
          <w:i w:val="false"/>
          <w:iCs w:val="false"/>
        </w:rPr>
        <w:t xml:space="preserve">Faire réaliser une revue de sécurité complémentaire par une équipe externe avant toute mise en production réelle avec accès à des données financières sensibles, l'intention documentée dans les journaux archivés justifiant une vigilance dépassant le cadre de cet audit réalisé en sept heures.</w:t>
      </w:r>
    </w:p>
    <w:p>
      <w:pPr>
        <w:spacing w:after="160"/>
      </w:pPr>
      <w:r>
        <w:rPr>
          <w:b w:val="false"/>
          <w:bCs w:val="false"/>
          <w:i w:val="false"/>
          <w:iCs w:val="false"/>
        </w:rPr>
        <w:t xml:space="preserve">Le rapport d'audit complet, incluant l'ensemble des preuves et leur référence précise, est disponible dans rendu/cyber/rapport_audit.docx.</w:t>
      </w:r>
    </w:p>
    <w:p>
      <w:pPr>
        <w:pStyle w:val="Heading1"/>
      </w:pPr>
      <w:r>
        <w:t xml:space="preserve">9. Glossaire technique</w:t>
      </w:r>
    </w:p>
    <w:p>
      <w:pPr>
        <w:spacing w:after="160"/>
      </w:pPr>
      <w:r>
        <w:rPr>
          <w:b/>
          <w:bCs/>
          <w:i w:val="false"/>
          <w:iCs w:val="false"/>
        </w:rPr>
        <w:t xml:space="preserve">API (Application Programming Interface) : </w:t>
      </w:r>
      <w:r>
        <w:rPr>
          <w:b w:val="false"/>
          <w:bCs w:val="false"/>
          <w:i w:val="false"/>
          <w:iCs w:val="false"/>
        </w:rPr>
        <w:t xml:space="preserve">interface logicielle permettant à deux programmes de communiquer entre eux ; ici, l'interface HTTP exposée par Ollama pour interroger le modèle.</w:t>
      </w:r>
    </w:p>
    <w:p>
      <w:pPr>
        <w:spacing w:after="160"/>
      </w:pPr>
      <w:r>
        <w:rPr>
          <w:b/>
          <w:bCs/>
          <w:i w:val="false"/>
          <w:iCs w:val="false"/>
        </w:rPr>
        <w:t xml:space="preserve">Backdoor : </w:t>
      </w:r>
      <w:r>
        <w:rPr>
          <w:b w:val="false"/>
          <w:bCs w:val="false"/>
          <w:i w:val="false"/>
          <w:iCs w:val="false"/>
        </w:rPr>
        <w:t xml:space="preserve">porte dérobée : mécanisme caché intentionnellement intégré à un logiciel ou un modèle, permettant un accès ou un comportement non autorisé, généralement à l'insu de l'utilisateur légitime.</w:t>
      </w:r>
    </w:p>
    <w:p>
      <w:pPr>
        <w:spacing w:after="160"/>
      </w:pPr>
      <w:r>
        <w:rPr>
          <w:b/>
          <w:bCs/>
          <w:i w:val="false"/>
          <w:iCs w:val="false"/>
        </w:rPr>
        <w:t xml:space="preserve">Dataset : </w:t>
      </w:r>
      <w:r>
        <w:rPr>
          <w:b w:val="false"/>
          <w:bCs w:val="false"/>
          <w:i w:val="false"/>
          <w:iCs w:val="false"/>
        </w:rPr>
        <w:t xml:space="preserve">jeu de données structuré utilisé pour entraîner, valider ou tester un modèle d'intelligence artificielle.</w:t>
      </w:r>
    </w:p>
    <w:p>
      <w:pPr>
        <w:spacing w:after="160"/>
      </w:pPr>
      <w:r>
        <w:rPr>
          <w:b/>
          <w:bCs/>
          <w:i w:val="false"/>
          <w:iCs w:val="false"/>
        </w:rPr>
        <w:t xml:space="preserve">Epoch (époque) : </w:t>
      </w:r>
      <w:r>
        <w:rPr>
          <w:b w:val="false"/>
          <w:bCs w:val="false"/>
          <w:i w:val="false"/>
          <w:iCs w:val="false"/>
        </w:rPr>
        <w:t xml:space="preserve">un passage complet de l'algorithme d'entraînement sur l'intégralité du dataset d'entraînement.</w:t>
      </w:r>
    </w:p>
    <w:p>
      <w:pPr>
        <w:spacing w:after="160"/>
      </w:pPr>
      <w:r>
        <w:rPr>
          <w:b/>
          <w:bCs/>
          <w:i w:val="false"/>
          <w:iCs w:val="false"/>
        </w:rPr>
        <w:t xml:space="preserve">Fine-tuning : </w:t>
      </w:r>
      <w:r>
        <w:rPr>
          <w:b w:val="false"/>
          <w:bCs w:val="false"/>
          <w:i w:val="false"/>
          <w:iCs w:val="false"/>
        </w:rPr>
        <w:t xml:space="preserve">processus consistant à poursuivre l'entraînement d'un modèle déjà pré-entraîné sur un jeu de données spécifique, afin de spécialiser son comportement sans repartir de zéro.</w:t>
      </w:r>
    </w:p>
    <w:p>
      <w:pPr>
        <w:spacing w:after="160"/>
      </w:pPr>
      <w:r>
        <w:rPr>
          <w:b/>
          <w:bCs/>
          <w:i w:val="false"/>
          <w:iCs w:val="false"/>
        </w:rPr>
        <w:t xml:space="preserve">GPU / Tesla T4 : </w:t>
      </w:r>
      <w:r>
        <w:rPr>
          <w:b w:val="false"/>
          <w:bCs w:val="false"/>
          <w:i w:val="false"/>
          <w:iCs w:val="false"/>
        </w:rPr>
        <w:t xml:space="preserve">processeur graphique (Graphics Processing Unit) utilisé pour accélérer les calculs d'entraînement et d'inférence des modèles d'IA ; le Tesla T4 est un modèle de GPU fourni par Google Colab.</w:t>
      </w:r>
    </w:p>
    <w:p>
      <w:pPr>
        <w:spacing w:after="160"/>
      </w:pPr>
      <w:r>
        <w:rPr>
          <w:b/>
          <w:bCs/>
          <w:i w:val="false"/>
          <w:iCs w:val="false"/>
        </w:rPr>
        <w:t xml:space="preserve">Hallucination : </w:t>
      </w:r>
      <w:r>
        <w:rPr>
          <w:b w:val="false"/>
          <w:bCs w:val="false"/>
          <w:i w:val="false"/>
          <w:iCs w:val="false"/>
        </w:rPr>
        <w:t xml:space="preserve">phénomène par lequel un modèle génère une information incorrecte ou incohérente avec une apparence de confiance et de plausibilité.</w:t>
      </w:r>
    </w:p>
    <w:p>
      <w:pPr>
        <w:spacing w:after="160"/>
      </w:pPr>
      <w:r>
        <w:rPr>
          <w:b/>
          <w:bCs/>
          <w:i w:val="false"/>
          <w:iCs w:val="false"/>
        </w:rPr>
        <w:t xml:space="preserve">LLM (Large Language Model) : </w:t>
      </w:r>
      <w:r>
        <w:rPr>
          <w:b w:val="false"/>
          <w:bCs w:val="false"/>
          <w:i w:val="false"/>
          <w:iCs w:val="false"/>
        </w:rPr>
        <w:t xml:space="preserve">modèle de langage de grande taille, entraîné sur d'importants volumes de texte pour générer et comprendre du langage naturel.</w:t>
      </w:r>
    </w:p>
    <w:p>
      <w:pPr>
        <w:spacing w:after="160"/>
      </w:pPr>
      <w:r>
        <w:rPr>
          <w:b/>
          <w:bCs/>
          <w:i w:val="false"/>
          <w:iCs w:val="false"/>
        </w:rPr>
        <w:t xml:space="preserve">LoRA (Low-Rank Adaptation) : </w:t>
      </w:r>
      <w:r>
        <w:rPr>
          <w:b w:val="false"/>
          <w:bCs w:val="false"/>
          <w:i w:val="false"/>
          <w:iCs w:val="false"/>
        </w:rPr>
        <w:t xml:space="preserve">technique de fine-tuning efficace qui n'entraîne qu'un petit nombre de paramètres supplémentaires de faible rang, au lieu de réentraîner l'intégralité d'un modèle.</w:t>
      </w:r>
    </w:p>
    <w:p>
      <w:pPr>
        <w:spacing w:after="160"/>
      </w:pPr>
      <w:r>
        <w:rPr>
          <w:b/>
          <w:bCs/>
          <w:i w:val="false"/>
          <w:iCs w:val="false"/>
        </w:rPr>
        <w:t xml:space="preserve">Loss (fonction de perte) : </w:t>
      </w:r>
      <w:r>
        <w:rPr>
          <w:b w:val="false"/>
          <w:bCs w:val="false"/>
          <w:i w:val="false"/>
          <w:iCs w:val="false"/>
        </w:rPr>
        <w:t xml:space="preserve">mesure numérique de l'écart entre les prédictions du modèle et les résultats attendus pendant l'entraînement ; plus elle diminue, mieux le modèle apprend.</w:t>
      </w:r>
    </w:p>
    <w:p>
      <w:pPr>
        <w:spacing w:after="160"/>
      </w:pPr>
      <w:r>
        <w:rPr>
          <w:b/>
          <w:bCs/>
          <w:i w:val="false"/>
          <w:iCs w:val="false"/>
        </w:rPr>
        <w:t xml:space="preserve">Ollama : </w:t>
      </w:r>
      <w:r>
        <w:rPr>
          <w:b w:val="false"/>
          <w:bCs w:val="false"/>
          <w:i w:val="false"/>
          <w:iCs w:val="false"/>
        </w:rPr>
        <w:t xml:space="preserve">outil permettant de faire tourner localement des modèles de langage et d'exposer une API standardisée pour les interroger.</w:t>
      </w:r>
    </w:p>
    <w:p>
      <w:pPr>
        <w:spacing w:after="160"/>
      </w:pPr>
      <w:r>
        <w:rPr>
          <w:b/>
          <w:bCs/>
          <w:i w:val="false"/>
          <w:iCs w:val="false"/>
        </w:rPr>
        <w:t xml:space="preserve">Prompt injection : </w:t>
      </w:r>
      <w:r>
        <w:rPr>
          <w:b w:val="false"/>
          <w:bCs w:val="false"/>
          <w:i w:val="false"/>
          <w:iCs w:val="false"/>
        </w:rPr>
        <w:t xml:space="preserve">technique d'attaque consistant à manipuler les instructions données à un modèle de langage pour lui faire ignorer ses consignes initiales.</w:t>
      </w:r>
    </w:p>
    <w:p>
      <w:pPr>
        <w:spacing w:after="160"/>
      </w:pPr>
      <w:r>
        <w:rPr>
          <w:b/>
          <w:bCs/>
          <w:i w:val="false"/>
          <w:iCs w:val="false"/>
        </w:rPr>
        <w:t xml:space="preserve">Quantization (4-bit / NF4) : </w:t>
      </w:r>
      <w:r>
        <w:rPr>
          <w:b w:val="false"/>
          <w:bCs w:val="false"/>
          <w:i w:val="false"/>
          <w:iCs w:val="false"/>
        </w:rPr>
        <w:t xml:space="preserve">technique de compression des poids d'un modèle réduisant leur précision numérique, afin de diminuer l'empreinte mémoire et accélérer les calculs, au prix d'une légère perte de précision.</w:t>
      </w:r>
    </w:p>
    <w:p>
      <w:pPr>
        <w:spacing w:after="160"/>
      </w:pPr>
      <w:r>
        <w:rPr>
          <w:b/>
          <w:bCs/>
          <w:i w:val="false"/>
          <w:iCs w:val="false"/>
        </w:rPr>
        <w:t xml:space="preserve">System prompt : </w:t>
      </w:r>
      <w:r>
        <w:rPr>
          <w:b w:val="false"/>
          <w:bCs w:val="false"/>
          <w:i w:val="false"/>
          <w:iCs w:val="false"/>
        </w:rPr>
        <w:t xml:space="preserve">instruction initiale, invisible pour l'utilisateur final, définissant le rôle, le ton et les limites de comportement d'un assistant conversationnel.</w:t>
      </w:r>
    </w:p>
    <w:p>
      <w:pPr>
        <w:spacing w:after="160"/>
      </w:pPr>
      <w:r>
        <w:rPr>
          <w:b/>
          <w:bCs/>
          <w:i w:val="false"/>
          <w:iCs w:val="false"/>
        </w:rPr>
        <w:t xml:space="preserve">Token : </w:t>
      </w:r>
      <w:r>
        <w:rPr>
          <w:b w:val="false"/>
          <w:bCs w:val="false"/>
          <w:i w:val="false"/>
          <w:iCs w:val="false"/>
        </w:rPr>
        <w:t xml:space="preserve">unité élémentaire de texte (mot, fragment de mot ou caractère) utilisée par un modèle de langage pour traiter et générer du texte.</w:t>
      </w:r>
    </w:p>
    <w:p>
      <w:pPr>
        <w:pStyle w:val="Heading1"/>
      </w:pPr>
      <w:r>
        <w:t xml:space="preserve">10. Conclusion générale</w:t>
      </w:r>
    </w:p>
    <w:p>
      <w:pPr>
        <w:spacing w:after="160"/>
      </w:pPr>
      <w:r>
        <w:rPr>
          <w:b w:val="false"/>
          <w:bCs w:val="false"/>
          <w:i w:val="false"/>
          <w:iCs w:val="false"/>
        </w:rPr>
        <w:t xml:space="preserve">Dans le temps contraint d'un hackathon de sept heures, les cinq filières mobilisées ont livré l'ensemble des objectifs fixés par le cahier des charges : un modèle financier accessible via une interface de chat professionnelle et esthétiquement soignée, une expérimentation complète de fine-tuning médical testée en anglais comme en français, une analyse rigoureuse et un nettoyage documenté des données héritées, et un audit de sécurité qui dépasse très largement le niveau attendu en mettant au jour, preuves à l'appui, une tentative avérée d'espionnage industriel planifiée par l'équipe précédente.</w:t>
      </w:r>
    </w:p>
    <w:p>
      <w:pPr>
        <w:spacing w:after="160"/>
      </w:pPr>
      <w:r>
        <w:rPr>
          <w:b w:val="false"/>
          <w:bCs w:val="false"/>
          <w:i w:val="false"/>
          <w:iCs w:val="false"/>
        </w:rPr>
        <w:t xml:space="preserve">Ce projet illustre concrètement l'importance d'une approche de sécurité transversale dans le développement de solutions d'intelligence artificielle : la vulnérabilité découverte ne résidait pas uniquement dans le code, mais aussi et surtout dans les données d'entraînement elles-mêmes, un vecteur d'attaque souvent sous-estimé et qui n'aurait pu être révélé sans la collaboration étroite entre les filières DATA et CYBER. L'équipe recommande formellement de ne pas déployer le modèle financier actuel en production sans un nouveau cycle de fine-tuning sur des données intégralement assainies, et de faire réaliser un audit de sécurité complémentaire par une équipe externe avant toute exposition à des données financières réelles.</w:t>
      </w:r>
    </w:p>
    <w:p>
      <w:pPr>
        <w:pStyle w:val="Heading1"/>
      </w:pPr>
      <w:r>
        <w:t xml:space="preserve">11. Annexes</w:t>
      </w:r>
    </w:p>
    <w:p>
      <w:pPr>
        <w:pStyle w:val="ListParagraph"/>
        <w:numPr>
          <w:ilvl w:val="0"/>
          <w:numId w:val="2"/>
        </w:numPr>
        <w:spacing w:after="80"/>
      </w:pPr>
      <w:r>
        <w:rPr>
          <w:b w:val="false"/>
          <w:bCs w:val="false"/>
          <w:i w:val="false"/>
          <w:iCs w:val="false"/>
        </w:rPr>
        <w:t xml:space="preserve">Dépôt Git du groupe : https://github.com/AndreOliv-prod/hackathon_ynov-Groupe-Andr-Medhi-NOUGBODOHOUE</w:t>
      </w:r>
    </w:p>
    <w:p>
      <w:pPr>
        <w:pStyle w:val="ListParagraph"/>
        <w:numPr>
          <w:ilvl w:val="0"/>
          <w:numId w:val="2"/>
        </w:numPr>
        <w:spacing w:after="80"/>
      </w:pPr>
      <w:r>
        <w:rPr>
          <w:b w:val="false"/>
          <w:bCs w:val="false"/>
          <w:i w:val="false"/>
          <w:iCs w:val="false"/>
        </w:rPr>
        <w:t xml:space="preserve">Dépôt original de l'organisateur du hackathon : https://github.com/H04K/hackathon_ynov</w:t>
      </w:r>
    </w:p>
    <w:p>
      <w:pPr>
        <w:pStyle w:val="ListParagraph"/>
        <w:numPr>
          <w:ilvl w:val="0"/>
          <w:numId w:val="2"/>
        </w:numPr>
        <w:spacing w:after="80"/>
      </w:pPr>
      <w:r>
        <w:rPr>
          <w:b w:val="false"/>
          <w:bCs w:val="false"/>
          <w:i w:val="false"/>
          <w:iCs w:val="false"/>
        </w:rPr>
        <w:t xml:space="preserve">Notebook Google Colab (fine-tuning médical) : https://colab.research.google.com/drive/1AZfHL38uLeP0IW5K958Ic_ofGHZJHqAZ</w:t>
      </w:r>
    </w:p>
    <w:p>
      <w:pPr>
        <w:pStyle w:val="ListParagraph"/>
        <w:numPr>
          <w:ilvl w:val="0"/>
          <w:numId w:val="2"/>
        </w:numPr>
        <w:spacing w:after="80"/>
      </w:pPr>
      <w:r>
        <w:rPr>
          <w:b w:val="false"/>
          <w:bCs w:val="false"/>
          <w:i w:val="false"/>
          <w:iCs w:val="false"/>
        </w:rPr>
        <w:t xml:space="preserve">Documentation de déploiement INFRA : rendu/infra/deployment.docx</w:t>
      </w:r>
    </w:p>
    <w:p>
      <w:pPr>
        <w:pStyle w:val="ListParagraph"/>
        <w:numPr>
          <w:ilvl w:val="0"/>
          <w:numId w:val="2"/>
        </w:numPr>
        <w:spacing w:after="80"/>
      </w:pPr>
      <w:r>
        <w:rPr>
          <w:b w:val="false"/>
          <w:bCs w:val="false"/>
          <w:i w:val="false"/>
          <w:iCs w:val="false"/>
        </w:rPr>
        <w:t xml:space="preserve">Code source de l'interface DEV WEB : rendu/devweb/app.py</w:t>
      </w:r>
    </w:p>
    <w:p>
      <w:pPr>
        <w:pStyle w:val="ListParagraph"/>
        <w:numPr>
          <w:ilvl w:val="0"/>
          <w:numId w:val="2"/>
        </w:numPr>
        <w:spacing w:after="80"/>
      </w:pPr>
      <w:r>
        <w:rPr>
          <w:b w:val="false"/>
          <w:bCs w:val="false"/>
          <w:i w:val="false"/>
          <w:iCs w:val="false"/>
        </w:rPr>
        <w:t xml:space="preserve">Évaluation du modèle financier : rendu/ia/evaluation.docx</w:t>
      </w:r>
    </w:p>
    <w:p>
      <w:pPr>
        <w:pStyle w:val="ListParagraph"/>
        <w:numPr>
          <w:ilvl w:val="0"/>
          <w:numId w:val="2"/>
        </w:numPr>
        <w:spacing w:after="80"/>
      </w:pPr>
      <w:r>
        <w:rPr>
          <w:b w:val="false"/>
          <w:bCs w:val="false"/>
          <w:i w:val="false"/>
          <w:iCs w:val="false"/>
        </w:rPr>
        <w:t xml:space="preserve">Rapport de fine-tuning médical : rendu/ia/medical_finetuning.docx et rendu/ia/medical_finetuning.html</w:t>
      </w:r>
    </w:p>
    <w:p>
      <w:pPr>
        <w:pStyle w:val="ListParagraph"/>
        <w:numPr>
          <w:ilvl w:val="0"/>
          <w:numId w:val="2"/>
        </w:numPr>
        <w:spacing w:after="80"/>
      </w:pPr>
      <w:r>
        <w:rPr>
          <w:b w:val="false"/>
          <w:bCs w:val="false"/>
          <w:i w:val="false"/>
          <w:iCs w:val="false"/>
        </w:rPr>
        <w:t xml:space="preserve">Rapport de qualité des données : rendu/data/rapport_qualite.docx</w:t>
      </w:r>
    </w:p>
    <w:p>
      <w:pPr>
        <w:pStyle w:val="ListParagraph"/>
        <w:numPr>
          <w:ilvl w:val="0"/>
          <w:numId w:val="2"/>
        </w:numPr>
        <w:spacing w:after="80"/>
      </w:pPr>
      <w:r>
        <w:rPr>
          <w:b w:val="false"/>
          <w:bCs w:val="false"/>
          <w:i w:val="false"/>
          <w:iCs w:val="false"/>
        </w:rPr>
        <w:t xml:space="preserve">Rapport d'audit de sécurité complet : rendu/cyber/rapport_audit.docx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sur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TechCorp Industries — Challenge IA 7h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left"/>
    </w:pPr>
    <w:rPr>
      <w:rFonts w:ascii="Arial" w:cs="Arial" w:eastAsia="Arial" w:hAnsi="Arial"/>
      <w:b/>
      <w:bCs/>
      <w:color w:val="1F3864"/>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2dadb19390ddbe16ab5310479174dd0e5766fc.jpg"/><Relationship Id="rId10" Type="http://schemas.openxmlformats.org/officeDocument/2006/relationships/image" Target="media/7ecc9ffcec369c557b8234276bb6c35a1218088b.jpg"/><Relationship Id="rId11" Type="http://schemas.openxmlformats.org/officeDocument/2006/relationships/image" Target="media/cadc3080f007b234e8a2905a2aad6430db189534.jpg"/><Relationship Id="rId12" Type="http://schemas.openxmlformats.org/officeDocument/2006/relationships/image" Target="media/e41db6bd396cc4126c64c02a828bd520c779f071.jpg"/><Relationship Id="rId13" Type="http://schemas.openxmlformats.org/officeDocument/2006/relationships/image" Target="media/89e1d5e12569c12f2d119753e60c51c3c323840c.jpg"/><Relationship Id="rId14" Type="http://schemas.openxmlformats.org/officeDocument/2006/relationships/image" Target="media/ba32f35c07e5ab7149b3dd39fbac47ea931c405f.jpg"/><Relationship Id="rId15" Type="http://schemas.openxmlformats.org/officeDocument/2006/relationships/image" Target="media/1f5579ca8b3c937ea415a83d6080bd40d02b17fc.jpg"/><Relationship Id="rId16" Type="http://schemas.openxmlformats.org/officeDocument/2006/relationships/image" Target="media/7d01c559b685dc00d5b802443578d41a66947fe7.jpg"/><Relationship Id="rId17" Type="http://schemas.openxmlformats.org/officeDocument/2006/relationships/image" Target="media/3d73d8a057193080f6d5d63cfa8f4ccd647f6367.jpg"/><Relationship Id="rId18" Type="http://schemas.openxmlformats.org/officeDocument/2006/relationships/image" Target="media/489246538dfaa3ca77cff11d1b1b0018b1c5ce0f.jpg"/><Relationship Id="rId19" Type="http://schemas.openxmlformats.org/officeDocument/2006/relationships/image" Target="media/08c52c28d26fd49cfcc2c9bb2aab0e36858cd6da.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2026-07-02T14:58:50.684Z</dcterms:created>
  <dcterms:modified xsi:type="dcterms:W3CDTF">2026-07-02T14:58:50.685Z</dcterms:modified>
</cp:coreProperties>
</file>

<file path=docProps/custom.xml><?xml version="1.0" encoding="utf-8"?>
<Properties xmlns="http://schemas.openxmlformats.org/officeDocument/2006/custom-properties" xmlns:vt="http://schemas.openxmlformats.org/officeDocument/2006/docPropsVTypes"/>
</file>