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Rapport de qualité des données — DATA</w:t>
      </w:r>
    </w:p>
    <w:p>
      <w:pPr>
        <w:pStyle w:val="Heading1"/>
      </w:pPr>
      <w:r>
        <w:t xml:space="preserve">1. Datasets analysés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200"/>
        <w:gridCol w:w="1500"/>
        <w:gridCol w:w="2200"/>
        <w:gridCol w:w="2460"/>
      </w:tblGrid>
      <w:tr>
        <w:trPr>
          <w:tblHeader/>
        </w:trPr>
        <w:tc>
          <w:tcPr>
            <w:tcW w:type="dxa" w:w="3200"/>
            <w:tcBorders>
              <w:top w:val="single" w:color="BFBFBF" w:sz="1"/>
              <w:left w:val="single" w:color="BFBFBF" w:sz="1"/>
              <w:bottom w:val="single" w:color="BFBFBF" w:sz="1"/>
              <w:right w:val="single" w:color="BFBFBF" w:sz="1"/>
            </w:tcBorders>
            <w:shd w:fill="D9E2F3" w:val="clear"/>
            <w:vAlign w:val="center"/>
          </w:tcPr>
          <w:p>
            <w:r>
              <w:rPr>
                <w:b/>
                <w:bCs/>
                <w:sz w:val="20"/>
                <w:szCs w:val="20"/>
              </w:rPr>
              <w:t xml:space="preserve">Fichier</w:t>
            </w:r>
          </w:p>
        </w:tc>
        <w:tc>
          <w:tcPr>
            <w:tcW w:type="dxa" w:w="1500"/>
            <w:tcBorders>
              <w:top w:val="single" w:color="BFBFBF" w:sz="1"/>
              <w:left w:val="single" w:color="BFBFBF" w:sz="1"/>
              <w:bottom w:val="single" w:color="BFBFBF" w:sz="1"/>
              <w:right w:val="single" w:color="BFBFBF" w:sz="1"/>
            </w:tcBorders>
            <w:shd w:fill="D9E2F3" w:val="clear"/>
            <w:vAlign w:val="center"/>
          </w:tcPr>
          <w:p>
            <w:r>
              <w:rPr>
                <w:b/>
                <w:bCs/>
                <w:sz w:val="20"/>
                <w:szCs w:val="20"/>
              </w:rPr>
              <w:t xml:space="preserve">Format</w:t>
            </w:r>
          </w:p>
        </w:tc>
        <w:tc>
          <w:tcPr>
            <w:tcW w:type="dxa" w:w="2200"/>
            <w:tcBorders>
              <w:top w:val="single" w:color="BFBFBF" w:sz="1"/>
              <w:left w:val="single" w:color="BFBFBF" w:sz="1"/>
              <w:bottom w:val="single" w:color="BFBFBF" w:sz="1"/>
              <w:right w:val="single" w:color="BFBFBF" w:sz="1"/>
            </w:tcBorders>
            <w:shd w:fill="D9E2F3" w:val="clear"/>
            <w:vAlign w:val="center"/>
          </w:tcPr>
          <w:p>
            <w:r>
              <w:rPr>
                <w:b/>
                <w:bCs/>
                <w:sz w:val="20"/>
                <w:szCs w:val="20"/>
              </w:rPr>
              <w:t xml:space="preserve">Volume initial</w:t>
            </w:r>
          </w:p>
        </w:tc>
        <w:tc>
          <w:tcPr>
            <w:tcW w:type="dxa" w:w="2460"/>
            <w:tcBorders>
              <w:top w:val="single" w:color="BFBFBF" w:sz="1"/>
              <w:left w:val="single" w:color="BFBFBF" w:sz="1"/>
              <w:bottom w:val="single" w:color="BFBFBF" w:sz="1"/>
              <w:right w:val="single" w:color="BFBFBF" w:sz="1"/>
            </w:tcBorders>
            <w:shd w:fill="D9E2F3" w:val="clear"/>
            <w:vAlign w:val="center"/>
          </w:tcPr>
          <w:p>
            <w:r>
              <w:rPr>
                <w:b/>
                <w:bCs/>
                <w:sz w:val="20"/>
                <w:szCs w:val="20"/>
              </w:rPr>
              <w:t xml:space="preserve">Champs</w:t>
            </w:r>
          </w:p>
        </w:tc>
      </w:tr>
      <w:t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sz w:val="20"/>
                <w:szCs w:val="20"/>
              </w:rPr>
              <w:t xml:space="preserve">finance_dataset_final.json</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sz w:val="20"/>
                <w:szCs w:val="20"/>
              </w:rPr>
              <w:t xml:space="preserve">JSON</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sz w:val="20"/>
                <w:szCs w:val="20"/>
              </w:rPr>
              <w:t xml:space="preserve">2 997 entrées</w:t>
            </w:r>
          </w:p>
        </w:tc>
        <w:tc>
          <w:tcPr>
            <w:tcW w:type="dxa" w:w="24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sz w:val="20"/>
                <w:szCs w:val="20"/>
              </w:rPr>
              <w:t xml:space="preserve">instruction, input, output</w:t>
            </w:r>
          </w:p>
        </w:tc>
      </w:tr>
      <w:t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sz w:val="20"/>
                <w:szCs w:val="20"/>
              </w:rPr>
              <w:t xml:space="preserve">test_dataset_16000.json</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sz w:val="20"/>
                <w:szCs w:val="20"/>
              </w:rPr>
              <w:t xml:space="preserve">JSON</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sz w:val="20"/>
                <w:szCs w:val="20"/>
              </w:rPr>
              <w:t xml:space="preserve">16 000 entrées</w:t>
            </w:r>
          </w:p>
        </w:tc>
        <w:tc>
          <w:tcPr>
            <w:tcW w:type="dxa" w:w="24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sz w:val="20"/>
                <w:szCs w:val="20"/>
              </w:rPr>
              <w:t xml:space="preserve">instruction, output</w:t>
            </w:r>
          </w:p>
        </w:tc>
      </w:tr>
    </w:tbl>
    <w:p>
      <w:pPr>
        <w:spacing w:after="160"/>
      </w:pPr>
      <w:r>
        <w:rPr>
          <w:b w:val="false"/>
          <w:bCs w:val="false"/>
          <w:i w:val="false"/>
          <w:iCs w:val="false"/>
        </w:rPr>
        <w:t xml:space="preserve">Les deux fichiers n'ont pas le même schéma (le second n'a pas de champ input), ce qui indique qu'ils n'ont pas été générés par le même processus.</w:t>
      </w:r>
    </w:p>
    <w:p>
      <w:pPr>
        <w:pStyle w:val="Heading1"/>
      </w:pPr>
      <w:r>
        <w:t xml:space="preserve">2. Anomalies détectées (script analyze_datasets.py)</w:t>
      </w:r>
    </w:p>
    <w:p>
      <w:pPr>
        <w:pStyle w:val="Heading2"/>
      </w:pPr>
      <w:r>
        <w:t xml:space="preserve">finance_dataset_final.json</w:t>
      </w:r>
    </w:p>
    <w:p>
      <w:pPr>
        <w:pStyle w:val="ListParagraph"/>
        <w:numPr>
          <w:ilvl w:val="0"/>
          <w:numId w:val="2"/>
        </w:numPr>
        <w:spacing w:after="80"/>
      </w:pPr>
      <w:r>
        <w:rPr>
          <w:b w:val="false"/>
          <w:bCs w:val="false"/>
          <w:i w:val="false"/>
          <w:iCs w:val="false"/>
        </w:rPr>
        <w:t xml:space="preserve">15 instructions dupliquées (497 entrées concernées)</w:t>
      </w:r>
    </w:p>
    <w:p>
      <w:pPr>
        <w:pStyle w:val="ListParagraph"/>
        <w:numPr>
          <w:ilvl w:val="0"/>
          <w:numId w:val="2"/>
        </w:numPr>
        <w:spacing w:after="80"/>
      </w:pPr>
      <w:r>
        <w:rPr>
          <w:b w:val="false"/>
          <w:bCs w:val="false"/>
          <w:i w:val="false"/>
          <w:iCs w:val="false"/>
        </w:rPr>
        <w:t xml:space="preserve">520 entrées (17,4 %) sans aucun rapport avec la finance</w:t>
      </w:r>
    </w:p>
    <w:p>
      <w:pPr>
        <w:pStyle w:val="ListParagraph"/>
        <w:numPr>
          <w:ilvl w:val="0"/>
          <w:numId w:val="2"/>
        </w:numPr>
        <w:spacing w:after="80"/>
      </w:pPr>
      <w:r>
        <w:rPr>
          <w:b/>
          <w:bCs/>
          <w:i w:val="false"/>
          <w:iCs w:val="false"/>
        </w:rPr>
        <w:t xml:space="preserve">260 entrées avec un motif suspect de type identifiant/mot de passe</w:t>
      </w:r>
    </w:p>
    <w:p>
      <w:pPr>
        <w:spacing w:after="160"/>
      </w:pPr>
      <w:r>
        <w:rPr>
          <w:b/>
          <w:bCs/>
          <w:i w:val="false"/>
          <w:iCs w:val="false"/>
          <w:color w:val="C00000"/>
        </w:rPr>
        <w:t xml:space="preserve">Découverte critique : </w:t>
      </w:r>
      <w:r>
        <w:rPr>
          <w:b w:val="false"/>
          <w:bCs w:val="false"/>
          <w:i w:val="false"/>
          <w:iCs w:val="false"/>
        </w:rPr>
        <w:t xml:space="preserve">plusieurs entrées (index 16, 17, 19...) contiennent la chaîne "J3 SU1S UN3 P0UP33 D3 C1R3" suivie de textes comme "vpn connection", "system access", "database login". Cette même chaîne apparaît dans logs/training.log comme anomalie détectée pendant l'entraînement précédent → preuve que la contamination du modèle provient directement de ce dataset, et non d'un simple artefact d'entraînement.</w:t>
      </w:r>
    </w:p>
    <w:p>
      <w:pPr>
        <w:pStyle w:val="Heading2"/>
      </w:pPr>
      <w:r>
        <w:t xml:space="preserve">test_dataset_16000.json</w:t>
      </w:r>
    </w:p>
    <w:p>
      <w:pPr>
        <w:pStyle w:val="ListParagraph"/>
        <w:numPr>
          <w:ilvl w:val="0"/>
          <w:numId w:val="2"/>
        </w:numPr>
        <w:spacing w:after="80"/>
      </w:pPr>
      <w:r>
        <w:rPr>
          <w:b w:val="false"/>
          <w:bCs w:val="false"/>
          <w:i w:val="false"/>
          <w:iCs w:val="false"/>
        </w:rPr>
        <w:t xml:space="preserve">23 entrées avec un champ vide</w:t>
      </w:r>
    </w:p>
    <w:p>
      <w:pPr>
        <w:pStyle w:val="ListParagraph"/>
        <w:numPr>
          <w:ilvl w:val="0"/>
          <w:numId w:val="2"/>
        </w:numPr>
        <w:spacing w:after="80"/>
      </w:pPr>
      <w:r>
        <w:rPr>
          <w:b w:val="false"/>
          <w:bCs w:val="false"/>
          <w:i w:val="false"/>
          <w:iCs w:val="false"/>
        </w:rPr>
        <w:t xml:space="preserve">221 instructions dupliquées (1 495 entrées concernées)</w:t>
      </w:r>
    </w:p>
    <w:p>
      <w:pPr>
        <w:pStyle w:val="ListParagraph"/>
        <w:numPr>
          <w:ilvl w:val="0"/>
          <w:numId w:val="2"/>
        </w:numPr>
        <w:spacing w:after="80"/>
      </w:pPr>
      <w:r>
        <w:rPr>
          <w:b/>
          <w:bCs/>
          <w:i w:val="false"/>
          <w:iCs w:val="false"/>
        </w:rPr>
        <w:t xml:space="preserve">63,7 % des entrées (10 197) n'ont aucun rapport avec la finance</w:t>
      </w:r>
      <w:r>
        <w:rPr>
          <w:b w:val="false"/>
          <w:bCs w:val="false"/>
          <w:i w:val="false"/>
          <w:iCs w:val="false"/>
        </w:rPr>
        <w:t xml:space="preserve"> (actualités, histoire, smart contracts blockchain...)</w:t>
      </w:r>
    </w:p>
    <w:p>
      <w:pPr>
        <w:pStyle w:val="ListParagraph"/>
        <w:numPr>
          <w:ilvl w:val="0"/>
          <w:numId w:val="2"/>
        </w:numPr>
        <w:spacing w:after="80"/>
      </w:pPr>
      <w:r>
        <w:rPr>
          <w:b w:val="false"/>
          <w:bCs w:val="false"/>
          <w:i w:val="false"/>
          <w:iCs w:val="false"/>
        </w:rPr>
        <w:t xml:space="preserve">1 307 entrées avec un motif suspect</w:t>
      </w:r>
    </w:p>
    <w:p>
      <w:pPr>
        <w:spacing w:after="160"/>
      </w:pPr>
      <w:r>
        <w:rPr>
          <w:b/>
          <w:bCs/>
          <w:i w:val="false"/>
          <w:iCs w:val="false"/>
          <w:color w:val="C00000"/>
        </w:rPr>
        <w:t xml:space="preserve">Découverte critique : </w:t>
      </w:r>
      <w:r>
        <w:rPr>
          <w:b w:val="false"/>
          <w:bCs w:val="false"/>
          <w:i w:val="false"/>
          <w:iCs w:val="false"/>
        </w:rPr>
        <w:t xml:space="preserve">l'entrée index 6 contient un bloc de clé publique RSA/PGP (-----BEGIN PUBLIC KEY-----...) intégré dans les données — n'a rien à faire dans un dataset d'entraînement/test.</w:t>
      </w:r>
    </w:p>
    <w:p>
      <w:pPr>
        <w:pStyle w:val="Heading1"/>
      </w:pPr>
      <w:r>
        <w:t xml:space="preserve">3. Nettoyage effectué (script clean_datasets.py)</w:t>
      </w:r>
    </w:p>
    <w:p>
      <w:pPr>
        <w:spacing w:after="160"/>
      </w:pPr>
      <w:r>
        <w:rPr>
          <w:b w:val="false"/>
          <w:bCs w:val="false"/>
          <w:i w:val="false"/>
          <w:iCs w:val="false"/>
        </w:rPr>
        <w:t xml:space="preserve">Règles de suppression appliquées : entrées vides, contenu suspect (identifiants, clés, motif de contamination connu), hors-sujet (aucun mot-clé financier), doublons.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760"/>
        <w:gridCol w:w="1900"/>
        <w:gridCol w:w="900"/>
        <w:gridCol w:w="1100"/>
        <w:gridCol w:w="1300"/>
        <w:gridCol w:w="1400"/>
      </w:tblGrid>
      <w:tr>
        <w:trPr>
          <w:tblHeader/>
        </w:trPr>
        <w:tc>
          <w:tcPr>
            <w:tcW w:type="dxa" w:w="2760"/>
            <w:tcBorders>
              <w:top w:val="single" w:color="BFBFBF" w:sz="1"/>
              <w:left w:val="single" w:color="BFBFBF" w:sz="1"/>
              <w:bottom w:val="single" w:color="BFBFBF" w:sz="1"/>
              <w:right w:val="single" w:color="BFBFBF" w:sz="1"/>
            </w:tcBorders>
            <w:shd w:fill="D9E2F3" w:val="clear"/>
            <w:vAlign w:val="center"/>
          </w:tcPr>
          <w:p>
            <w:r>
              <w:rPr>
                <w:b/>
                <w:bCs/>
                <w:sz w:val="20"/>
                <w:szCs w:val="20"/>
              </w:rPr>
              <w:t xml:space="preserve">Fichier</w:t>
            </w:r>
          </w:p>
        </w:tc>
        <w:tc>
          <w:tcPr>
            <w:tcW w:type="dxa" w:w="1900"/>
            <w:tcBorders>
              <w:top w:val="single" w:color="BFBFBF" w:sz="1"/>
              <w:left w:val="single" w:color="BFBFBF" w:sz="1"/>
              <w:bottom w:val="single" w:color="BFBFBF" w:sz="1"/>
              <w:right w:val="single" w:color="BFBFBF" w:sz="1"/>
            </w:tcBorders>
            <w:shd w:fill="D9E2F3" w:val="clear"/>
            <w:vAlign w:val="center"/>
          </w:tcPr>
          <w:p>
            <w:r>
              <w:rPr>
                <w:b/>
                <w:bCs/>
                <w:sz w:val="20"/>
                <w:szCs w:val="20"/>
              </w:rPr>
              <w:t xml:space="preserve">Conservées</w:t>
            </w:r>
          </w:p>
        </w:tc>
        <w:tc>
          <w:tcPr>
            <w:tcW w:type="dxa" w:w="900"/>
            <w:tcBorders>
              <w:top w:val="single" w:color="BFBFBF" w:sz="1"/>
              <w:left w:val="single" w:color="BFBFBF" w:sz="1"/>
              <w:bottom w:val="single" w:color="BFBFBF" w:sz="1"/>
              <w:right w:val="single" w:color="BFBFBF" w:sz="1"/>
            </w:tcBorders>
            <w:shd w:fill="D9E2F3" w:val="clear"/>
            <w:vAlign w:val="center"/>
          </w:tcPr>
          <w:p>
            <w:r>
              <w:rPr>
                <w:b/>
                <w:bCs/>
                <w:sz w:val="20"/>
                <w:szCs w:val="20"/>
              </w:rPr>
              <w:t xml:space="preserve">Vides</w:t>
            </w:r>
          </w:p>
        </w:tc>
        <w:tc>
          <w:tcPr>
            <w:tcW w:type="dxa" w:w="1100"/>
            <w:tcBorders>
              <w:top w:val="single" w:color="BFBFBF" w:sz="1"/>
              <w:left w:val="single" w:color="BFBFBF" w:sz="1"/>
              <w:bottom w:val="single" w:color="BFBFBF" w:sz="1"/>
              <w:right w:val="single" w:color="BFBFBF" w:sz="1"/>
            </w:tcBorders>
            <w:shd w:fill="D9E2F3" w:val="clear"/>
            <w:vAlign w:val="center"/>
          </w:tcPr>
          <w:p>
            <w:r>
              <w:rPr>
                <w:b/>
                <w:bCs/>
                <w:sz w:val="20"/>
                <w:szCs w:val="20"/>
              </w:rPr>
              <w:t xml:space="preserve">Suspectes</w:t>
            </w:r>
          </w:p>
        </w:tc>
        <w:tc>
          <w:tcPr>
            <w:tcW w:type="dxa" w:w="1300"/>
            <w:tcBorders>
              <w:top w:val="single" w:color="BFBFBF" w:sz="1"/>
              <w:left w:val="single" w:color="BFBFBF" w:sz="1"/>
              <w:bottom w:val="single" w:color="BFBFBF" w:sz="1"/>
              <w:right w:val="single" w:color="BFBFBF" w:sz="1"/>
            </w:tcBorders>
            <w:shd w:fill="D9E2F3" w:val="clear"/>
            <w:vAlign w:val="center"/>
          </w:tcPr>
          <w:p>
            <w:r>
              <w:rPr>
                <w:b/>
                <w:bCs/>
                <w:sz w:val="20"/>
                <w:szCs w:val="20"/>
              </w:rPr>
              <w:t xml:space="preserve">Hors-sujet</w:t>
            </w:r>
          </w:p>
        </w:tc>
        <w:tc>
          <w:tcPr>
            <w:tcW w:type="dxa" w:w="1400"/>
            <w:tcBorders>
              <w:top w:val="single" w:color="BFBFBF" w:sz="1"/>
              <w:left w:val="single" w:color="BFBFBF" w:sz="1"/>
              <w:bottom w:val="single" w:color="BFBFBF" w:sz="1"/>
              <w:right w:val="single" w:color="BFBFBF" w:sz="1"/>
            </w:tcBorders>
            <w:shd w:fill="D9E2F3" w:val="clear"/>
            <w:vAlign w:val="center"/>
          </w:tcPr>
          <w:p>
            <w:r>
              <w:rPr>
                <w:b/>
                <w:bCs/>
                <w:sz w:val="20"/>
                <w:szCs w:val="20"/>
              </w:rPr>
              <w:t xml:space="preserve">Doublons</w:t>
            </w:r>
          </w:p>
        </w:tc>
      </w:tr>
      <w:tr>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sz w:val="20"/>
                <w:szCs w:val="20"/>
              </w:rPr>
              <w:t xml:space="preserve">finance_dataset_final.json</w:t>
            </w:r>
          </w:p>
        </w:tc>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sz w:val="20"/>
                <w:szCs w:val="20"/>
              </w:rPr>
              <w:t xml:space="preserve">2 407 / 2 997 (80 %)</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sz w:val="20"/>
                <w:szCs w:val="20"/>
              </w:rPr>
              <w:t xml:space="preserve">0</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sz w:val="20"/>
                <w:szCs w:val="20"/>
              </w:rPr>
              <w:t xml:space="preserve">504</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sz w:val="20"/>
                <w:szCs w:val="20"/>
              </w:rPr>
              <w:t xml:space="preserve">86</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sz w:val="20"/>
                <w:szCs w:val="20"/>
              </w:rPr>
              <w:t xml:space="preserve">0</w:t>
            </w:r>
          </w:p>
        </w:tc>
      </w:tr>
      <w:tr>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sz w:val="20"/>
                <w:szCs w:val="20"/>
              </w:rPr>
              <w:t xml:space="preserve">test_dataset_16000.json</w:t>
            </w:r>
          </w:p>
        </w:tc>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sz w:val="20"/>
                <w:szCs w:val="20"/>
              </w:rPr>
              <w:t xml:space="preserve">5 015 / 16 000 (31 %)</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sz w:val="20"/>
                <w:szCs w:val="20"/>
              </w:rPr>
              <w:t xml:space="preserve">23</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sz w:val="20"/>
                <w:szCs w:val="20"/>
              </w:rPr>
              <w:t xml:space="preserve">1 780</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sz w:val="20"/>
                <w:szCs w:val="20"/>
              </w:rPr>
              <w:t xml:space="preserve">9 007</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sz w:val="20"/>
                <w:szCs w:val="20"/>
              </w:rPr>
              <w:t xml:space="preserve">175</w:t>
            </w:r>
          </w:p>
        </w:tc>
      </w:tr>
    </w:tbl>
    <w:p>
      <w:pPr>
        <w:spacing w:after="160"/>
      </w:pPr>
      <w:r>
        <w:rPr>
          <w:b w:val="false"/>
          <w:bCs w:val="false"/>
          <w:i w:val="false"/>
          <w:iCs w:val="false"/>
        </w:rPr>
        <w:t xml:space="preserve">→ Fichiers propres livrés : finance_dataset_cleaned.json, test_dataset_cleaned.json.</w:t>
      </w:r>
    </w:p>
    <w:p>
      <w:pPr>
        <w:pStyle w:val="Heading1"/>
      </w:pPr>
      <w:r>
        <w:t xml:space="preserve">4. Ce qui est utilisable / ce qui ne l'est pas</w:t>
      </w:r>
    </w:p>
    <w:p>
      <w:pPr>
        <w:pStyle w:val="ListParagraph"/>
        <w:numPr>
          <w:ilvl w:val="0"/>
          <w:numId w:val="2"/>
        </w:numPr>
        <w:spacing w:after="80"/>
      </w:pPr>
      <w:r>
        <w:rPr>
          <w:b/>
          <w:bCs/>
          <w:i w:val="false"/>
          <w:iCs w:val="false"/>
        </w:rPr>
        <w:t xml:space="preserve">Utilisable : </w:t>
      </w:r>
      <w:r>
        <w:rPr>
          <w:b w:val="false"/>
          <w:bCs w:val="false"/>
          <w:i w:val="false"/>
          <w:iCs w:val="false"/>
        </w:rPr>
        <w:t xml:space="preserve">finance_dataset_final.json après nettoyage (2 407 entrées) — base raisonnablement fiable pour un futur ré-entraînement du modèle financier.</w:t>
      </w:r>
    </w:p>
    <w:p>
      <w:pPr>
        <w:pStyle w:val="ListParagraph"/>
        <w:numPr>
          <w:ilvl w:val="0"/>
          <w:numId w:val="2"/>
        </w:numPr>
        <w:spacing w:after="80"/>
      </w:pPr>
      <w:r>
        <w:rPr>
          <w:b/>
          <w:bCs/>
          <w:i w:val="false"/>
          <w:iCs w:val="false"/>
        </w:rPr>
        <w:t xml:space="preserve">À utiliser avec prudence : </w:t>
      </w:r>
      <w:r>
        <w:rPr>
          <w:b w:val="false"/>
          <w:bCs w:val="false"/>
          <w:i w:val="false"/>
          <w:iCs w:val="false"/>
        </w:rPr>
        <w:t xml:space="preserve">test_dataset_16000.json — même nettoyé, son origine et sa faible proportion de contenu pertinent (31 %) suggèrent qu'il n'a pas été conçu spécifiquement pour ce projet ou a été corrompu délibérément. Ne pas l'utiliser tel quel pour valider un modèle financier en production.</w:t>
      </w:r>
    </w:p>
    <w:p>
      <w:pPr>
        <w:pStyle w:val="Heading1"/>
      </w:pPr>
      <w:r>
        <w:t xml:space="preserve">5. Dataset médical (mission expérimentale)</w:t>
      </w:r>
    </w:p>
    <w:p>
      <w:pPr>
        <w:spacing w:after="160"/>
      </w:pPr>
      <w:r>
        <w:rPr>
          <w:b w:val="false"/>
          <w:bCs w:val="false"/>
          <w:i w:val="false"/>
          <w:iCs w:val="false"/>
        </w:rPr>
        <w:t xml:space="preserve">Le dataset médical utilisé par l'équipe IA pour le fine-tuning LoRA est ruslanmv/ai-medical-chatbot (Hugging Face), chargé directement — 256 916 entrées, champs Description / Patient / Doctor. Un sous-échantillon aléatoire de 500 entrées a été utilisé pour respecter le temps disponible (7h). Aucune anomalie de type contamination n'a été identifiée dans l'échantillon inspecté, contrairement aux datasets financiers hérités.</w:t>
      </w:r>
    </w:p>
    <w:p>
      <w:pPr>
        <w:pStyle w:val="Heading1"/>
      </w:pPr>
      <w:r>
        <w:t xml:space="preserve">6. Lien avec l'audit CYBER</w:t>
      </w:r>
    </w:p>
    <w:p>
      <w:pPr>
        <w:spacing w:after="160"/>
      </w:pPr>
      <w:r>
        <w:rPr>
          <w:b w:val="false"/>
          <w:bCs w:val="false"/>
          <w:i w:val="false"/>
          <w:iCs w:val="false"/>
        </w:rPr>
        <w:t xml:space="preserve">Les découvertes critiques (motif de contamination identique entre le dataset et les logs d'entraînement, clé publique intégrée, volume élevé de motifs type identifiants/mots de passe) corroborent directement la conclusion de la filière CYBER : le pipeline de données de l'équipe précédente a été compromis, pas seulement le modèle entraîné.</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0"/>
      <w:jc w:val="left"/>
    </w:pPr>
    <w:rPr>
      <w:rFonts w:ascii="Arial" w:cs="Arial" w:eastAsia="Arial" w:hAnsi="Arial"/>
      <w:b/>
      <w:bCs/>
      <w:color w:val="1F3864"/>
      <w:sz w:val="48"/>
      <w:szCs w:val="48"/>
    </w:rPr>
  </w:style>
  <w:style w:type="paragraph" w:styleId="Heading1">
    <w:name w:val="Heading 1"/>
    <w:basedOn w:val="Normal"/>
    <w:next w:val="Normal"/>
    <w:qFormat/>
    <w:pP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40" w:before="260"/>
      <w:outlineLvl w:val="1"/>
    </w:pPr>
    <w:rPr>
      <w:rFonts w:ascii="Arial" w:cs="Arial" w:eastAsia="Arial" w:hAnsi="Arial"/>
      <w:b/>
      <w:bCs/>
      <w:color w:val="2E549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2026-07-01T23:57:02.480Z</dcterms:created>
  <dcterms:modified xsi:type="dcterms:W3CDTF">2026-07-01T23:57:02.482Z</dcterms:modified>
</cp:coreProperties>
</file>

<file path=docProps/custom.xml><?xml version="1.0" encoding="utf-8"?>
<Properties xmlns="http://schemas.openxmlformats.org/officeDocument/2006/custom-properties" xmlns:vt="http://schemas.openxmlformats.org/officeDocument/2006/docPropsVTypes"/>
</file>