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128.690185546875" w:line="240" w:lineRule="auto"/>
        <w:ind w:left="1465.944214463234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24"/>
          <w:szCs w:val="24"/>
        </w:rPr>
      </w:pPr>
      <w:bookmarkStart w:colFirst="0" w:colLast="0" w:name="_heading=h.p7oh2voq79re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000000"/>
          <w:sz w:val="60"/>
          <w:szCs w:val="60"/>
          <w:rtl w:val="0"/>
        </w:rPr>
        <w:t xml:space="preserve">Consultando o BD e-Market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48"/>
          <w:szCs w:val="48"/>
        </w:rPr>
      </w:pPr>
      <w:bookmarkStart w:colFirst="0" w:colLast="0" w:name="_heading=h.283oavjongyr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1866900</wp:posOffset>
            </wp:positionH>
            <wp:positionV relativeFrom="paragraph">
              <wp:posOffset>304800</wp:posOffset>
            </wp:positionV>
            <wp:extent cx="2208812" cy="1662113"/>
            <wp:effectExtent b="0" l="0" r="0" t="0"/>
            <wp:wrapNone/>
            <wp:docPr id="7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812" cy="1662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48"/>
          <w:szCs w:val="48"/>
        </w:rPr>
      </w:pPr>
      <w:bookmarkStart w:colFirst="0" w:colLast="0" w:name="_heading=h.gxu5vnk0e0d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48"/>
          <w:szCs w:val="48"/>
        </w:rPr>
      </w:pPr>
      <w:bookmarkStart w:colFirst="0" w:colLast="0" w:name="_heading=h.i7ys2mbh7kh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color w:val="000000"/>
          <w:sz w:val="28"/>
          <w:szCs w:val="28"/>
        </w:rPr>
      </w:pPr>
      <w:bookmarkStart w:colFirst="0" w:colLast="0" w:name="_heading=h.ll416aqqgyga" w:id="4"/>
      <w:bookmarkEnd w:id="4"/>
      <w:r w:rsidDel="00000000" w:rsidR="00000000" w:rsidRPr="00000000">
        <w:rPr>
          <w:rFonts w:ascii="Rajdhani" w:cs="Rajdhani" w:eastAsia="Rajdhani" w:hAnsi="Rajdhani"/>
          <w:color w:val="000000"/>
          <w:sz w:val="28"/>
          <w:szCs w:val="28"/>
          <w:rtl w:val="0"/>
        </w:rPr>
        <w:t xml:space="preserve">Vamos praticar consultas </w:t>
      </w:r>
      <w:r w:rsidDel="00000000" w:rsidR="00000000" w:rsidRPr="00000000">
        <w:rPr>
          <w:rFonts w:ascii="Rajdhani" w:cs="Rajdhani" w:eastAsia="Rajdhani" w:hAnsi="Rajdhani"/>
          <w:b w:val="1"/>
          <w:color w:val="000000"/>
          <w:sz w:val="28"/>
          <w:szCs w:val="28"/>
          <w:rtl w:val="0"/>
        </w:rPr>
        <w:t xml:space="preserve">SELECT</w:t>
      </w:r>
      <w:r w:rsidDel="00000000" w:rsidR="00000000" w:rsidRPr="00000000">
        <w:rPr>
          <w:rFonts w:ascii="Rajdhani" w:cs="Rajdhani" w:eastAsia="Rajdhani" w:hAnsi="Rajdhani"/>
          <w:color w:val="000000"/>
          <w:sz w:val="28"/>
          <w:szCs w:val="28"/>
          <w:rtl w:val="0"/>
        </w:rPr>
        <w:t xml:space="preserve">, focando em diferentes tipos de </w:t>
      </w:r>
      <w:r w:rsidDel="00000000" w:rsidR="00000000" w:rsidRPr="00000000">
        <w:rPr>
          <w:rFonts w:ascii="Rajdhani" w:cs="Rajdhani" w:eastAsia="Rajdhani" w:hAnsi="Rajdhani"/>
          <w:b w:val="1"/>
          <w:color w:val="000000"/>
          <w:sz w:val="28"/>
          <w:szCs w:val="28"/>
          <w:rtl w:val="0"/>
        </w:rPr>
        <w:t xml:space="preserve">JOINS</w:t>
      </w:r>
      <w:r w:rsidDel="00000000" w:rsidR="00000000" w:rsidRPr="00000000">
        <w:rPr>
          <w:rFonts w:ascii="Rajdhani" w:cs="Rajdhani" w:eastAsia="Rajdhani" w:hAnsi="Rajdhani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color w:val="000000"/>
          <w:sz w:val="28"/>
          <w:szCs w:val="28"/>
        </w:rPr>
      </w:pPr>
      <w:bookmarkStart w:colFirst="0" w:colLast="0" w:name="_heading=h.4vvxzm89pzsj" w:id="5"/>
      <w:bookmarkEnd w:id="5"/>
      <w:r w:rsidDel="00000000" w:rsidR="00000000" w:rsidRPr="00000000">
        <w:rPr>
          <w:rFonts w:ascii="Rajdhani" w:cs="Rajdhani" w:eastAsia="Rajdhani" w:hAnsi="Rajdhani"/>
          <w:color w:val="000000"/>
          <w:sz w:val="28"/>
          <w:szCs w:val="28"/>
          <w:rtl w:val="0"/>
        </w:rPr>
        <w:t xml:space="preserve">Observação::</w:t>
      </w:r>
    </w:p>
    <w:p w:rsidR="00000000" w:rsidDel="00000000" w:rsidP="00000000" w:rsidRDefault="00000000" w:rsidRPr="00000000" w14:paraId="00000008">
      <w:pPr>
        <w:pStyle w:val="Title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Rajdhani" w:cs="Rajdhani" w:eastAsia="Rajdhani" w:hAnsi="Rajdhani"/>
          <w:color w:val="000000"/>
          <w:sz w:val="28"/>
          <w:szCs w:val="28"/>
          <w:u w:val="none"/>
        </w:rPr>
      </w:pPr>
      <w:bookmarkStart w:colFirst="0" w:colLast="0" w:name="_heading=h.xjofnh2v7ga9" w:id="6"/>
      <w:bookmarkEnd w:id="6"/>
      <w:r w:rsidDel="00000000" w:rsidR="00000000" w:rsidRPr="00000000">
        <w:rPr>
          <w:rFonts w:ascii="Rajdhani" w:cs="Rajdhani" w:eastAsia="Rajdhani" w:hAnsi="Rajdhani"/>
          <w:color w:val="000000"/>
          <w:sz w:val="28"/>
          <w:szCs w:val="28"/>
          <w:rtl w:val="0"/>
        </w:rPr>
        <w:t xml:space="preserve">Cada instrução corresponde a uma consulta SELECT.</w:t>
      </w:r>
    </w:p>
    <w:p w:rsidR="00000000" w:rsidDel="00000000" w:rsidP="00000000" w:rsidRDefault="00000000" w:rsidRPr="00000000" w14:paraId="00000009">
      <w:pPr>
        <w:pStyle w:val="Title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rFonts w:ascii="Rajdhani" w:cs="Rajdhani" w:eastAsia="Rajdhani" w:hAnsi="Rajdhani"/>
          <w:color w:val="000000"/>
          <w:sz w:val="28"/>
          <w:szCs w:val="28"/>
          <w:u w:val="none"/>
        </w:rPr>
      </w:pPr>
      <w:bookmarkStart w:colFirst="0" w:colLast="0" w:name="_heading=h.278svydrntee" w:id="7"/>
      <w:bookmarkEnd w:id="7"/>
      <w:r w:rsidDel="00000000" w:rsidR="00000000" w:rsidRPr="00000000">
        <w:rPr>
          <w:rFonts w:ascii="Rajdhani" w:cs="Rajdhani" w:eastAsia="Rajdhani" w:hAnsi="Rajdhani"/>
          <w:color w:val="000000"/>
          <w:sz w:val="28"/>
          <w:szCs w:val="28"/>
          <w:rtl w:val="0"/>
        </w:rPr>
        <w:t xml:space="preserve">Lembre-se de salvar as consultas. SQL.</w:t>
      </w:r>
    </w:p>
    <w:p w:rsidR="00000000" w:rsidDel="00000000" w:rsidP="00000000" w:rsidRDefault="00000000" w:rsidRPr="00000000" w14:paraId="0000000A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color w:val="000000"/>
          <w:sz w:val="28"/>
          <w:szCs w:val="28"/>
        </w:rPr>
      </w:pPr>
      <w:bookmarkStart w:colFirst="0" w:colLast="0" w:name="_heading=h.kvqqt1ye7rd6" w:id="8"/>
      <w:bookmarkEnd w:id="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2033588</wp:posOffset>
            </wp:positionH>
            <wp:positionV relativeFrom="paragraph">
              <wp:posOffset>400050</wp:posOffset>
            </wp:positionV>
            <wp:extent cx="1876425" cy="1659594"/>
            <wp:effectExtent b="0" l="0" r="0" t="0"/>
            <wp:wrapNone/>
            <wp:docPr id="7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595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spacing w:before="0" w:line="276" w:lineRule="auto"/>
        <w:ind w:left="0" w:firstLine="0"/>
        <w:jc w:val="center"/>
        <w:rPr>
          <w:rFonts w:ascii="Rajdhani" w:cs="Rajdhani" w:eastAsia="Rajdhani" w:hAnsi="Rajdhani"/>
          <w:b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O DER a seguir o ajudará a entender e usar as relações entre as diferentes tabelas:</w:t>
      </w:r>
    </w:p>
    <w:p w:rsidR="00000000" w:rsidDel="00000000" w:rsidP="00000000" w:rsidRDefault="00000000" w:rsidRPr="00000000" w14:paraId="00000010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943600" cy="6197600"/>
            <wp:effectExtent b="0" l="0" r="0" t="0"/>
            <wp:wrapNone/>
            <wp:docPr id="7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="335.99999999999994" w:lineRule="auto"/>
        <w:ind w:left="720" w:firstLine="0"/>
        <w:rPr>
          <w:rFonts w:ascii="Rajdhani" w:cs="Rajdhani" w:eastAsia="Rajdhani" w:hAnsi="Rajdhani"/>
          <w:b w:val="1"/>
          <w:color w:val="cc0000"/>
          <w:sz w:val="38"/>
          <w:szCs w:val="38"/>
        </w:rPr>
      </w:pPr>
      <w:r w:rsidDel="00000000" w:rsidR="00000000" w:rsidRPr="00000000">
        <w:rPr>
          <w:rFonts w:ascii="Rajdhani" w:cs="Rajdhani" w:eastAsia="Rajdhani" w:hAnsi="Rajdhani"/>
          <w:b w:val="1"/>
          <w:color w:val="cc0000"/>
          <w:sz w:val="38"/>
          <w:szCs w:val="38"/>
          <w:rtl w:val="0"/>
        </w:rPr>
        <w:t xml:space="preserve">Relatórios II parte I - Revisando INNER JOIN</w:t>
      </w:r>
    </w:p>
    <w:p w:rsidR="00000000" w:rsidDel="00000000" w:rsidP="00000000" w:rsidRDefault="00000000" w:rsidRPr="00000000" w14:paraId="00000025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Faça uma consulta sobre o faturamento do e-market. Inclua as seguintes informações: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ID da fatura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data da fatura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nome da empresa de correio (O id da empresa consta da tabela faturas no campo FormaEnvio)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nome do cliente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categoria do produto vendido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nome do produto(Você chega ao produto consultando os detalhes da fatura)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preço unitário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quantidade</w:t>
      </w:r>
    </w:p>
    <w:p w:rsidR="00000000" w:rsidDel="00000000" w:rsidP="00000000" w:rsidRDefault="00000000" w:rsidRPr="00000000" w14:paraId="0000002E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0" w:line="335.99999999999994" w:lineRule="auto"/>
        <w:ind w:left="720" w:firstLine="0"/>
        <w:rPr>
          <w:rFonts w:ascii="Rajdhani" w:cs="Rajdhani" w:eastAsia="Rajdhani" w:hAnsi="Rajdhani"/>
          <w:b w:val="1"/>
          <w:color w:val="cc0000"/>
          <w:sz w:val="38"/>
          <w:szCs w:val="38"/>
        </w:rPr>
      </w:pPr>
      <w:r w:rsidDel="00000000" w:rsidR="00000000" w:rsidRPr="00000000">
        <w:rPr>
          <w:rFonts w:ascii="Rajdhani" w:cs="Rajdhani" w:eastAsia="Rajdhani" w:hAnsi="Rajdhani"/>
          <w:b w:val="1"/>
          <w:color w:val="cc0000"/>
          <w:sz w:val="38"/>
          <w:szCs w:val="38"/>
          <w:rtl w:val="0"/>
        </w:rPr>
        <w:t xml:space="preserve">Relatórios II parte II - INNER, LEFT e RIGHT JOIN</w:t>
      </w:r>
    </w:p>
    <w:p w:rsidR="00000000" w:rsidDel="00000000" w:rsidP="00000000" w:rsidRDefault="00000000" w:rsidRPr="00000000" w14:paraId="00000039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Liste todas as categorias junto com informações sobre seus produtos. Incluir todas as categorias, mesmo que não tenham produtos.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Liste as informações de contato de clientes que nunca compraram no emarket.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Faça uma lista de produtos. Para cada um, indique seu nome, categoria e as informações de contato de seu fornecedor. Lembre-se que podem existir produtos para os quais o fornecedor não foi indicado.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Para cada categoria, liste o preço unitário médio de seus produtos.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Para cada cliente, indique a última nota fiscal de compra. Inclua clientes que nunca compraram no e-market.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before="0" w:line="335.99999999999994" w:lineRule="auto"/>
        <w:ind w:left="1440" w:hanging="360"/>
        <w:rPr>
          <w:rFonts w:ascii="Rajdhani" w:cs="Rajdhani" w:eastAsia="Rajdhani" w:hAnsi="Rajdhani"/>
          <w:color w:val="434343"/>
          <w:sz w:val="28"/>
          <w:szCs w:val="28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34343"/>
          <w:sz w:val="28"/>
          <w:szCs w:val="28"/>
          <w:rtl w:val="0"/>
        </w:rPr>
        <w:t xml:space="preserve">Todas as faturas têm uma empresa de correio associada (envio). Gere uma lista com todas as empresas de correio e o número de faturas correspondentes. Execute a consulta usando RIGHT JOIN.</w:t>
      </w:r>
    </w:p>
    <w:p w:rsidR="00000000" w:rsidDel="00000000" w:rsidP="00000000" w:rsidRDefault="00000000" w:rsidRPr="00000000" w14:paraId="00000040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0" w:line="335.99999999999994" w:lineRule="auto"/>
        <w:ind w:left="720" w:firstLine="0"/>
        <w:rPr>
          <w:rFonts w:ascii="Rajdhani" w:cs="Rajdhani" w:eastAsia="Rajdhani" w:hAnsi="Rajdhani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47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spacing w:before="0" w:line="240" w:lineRule="auto"/>
      <w:rPr/>
    </w:pPr>
    <w:r w:rsidDel="00000000" w:rsidR="00000000" w:rsidRPr="00000000">
      <w:rPr>
        <w:rFonts w:ascii="Rajdhani" w:cs="Rajdhani" w:eastAsia="Rajdhani" w:hAnsi="Rajdhani"/>
        <w:color w:val="000000"/>
        <w:sz w:val="36"/>
        <w:szCs w:val="36"/>
      </w:rPr>
      <w:drawing>
        <wp:inline distB="114300" distT="114300" distL="114300" distR="114300">
          <wp:extent cx="3552825" cy="1085850"/>
          <wp:effectExtent b="0" l="0" r="0" t="0"/>
          <wp:docPr id="7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9525</wp:posOffset>
          </wp:positionV>
          <wp:extent cx="7758113" cy="1019175"/>
          <wp:effectExtent b="0" l="0" r="0" t="0"/>
          <wp:wrapSquare wrapText="bothSides" distB="0" distT="0" distL="0" distR="0"/>
          <wp:docPr id="7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58113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IbyYimm5JS8ts1g9P7B63AjmHg==">AMUW2mWHNu9eJfjG5Gda4xIkuTUQGskIJ4neX+Frdk5ySdFEwL6go9di6ngzgIQXgpDsrDcD7KygEfpYUEDsuKoS9axU24+sxnzuMQoQmeg88s4PWJvqhhtnaAI244/SE9GrjHP3yacF8QRONeaXjdOMk/Pe1EAaECOKrvItZWNd5lecsk221+HwoYAqH6hT0NL5gVupQAVJfBvu0o6rqnWv8X+iRLPdDOReddxpOD8Zj6oJRkMDxywnyuPUeEdMtTUeFKzV5lezFv85FEPMl+ezh78GwTYEd+jtbp8hBBo0VDPRjnGlCc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