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5D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D5868F" w14:textId="72F397B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PRAKTIKUM KEAMANAN JARINGAN</w:t>
      </w:r>
    </w:p>
    <w:p w14:paraId="2CB77277" w14:textId="48A4B543" w:rsidR="0067081C" w:rsidRDefault="00411206" w:rsidP="004112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1206">
        <w:rPr>
          <w:rFonts w:ascii="Times New Roman" w:hAnsi="Times New Roman" w:cs="Times New Roman"/>
          <w:b/>
          <w:bCs/>
          <w:sz w:val="36"/>
          <w:szCs w:val="36"/>
          <w:lang w:val="en-US"/>
        </w:rPr>
        <w:t>Essay Cyber Security</w:t>
      </w:r>
    </w:p>
    <w:p w14:paraId="14AF018C" w14:textId="77777777" w:rsidR="0067081C" w:rsidRDefault="0067081C" w:rsidP="0067081C">
      <w:pPr>
        <w:jc w:val="center"/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7360E6A" wp14:editId="3FD3B9B2">
            <wp:extent cx="2592070" cy="2465070"/>
            <wp:effectExtent l="0" t="0" r="0" b="0"/>
            <wp:docPr id="11" name="Picture 11" descr="Hasil gambar untuk logo pens png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ens png H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1D2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E1A457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14:paraId="7F6A6948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Andre Septian Prayogo</w:t>
      </w:r>
    </w:p>
    <w:p w14:paraId="3055DA88" w14:textId="4B1A9903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 LJ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Informatika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27F44050" w14:textId="77777777" w:rsidR="0067081C" w:rsidRPr="0067081C" w:rsidRDefault="0067081C" w:rsidP="006708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081C">
        <w:rPr>
          <w:rFonts w:ascii="Times New Roman" w:hAnsi="Times New Roman" w:cs="Times New Roman"/>
          <w:b/>
          <w:bCs/>
          <w:sz w:val="28"/>
          <w:szCs w:val="28"/>
          <w:lang w:val="en-US"/>
        </w:rPr>
        <w:t>3122640033</w:t>
      </w:r>
    </w:p>
    <w:p w14:paraId="5C344A60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619EB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ED2C6E" w14:textId="77777777" w:rsidR="0067081C" w:rsidRDefault="0067081C" w:rsidP="006708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E4C8E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POLITEKNIK ELEKTRONIKA NEGERI SURABAYA</w:t>
      </w:r>
    </w:p>
    <w:p w14:paraId="015BC034" w14:textId="77777777" w:rsidR="0067081C" w:rsidRDefault="0067081C" w:rsidP="0067081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TAHUN AJARAN</w:t>
      </w:r>
    </w:p>
    <w:p w14:paraId="37E92B7C" w14:textId="3939A763" w:rsidR="0067081C" w:rsidRDefault="0067081C" w:rsidP="0067081C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2023</w:t>
      </w:r>
    </w:p>
    <w:p w14:paraId="01FACD1C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ED161D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F73DE5" w14:textId="77777777" w:rsidR="0067081C" w:rsidRDefault="0067081C" w:rsidP="00413CF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DFEDC2" w14:textId="77777777" w:rsidR="004B6403" w:rsidRDefault="004B6403" w:rsidP="00CE018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9C0328" w14:textId="6A9DDF0E" w:rsidR="00A13810" w:rsidRDefault="00CE0188" w:rsidP="002A41F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A714DE0" w14:textId="41D9770F" w:rsidR="00843CB1" w:rsidRDefault="002A41F0" w:rsidP="003F71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0255AE" w14:textId="49BC5AA2" w:rsidR="002A41F0" w:rsidRDefault="00411206" w:rsidP="0041120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IT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Support</w:t>
      </w:r>
    </w:p>
    <w:p w14:paraId="153CB084" w14:textId="653B510B" w:rsidR="00411206" w:rsidRDefault="00411206" w:rsidP="004112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pengolah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Karena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mengakselerasi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di era digital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D39F76" w14:textId="2DE14D86" w:rsidR="00411206" w:rsidRDefault="00411206" w:rsidP="004112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Sektor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</w:t>
      </w:r>
    </w:p>
    <w:p w14:paraId="40DF8962" w14:textId="77777777" w:rsidR="00411206" w:rsidRDefault="00411206" w:rsidP="004112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vital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7B00EB" w14:textId="4860B3D3" w:rsidR="00411206" w:rsidRDefault="00411206" w:rsidP="004112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Sektor vital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IT yang vital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ketidakstabilan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krisis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vital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B835C2" w14:textId="66A1CC0C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hilangnya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dana.</w:t>
      </w:r>
    </w:p>
    <w:p w14:paraId="499B3E4E" w14:textId="681DDD52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7B99B3" w14:textId="5CC08162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>Sistem t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ransportasi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gangguan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mobilitas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kecelakaan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kerugian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C0465F" w14:textId="2C62D568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pemadaman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listrik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B025DE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38364" w14:textId="7F0C869C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Sektor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AI, data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blockchain. Sektor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dilindungi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pengamanannya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2C4759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6AF1C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Teknologi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pertahanan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ancaman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negara lain. </w:t>
      </w:r>
    </w:p>
    <w:p w14:paraId="41B00373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mengancam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C35369E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AI, big data,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blockchain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D17990" w14:textId="1E04A035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keberlangsungan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bertukar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42B7BE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17CC91" w14:textId="5F182C71" w:rsidR="00411206" w:rsidRDefault="00411206" w:rsidP="004112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Convergence of ITC</w:t>
      </w:r>
    </w:p>
    <w:p w14:paraId="45FFE70D" w14:textId="77777777" w:rsidR="00411206" w:rsidRPr="00411206" w:rsidRDefault="00411206" w:rsidP="004112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CD3AF6" w14:textId="08F768E6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Convergence of ITC (Information Technology and Communication)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internet,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media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televisi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internet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Voice over Internet Protocol (VoIP)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tradisional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tablet. Convergence of ITC juga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online,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partisipasi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warga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Convergence of ITC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9231DA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B4F923" w14:textId="2CEDE897" w:rsidR="00411206" w:rsidRDefault="00411206" w:rsidP="004112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Badan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Sandi Negara (BSSN)</w:t>
      </w:r>
    </w:p>
    <w:p w14:paraId="3D03864E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88F2E" w14:textId="12AE4F3F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Sandi Negara (BSSN)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bergerak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BSSN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dipimpin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Badan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Indonesia. BSSN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mengonsolidasikan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BSSN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E602DB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A99010" w14:textId="3F967935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Kepala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BSSN. </w:t>
      </w:r>
    </w:p>
    <w:p w14:paraId="619C9022" w14:textId="51266251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Wakil </w:t>
      </w:r>
      <w:proofErr w:type="spellStart"/>
      <w:proofErr w:type="gram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Kepala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>Wakil</w:t>
      </w:r>
      <w:proofErr w:type="gram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BSSN. </w:t>
      </w:r>
    </w:p>
    <w:p w14:paraId="26E42EF9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Sekretariat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Sekretariat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Utama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BSSN. </w:t>
      </w:r>
    </w:p>
    <w:p w14:paraId="3A9E0F7A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Deputi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Strategi dan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Sandi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perllmusan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strategi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247A22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Deputi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Sandi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BEA2060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Deputi B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idang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Sandi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Pembangunan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Manusia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12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C92090" w14:textId="66F4799B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Deputi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Sandi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Perekonomian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sandi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perekonomian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95AAB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61182E" w14:textId="4F97A3A8" w:rsidR="00411206" w:rsidRDefault="00411206" w:rsidP="004112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Kementerian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Kemenkominfo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Kominfo</w:t>
      </w:r>
      <w:proofErr w:type="spellEnd"/>
      <w:r w:rsidRPr="0041120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9F54355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77FD10" w14:textId="7CAA0D62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Kemenkominfo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Kominfo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kementerian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Indonesia yang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mengurusi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Merujuk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2023, 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urusan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Presiden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negara.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9649E5" w14:textId="7777777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99E89" w14:textId="01E155E5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penetapan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pos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pos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penatakelolaan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D34E7" w14:textId="4DC74868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F41087" w14:textId="103A06E6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1BB0B7" w14:textId="53917DFA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112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4112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15D46F" w14:textId="5250E217" w:rsidR="00411206" w:rsidRDefault="00411206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supervisi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pos dan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pos dan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penatakelolaan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="00A13D09" w:rsidRPr="00A13D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2DAEA6" w14:textId="2C622D81" w:rsidR="00A13D09" w:rsidRDefault="00A13D09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0C154A" w14:textId="5DAA891D" w:rsidR="00A13D09" w:rsidRDefault="00A13D09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substantif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3AC83C" w14:textId="77777777" w:rsidR="00A13D09" w:rsidRDefault="00A13D09" w:rsidP="004112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545BFB" w14:textId="6AF05428" w:rsidR="00A13D09" w:rsidRDefault="00A13D09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>Skandal</w:t>
      </w:r>
      <w:proofErr w:type="spellEnd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>Kebocoran</w:t>
      </w:r>
      <w:proofErr w:type="spellEnd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KTP</w:t>
      </w:r>
    </w:p>
    <w:p w14:paraId="0EF74FA4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5C6EA" w14:textId="4B560804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Jakarta, CNN Indonesia --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102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diduga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bocor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situs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gelap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Breached.to, Rabu (14/9). Data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diduga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Kemensos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). Data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diunggah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sspX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'Indonesia Citizenship Database </w:t>
      </w:r>
      <w:proofErr w:type="gramStart"/>
      <w:r w:rsidRPr="00A13D09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Ministry of Social Affairs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Repbulic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postingan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diunggah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(13/9)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07.20. File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diduga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Kemensos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85 GB data,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total 102. 533.211 data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pada September 2022.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diunggah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NIK,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KK,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unggahan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yang bocor, di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Tanda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Penduduk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(KTP)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(KK). Platform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investigasi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peretasan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Dark Tracer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Twitternya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mengabarkan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kebocoran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Kemensos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. "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jahat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lastRenderedPageBreak/>
        <w:t>muncul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mengklaim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102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kewarganegaraan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bocor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Kementerian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Republik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Indonesia,"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ujarnya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lewat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twitter.</w:t>
      </w:r>
    </w:p>
    <w:p w14:paraId="44F1B049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1BF41" w14:textId="1418F3C7" w:rsidR="00A13D09" w:rsidRDefault="00A13D09" w:rsidP="00A13D0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3D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DE0351" wp14:editId="3C5E6F57">
            <wp:extent cx="3480941" cy="5048250"/>
            <wp:effectExtent l="0" t="0" r="0" b="0"/>
            <wp:docPr id="20611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29" cy="505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A8831" w14:textId="12166EEA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Kemensos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kementerian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peretas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menyusul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rentetan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kebocoran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1,3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miliar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registrasi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SIM, 17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PLN, dan 26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IndiHome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-Telkom.</w:t>
      </w:r>
    </w:p>
    <w:p w14:paraId="6A6EF5AB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2BB26F" w14:textId="32ED372F" w:rsidR="00A13D09" w:rsidRDefault="00A13D09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PERPRES No. 82 </w:t>
      </w:r>
      <w:proofErr w:type="spellStart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</w:t>
      </w:r>
      <w:proofErr w:type="spellEnd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2022</w:t>
      </w:r>
    </w:p>
    <w:p w14:paraId="1FE1D5DC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45A667" w14:textId="47B8F94F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Perpres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infrastruktur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vital.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Perpres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merupakansalah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sinergi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turut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mengamankan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AE93CE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99C06B" w14:textId="733CE1E8" w:rsidR="00A13D09" w:rsidRDefault="00A13D09" w:rsidP="00A13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UU ITE 2008 </w:t>
      </w:r>
      <w:proofErr w:type="spellStart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>revisi</w:t>
      </w:r>
      <w:proofErr w:type="spellEnd"/>
      <w:r w:rsidRPr="00A1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2016</w:t>
      </w:r>
    </w:p>
    <w:p w14:paraId="575DF0AB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71A4C" w14:textId="7B8DC77E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UU ITE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(UU ITE)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UU ITE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undang-undang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UU ITE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disahkan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No. 11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3D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2008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direvisi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No. 19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2016.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ITE,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pada tulisan,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electronic data interchange (EDI),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(electronic mail), telegram,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teleks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telecopy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perforasi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diolah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arti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oleh orang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memahaminya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>, dan/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ITE,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Indonesia,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 dan/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merugikan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Indonesia. UU No. 19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2016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No. 11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2008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melanggar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ITE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hukuman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denda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kurungan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penjara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dilarang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UU ITE:</w:t>
      </w:r>
    </w:p>
    <w:p w14:paraId="15BA441C" w14:textId="456EDC4D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CB6EF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Asusila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40CBCB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Judi Online </w:t>
      </w:r>
    </w:p>
    <w:p w14:paraId="2E45364F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Pencemaran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A45756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Pemerasan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Pengancaman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548A30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Bohong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D34158" w14:textId="77777777" w:rsid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Ujaran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Kebencian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8A4EC2" w14:textId="6A35C715" w:rsidR="00A13D09" w:rsidRP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A13D09">
        <w:rPr>
          <w:rFonts w:ascii="Times New Roman" w:hAnsi="Times New Roman" w:cs="Times New Roman"/>
          <w:sz w:val="24"/>
          <w:szCs w:val="24"/>
          <w:lang w:val="en-US"/>
        </w:rPr>
        <w:t>Teror</w:t>
      </w:r>
      <w:proofErr w:type="spellEnd"/>
      <w:r w:rsidRPr="00A13D09">
        <w:rPr>
          <w:rFonts w:ascii="Times New Roman" w:hAnsi="Times New Roman" w:cs="Times New Roman"/>
          <w:sz w:val="24"/>
          <w:szCs w:val="24"/>
          <w:lang w:val="en-US"/>
        </w:rPr>
        <w:t xml:space="preserve"> Online</w:t>
      </w:r>
    </w:p>
    <w:p w14:paraId="4352BBED" w14:textId="77777777" w:rsidR="00A13D09" w:rsidRPr="00A13D09" w:rsidRDefault="00A13D09" w:rsidP="00A13D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3D09" w:rsidRPr="00A1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04C0" w14:textId="77777777" w:rsidR="002D5D94" w:rsidRDefault="002D5D94" w:rsidP="0067081C">
      <w:pPr>
        <w:spacing w:after="0" w:line="240" w:lineRule="auto"/>
      </w:pPr>
      <w:r>
        <w:separator/>
      </w:r>
    </w:p>
  </w:endnote>
  <w:endnote w:type="continuationSeparator" w:id="0">
    <w:p w14:paraId="62C5B6B2" w14:textId="77777777" w:rsidR="002D5D94" w:rsidRDefault="002D5D94" w:rsidP="00670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4FA0" w14:textId="77777777" w:rsidR="002D5D94" w:rsidRDefault="002D5D94" w:rsidP="0067081C">
      <w:pPr>
        <w:spacing w:after="0" w:line="240" w:lineRule="auto"/>
      </w:pPr>
      <w:r>
        <w:separator/>
      </w:r>
    </w:p>
  </w:footnote>
  <w:footnote w:type="continuationSeparator" w:id="0">
    <w:p w14:paraId="6B8B803D" w14:textId="77777777" w:rsidR="002D5D94" w:rsidRDefault="002D5D94" w:rsidP="00670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B94"/>
    <w:multiLevelType w:val="hybridMultilevel"/>
    <w:tmpl w:val="75628D50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1EE6A3D"/>
    <w:multiLevelType w:val="hybridMultilevel"/>
    <w:tmpl w:val="03702F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10AB"/>
    <w:multiLevelType w:val="hybridMultilevel"/>
    <w:tmpl w:val="E62E295E"/>
    <w:lvl w:ilvl="0" w:tplc="6ED08E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3A7D2A"/>
    <w:multiLevelType w:val="hybridMultilevel"/>
    <w:tmpl w:val="1F44D5C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B1971"/>
    <w:multiLevelType w:val="hybridMultilevel"/>
    <w:tmpl w:val="5F0246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0445"/>
    <w:multiLevelType w:val="hybridMultilevel"/>
    <w:tmpl w:val="0E6214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FD688F"/>
    <w:multiLevelType w:val="hybridMultilevel"/>
    <w:tmpl w:val="85162D1C"/>
    <w:lvl w:ilvl="0" w:tplc="6F7E8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7E4"/>
    <w:multiLevelType w:val="hybridMultilevel"/>
    <w:tmpl w:val="94201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A73"/>
    <w:multiLevelType w:val="hybridMultilevel"/>
    <w:tmpl w:val="C7769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D7A21"/>
    <w:multiLevelType w:val="hybridMultilevel"/>
    <w:tmpl w:val="49A6E78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177171"/>
    <w:multiLevelType w:val="hybridMultilevel"/>
    <w:tmpl w:val="942019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5314">
    <w:abstractNumId w:val="6"/>
  </w:num>
  <w:num w:numId="2" w16cid:durableId="1220870942">
    <w:abstractNumId w:val="4"/>
  </w:num>
  <w:num w:numId="3" w16cid:durableId="2008361795">
    <w:abstractNumId w:val="5"/>
  </w:num>
  <w:num w:numId="4" w16cid:durableId="1503470982">
    <w:abstractNumId w:val="2"/>
  </w:num>
  <w:num w:numId="5" w16cid:durableId="1833400738">
    <w:abstractNumId w:val="10"/>
  </w:num>
  <w:num w:numId="6" w16cid:durableId="18707051">
    <w:abstractNumId w:val="3"/>
  </w:num>
  <w:num w:numId="7" w16cid:durableId="1775468535">
    <w:abstractNumId w:val="9"/>
  </w:num>
  <w:num w:numId="8" w16cid:durableId="711226890">
    <w:abstractNumId w:val="7"/>
  </w:num>
  <w:num w:numId="9" w16cid:durableId="1198393880">
    <w:abstractNumId w:val="8"/>
  </w:num>
  <w:num w:numId="10" w16cid:durableId="1059283171">
    <w:abstractNumId w:val="1"/>
  </w:num>
  <w:num w:numId="11" w16cid:durableId="43825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2C5B"/>
    <w:rsid w:val="00094114"/>
    <w:rsid w:val="000A4ECB"/>
    <w:rsid w:val="000A6BA0"/>
    <w:rsid w:val="001305EE"/>
    <w:rsid w:val="00142450"/>
    <w:rsid w:val="00201A95"/>
    <w:rsid w:val="002A41F0"/>
    <w:rsid w:val="002A5BF5"/>
    <w:rsid w:val="002A711D"/>
    <w:rsid w:val="002C4334"/>
    <w:rsid w:val="002D5D94"/>
    <w:rsid w:val="002E636D"/>
    <w:rsid w:val="002F61E2"/>
    <w:rsid w:val="00346EAA"/>
    <w:rsid w:val="00351F85"/>
    <w:rsid w:val="00353C82"/>
    <w:rsid w:val="0039157B"/>
    <w:rsid w:val="003A1402"/>
    <w:rsid w:val="003B3E89"/>
    <w:rsid w:val="003C2AAB"/>
    <w:rsid w:val="003E6985"/>
    <w:rsid w:val="003F71A2"/>
    <w:rsid w:val="00402CFD"/>
    <w:rsid w:val="00411206"/>
    <w:rsid w:val="00413CF3"/>
    <w:rsid w:val="004B6403"/>
    <w:rsid w:val="004D36FD"/>
    <w:rsid w:val="004D53D0"/>
    <w:rsid w:val="005051A4"/>
    <w:rsid w:val="00560EB9"/>
    <w:rsid w:val="00585676"/>
    <w:rsid w:val="005C4D38"/>
    <w:rsid w:val="005E0F45"/>
    <w:rsid w:val="0065095E"/>
    <w:rsid w:val="00652847"/>
    <w:rsid w:val="0067081C"/>
    <w:rsid w:val="00682CAF"/>
    <w:rsid w:val="006C6493"/>
    <w:rsid w:val="00736C0D"/>
    <w:rsid w:val="007456B9"/>
    <w:rsid w:val="00782C5B"/>
    <w:rsid w:val="007E0199"/>
    <w:rsid w:val="007F1EEB"/>
    <w:rsid w:val="00824556"/>
    <w:rsid w:val="00843CB1"/>
    <w:rsid w:val="008A3D7E"/>
    <w:rsid w:val="009130BC"/>
    <w:rsid w:val="00920F15"/>
    <w:rsid w:val="00936ECA"/>
    <w:rsid w:val="009633BB"/>
    <w:rsid w:val="009810F8"/>
    <w:rsid w:val="00A10127"/>
    <w:rsid w:val="00A11002"/>
    <w:rsid w:val="00A13810"/>
    <w:rsid w:val="00A13D09"/>
    <w:rsid w:val="00AB1F1F"/>
    <w:rsid w:val="00AE5AE6"/>
    <w:rsid w:val="00B40219"/>
    <w:rsid w:val="00BB64E6"/>
    <w:rsid w:val="00BF6911"/>
    <w:rsid w:val="00C351DE"/>
    <w:rsid w:val="00CB0E8D"/>
    <w:rsid w:val="00CD5C3F"/>
    <w:rsid w:val="00CE0188"/>
    <w:rsid w:val="00CF05C5"/>
    <w:rsid w:val="00CF28E5"/>
    <w:rsid w:val="00D12013"/>
    <w:rsid w:val="00D158B0"/>
    <w:rsid w:val="00D36C99"/>
    <w:rsid w:val="00D374AA"/>
    <w:rsid w:val="00DD701A"/>
    <w:rsid w:val="00DE6908"/>
    <w:rsid w:val="00E728B3"/>
    <w:rsid w:val="00EA5A0C"/>
    <w:rsid w:val="00EC74B0"/>
    <w:rsid w:val="00F031F6"/>
    <w:rsid w:val="00F115C8"/>
    <w:rsid w:val="00F13BF7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B2C09"/>
  <w15:chartTrackingRefBased/>
  <w15:docId w15:val="{16269469-B807-4799-93FF-47A530B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81C"/>
  </w:style>
  <w:style w:type="paragraph" w:styleId="Footer">
    <w:name w:val="footer"/>
    <w:basedOn w:val="Normal"/>
    <w:link w:val="FooterChar"/>
    <w:uiPriority w:val="99"/>
    <w:unhideWhenUsed/>
    <w:rsid w:val="00670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81C"/>
  </w:style>
  <w:style w:type="paragraph" w:customStyle="1" w:styleId="Standard">
    <w:name w:val="Standard"/>
    <w:rsid w:val="0067081C"/>
    <w:pPr>
      <w:suppressAutoHyphens/>
      <w:autoSpaceDN w:val="0"/>
      <w:spacing w:after="0" w:line="240" w:lineRule="auto"/>
      <w:jc w:val="both"/>
    </w:pPr>
    <w:rPr>
      <w:rFonts w:ascii="Liberation Serif" w:eastAsia="DejaVu Sans" w:hAnsi="Liberation Serif" w:cs="DejaVu Sans"/>
      <w:kern w:val="3"/>
      <w:sz w:val="24"/>
      <w:szCs w:val="24"/>
      <w:lang w:val="en-US" w:eastAsia="zh-CN" w:bidi="hi-IN"/>
    </w:rPr>
  </w:style>
  <w:style w:type="character" w:customStyle="1" w:styleId="selectable-text">
    <w:name w:val="selectable-text"/>
    <w:basedOn w:val="DefaultParagraphFont"/>
    <w:rsid w:val="00CD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6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septian</dc:creator>
  <cp:keywords/>
  <dc:description/>
  <cp:lastModifiedBy>andre septian</cp:lastModifiedBy>
  <cp:revision>30</cp:revision>
  <dcterms:created xsi:type="dcterms:W3CDTF">2023-02-21T10:07:00Z</dcterms:created>
  <dcterms:modified xsi:type="dcterms:W3CDTF">2023-06-09T15:43:00Z</dcterms:modified>
</cp:coreProperties>
</file>