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Умный</w:t>
      </w:r>
      <w:r>
        <w:t xml:space="preserve"> </w:t>
      </w:r>
      <w:r>
        <w:t xml:space="preserve">кредитный</w:t>
      </w:r>
      <w:r>
        <w:t xml:space="preserve"> </w:t>
      </w:r>
      <w:r>
        <w:t xml:space="preserve">кабинет</w:t>
      </w:r>
      <w:r>
        <w:t xml:space="preserve"> </w:t>
      </w:r>
      <w:r>
        <w:t xml:space="preserve">предпринимателя: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и</w:t>
      </w:r>
      <w:r>
        <w:t xml:space="preserve"> </w:t>
      </w:r>
      <w:r>
        <w:t xml:space="preserve">модель</w:t>
      </w:r>
      <w:r>
        <w:t xml:space="preserve"> </w:t>
      </w:r>
      <w:r>
        <w:t xml:space="preserve">процесса</w:t>
      </w:r>
      <w:r>
        <w:t xml:space="preserve"> </w:t>
      </w:r>
      <w:r>
        <w:t xml:space="preserve">(MVP)</w:t>
      </w:r>
    </w:p>
    <w:p>
      <w:pPr>
        <w:pStyle w:val="Subtitle"/>
      </w:pPr>
      <w:r>
        <w:t xml:space="preserve">Хакатон</w:t>
      </w:r>
      <w:r>
        <w:t xml:space="preserve"> </w:t>
      </w:r>
      <w:r>
        <w:t xml:space="preserve">«Альфа</w:t>
      </w:r>
      <w:r>
        <w:t xml:space="preserve"> </w:t>
      </w:r>
      <w:r>
        <w:t xml:space="preserve">Будущее»,</w:t>
      </w:r>
      <w:r>
        <w:t xml:space="preserve"> </w:t>
      </w:r>
      <w:r>
        <w:t xml:space="preserve">кейс</w:t>
      </w:r>
      <w:r>
        <w:t xml:space="preserve"> </w:t>
      </w:r>
      <w:r>
        <w:t xml:space="preserve">Альфа-Банка.</w:t>
      </w:r>
      <w:r>
        <w:t xml:space="preserve"> </w:t>
      </w:r>
      <w:r>
        <w:t xml:space="preserve">Версия</w:t>
      </w:r>
      <w:r>
        <w:t xml:space="preserve"> </w:t>
      </w:r>
      <w:r>
        <w:t xml:space="preserve">от</w:t>
      </w:r>
      <w:r>
        <w:t xml:space="preserve"> </w:t>
      </w:r>
      <w:r>
        <w:t xml:space="preserve">23.10.2026</w:t>
      </w:r>
    </w:p>
    <w:bookmarkStart w:id="20" w:name="как-читать-документ"/>
    <w:p>
      <w:pPr>
        <w:pStyle w:val="Heading1"/>
      </w:pPr>
      <w:r>
        <w:t xml:space="preserve">0. Как читать документ</w:t>
      </w:r>
    </w:p>
    <w:p>
      <w:pPr>
        <w:pStyle w:val="FirstParagraph"/>
      </w:pPr>
      <w:r>
        <w:t xml:space="preserve">Чтобы не смешивать факты и проектные решения, каждое утверждение помечено: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[Факт]</w:t>
      </w:r>
      <w:r>
        <w:t xml:space="preserve">: взято из кейса или найдено в источнике (ссылки в разделе 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: найдено у агрегатора или в пересказе. Перед использованием в питче нужно проверить на первоисточнике.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[Гипотеза]</w:t>
      </w:r>
      <w:r>
        <w:t xml:space="preserve">: предположение, которое нужно проверить интервью (CustDev). Это не результат исследования.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[Решение MVP]</w:t>
      </w:r>
      <w:r>
        <w:t xml:space="preserve">: наше проектное решение. Это не факт о рынке. Все числа в таких пунктах являются настраиваемыми параметрами на синтетических данных и не откалиброваны на реальном портфеле.</w:t>
      </w:r>
    </w:p>
    <w:p>
      <w:pPr>
        <w:pStyle w:val="FirstParagraph"/>
      </w:pPr>
      <w:r>
        <w:t xml:space="preserve">Важно: интервью с реальными предпринимателями в рамках этой подготовки не проводились. Раздел 2 содержит гипотезы и гайд интервью, а не результаты опроса.</w:t>
      </w:r>
    </w:p>
    <w:bookmarkEnd w:id="20"/>
    <w:bookmarkStart w:id="26" w:name="проверенные-факты"/>
    <w:p>
      <w:pPr>
        <w:pStyle w:val="Heading1"/>
      </w:pPr>
      <w:r>
        <w:t xml:space="preserve">1. Проверенные факты</w:t>
      </w:r>
    </w:p>
    <w:bookmarkStart w:id="21" w:name="из-текста-кейса"/>
    <w:p>
      <w:pPr>
        <w:pStyle w:val="Heading2"/>
      </w:pPr>
      <w:r>
        <w:t xml:space="preserve">1.1. Из текста кейса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На 10.07.2026 в Едином реестре МСП 6,6 млн компаний и ИП, на 3,5% больше, чем годом ранее.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Целевые пользователи: собственник, генеральный директор, финансовый директор или бухгалтер, сотрудник, отвечающий за финансирование, сотрудник, работающий с банковскими продуктами, иной уполномоченный сотрудник. Пользователь может не обладать банковской экспертизой.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Ограничения кейса: синтетические данные, моки внешних сервисов, весь сценарий внутри продукта (без почты, SMS, звонков), веб-интерфейс, LLM только с открытыми весами, без платных API, Docker, OpenAPI, диаграмма состояний, модель данных, тестовые сценарии, THIRD_PARTY_NOTICES.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Кейс прямо различает скоринг и кредитное решение. Итог может быть не бинарным: одобрение, одобрение на иных условиях, другой продукт, запрос дополнительной информации, отказ.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Противоречие в цифрах кейса, нужно уточнить у организаторов.</w:t>
      </w:r>
      <w:r>
        <w:t xml:space="preserve"> </w:t>
      </w:r>
      <w:r>
        <w:t xml:space="preserve">В кейсе: «по состоянию на июль 2026 года банки выдали МСП 1,313 трлн рублей». По бюллетеню Банка России, за январь–апрель 2026 выдано 4,2 трлн руб., на 6,4% меньше, чем годом ранее. Значит, 1,313 трлн скорее относится к одному месяцу, а не к периоду «с начала года». Без уточнения периода эту цифру в презентации лучше не использовать. Также неясно, что значит «совокупный объем выдач превысил 1 трлн» у Альфа-Банка в октябре 2025 (за месяц или накопленным итогом).</w:t>
      </w:r>
    </w:p>
    <w:bookmarkEnd w:id="21"/>
    <w:bookmarkStart w:id="22" w:name="рынок-мсп-кредитования"/>
    <w:p>
      <w:pPr>
        <w:pStyle w:val="Heading2"/>
      </w:pPr>
      <w:r>
        <w:t xml:space="preserve">1.2. Рынок МСП-кредитования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Банк России: за январь–апрель 2026 субъектам МСП выдано 4,2 трлн руб., на 6,4% меньше, чем годом ранее.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НКР (обзор МСП, июль 2026): на 1 мая 2026 каждый шестой субъект МСП с кредитом находился в просрочке. Доля просроченной задолженности 4,2%, к концу года может достичь 5%. Прирост портфеля МСП по итогам 2026 ожидается лишь 4–5%, льготные программы растут быстрее рыночных.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«Эксперт»: средневзвешенная ставка по «длинным» кредитам МСП в марте 2026 составила 16,5% против 20,6% годом ранее.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Господдержка: с июля 2026 заявлена программа кредитов на текущие расходы по ставке, равной ключевой, лимит 150 млрд руб. (операторы: банки и Корпорация МСП). Механизм «зонтичных» поручительств покрывает до 50% суммы кредита. Проверить на сайтах МСП.РФ и Минэкономразвития.</w:t>
      </w:r>
    </w:p>
    <w:p>
      <w:pPr>
        <w:pStyle w:val="FirstParagraph"/>
      </w:pPr>
      <w:r>
        <w:rPr>
          <w:bCs/>
          <w:b/>
        </w:rPr>
        <w:t xml:space="preserve">Что это значит для продукта.</w:t>
      </w:r>
      <w:r>
        <w:t xml:space="preserve"> </w:t>
      </w:r>
      <w:r>
        <w:t xml:space="preserve">Банки сейчас осторожнее относятся к качеству МСП-портфеля, а часть клиентов идёт в льготные программы. Поэтому продукту нужны: (а) прозрачные причины и условия, (б) возможность предлагать иные условия вместо отказа, (в) учёт признака господдержки как свойства продукта.</w:t>
      </w:r>
    </w:p>
    <w:bookmarkEnd w:id="22"/>
    <w:bookmarkStart w:id="23" w:name="боли-клиентов-подтверждённые-источниками"/>
    <w:p>
      <w:pPr>
        <w:pStyle w:val="Heading2"/>
      </w:pPr>
      <w:r>
        <w:t xml:space="preserve">1.3. Боли клиентов, подтверждённые источниками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[Вторичный источник, 2023]</w:t>
      </w:r>
      <w:r>
        <w:t xml:space="preserve"> </w:t>
      </w:r>
      <w:r>
        <w:t xml:space="preserve">Глава Корпорации МСП (Ведомости, 27.06.2023): 50% и более заявок МСП отклоняются, в отдельных отраслях до 70%. Названы причины: срок ведения бизнеса (охотнее одобряют компании старше полугода), финансовое состояние, долговая нагрузка, налоговая задолженность. Данные старые, использовать как контекст.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[Вторичный источник, дата не подтверждена]</w:t>
      </w:r>
      <w:r>
        <w:t xml:space="preserve"> </w:t>
      </w:r>
      <w:r>
        <w:t xml:space="preserve">Опрос «Опоры России» (индекс RSBI): число отказов выросло с 47 до 65%. Дату и методику проверить перед использованием.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Банки не раскрывают исчерпывающий перечень причин отказа (иначе, по словам представителя Корпорации МСП, это помогало бы мошенникам). Для клиента отказ часто выглядит как «чёрный ящик».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Предпринимателям советуют до подачи проверить налоговую задолженность и просрочки, не подавать недостоверные документы: их проверит служба безопасности.</w:t>
      </w:r>
    </w:p>
    <w:p>
      <w:pPr>
        <w:pStyle w:val="FirstParagraph"/>
      </w:pPr>
      <w:r>
        <w:rPr>
          <w:bCs/>
          <w:b/>
        </w:rPr>
        <w:t xml:space="preserve">Вывод [Решение MVP].</w:t>
      </w:r>
      <w:r>
        <w:t xml:space="preserve"> </w:t>
      </w:r>
      <w:r>
        <w:t xml:space="preserve">Ценность кабинета для клиента: (1) предварительная самопроверка по самым частым причинам отказа до подачи, (2) объяснимый результат в категориях причин без раскрытия внутренних порогов, (3) всегда следующий шаг (доп. данные, другая сумма, другой срок, другой продукт).</w:t>
      </w:r>
    </w:p>
    <w:bookmarkEnd w:id="23"/>
    <w:bookmarkStart w:id="24" w:name="X4c616d053e5df7e64f0d424d278032efc0cb015"/>
    <w:p>
      <w:pPr>
        <w:pStyle w:val="Heading2"/>
      </w:pPr>
      <w:r>
        <w:t xml:space="preserve">1.4. Продуктовая линейка Альфа-Банка (ориентир для каталога)</w:t>
      </w:r>
    </w:p>
    <w:p>
      <w:pPr>
        <w:pStyle w:val="FirstParagraph"/>
      </w:pPr>
      <w:r>
        <w:t xml:space="preserve">Данные взяты с сайта банка (в части сниппетов) и агрегаторов. Цифры у разных источников расходятся, поэтому</w:t>
      </w:r>
      <w:r>
        <w:t xml:space="preserve"> </w:t>
      </w:r>
      <w:r>
        <w:rPr>
          <w:bCs/>
          <w:b/>
        </w:rPr>
        <w:t xml:space="preserve">в каталог MVP точные ставки не копируем</w:t>
      </w:r>
      <w:r>
        <w:t xml:space="preserve">: используем типы продуктов и порядок параметров, а каталог помечаем как синтетический.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[Факт, сайт банка]</w:t>
      </w:r>
      <w:r>
        <w:t xml:space="preserve"> </w:t>
      </w:r>
      <w:r>
        <w:t xml:space="preserve">Для ООО: кредит одной суммой без залога и с залогом; кредитные линии (возобновляемая и невозобновляемая) с залогом, до 60 млн руб., срок 60 мес. Нужен хотя бы один поручитель, физлицо, являющееся собственником бизнеса. В кредите с залогом необеспеченная часть до 50% суммы. Ставка «от 14%» при подключении Защиты бизнеса и Подписки.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Овердрафт (ориентир: до 20 млн руб., 12 мес.), кредит на развитие без залога (ориентир: до 30 млн руб.), кредит с обеспечением (ориентир: до 150 млн руб., срок до 10 лет). Минимальный срок ведения бизнеса 9 мес. (у одного продукта 6 мес.). Заявлено «решение до 2 дней», у «быстрого» кредита «экспресс-решение за 5 минут».</w:t>
      </w:r>
    </w:p>
    <w:bookmarkEnd w:id="24"/>
    <w:bookmarkStart w:id="25" w:name="регуляторика-которая-влияет-на-модель"/>
    <w:p>
      <w:pPr>
        <w:pStyle w:val="Heading2"/>
      </w:pPr>
      <w:r>
        <w:t xml:space="preserve">1.5. Регуляторика, которая влияет на модель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218-ФЗ «О кредитных историях», ст. 6: кредитный отчёт нельзя запросить без согласия субъекта. По разъяснению Банка России, согласие действует 6 месяцев со дня оформления, а если в этот срок заключён кредитный договор, лизинг, залог или поручительство, согласие сохраняет силу весь срок. Согласие должно содержать цель запроса и конкретное БКИ.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[Факт]</w:t>
      </w:r>
      <w:r>
        <w:t xml:space="preserve"> </w:t>
      </w:r>
      <w:r>
        <w:t xml:space="preserve">Положение Банка России № 590-П: резерв и категория качества ссуды определяются по финансовому положению заёмщика и качеству обслуживания долга. В информационных письмах ЦБ как контрольный показатель упоминается «Долг / (EBIT + амортизация)».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[Вторичный источник]</w:t>
      </w:r>
      <w:r>
        <w:t xml:space="preserve"> </w:t>
      </w:r>
      <w:r>
        <w:t xml:space="preserve">ЕГРЮЛ: адрес, учредители, виды деятельности, статус ликвидации или реорганизации. Сервис ФНС «Прозрачный бизнес»: среднесписочная численность, уплаченные налоги, недоимка, доходы и расходы, сведения об ИП из ЕГРИП и реестра МСП.</w:t>
      </w:r>
    </w:p>
    <w:p>
      <w:pPr>
        <w:pStyle w:val="FirstParagraph"/>
      </w:pPr>
      <w:r>
        <w:rPr>
          <w:bCs/>
          <w:b/>
        </w:rPr>
        <w:t xml:space="preserve">Что это значит для модели [Решение MVP].</w:t>
      </w:r>
      <w:r>
        <w:t xml:space="preserve"> </w:t>
      </w:r>
      <w:r>
        <w:t xml:space="preserve">Отдельный шаг «Согласие на запрос БКИ» с датой, сроком действия и привязкой к версии заявки. Запрос к моку БКИ технически невозможен без активного согласия. Входы скоринга включают показатель долговой нагрузки по аналогии с «Долг/EBITDA». Банк работает не только с оценкой, но и с решением по продукту.</w:t>
      </w:r>
    </w:p>
    <w:bookmarkEnd w:id="25"/>
    <w:bookmarkEnd w:id="26"/>
    <w:bookmarkStart w:id="29" w:name="пользователи-гипотезы-и-план-custdev"/>
    <w:p>
      <w:pPr>
        <w:pStyle w:val="Heading1"/>
      </w:pPr>
      <w:r>
        <w:t xml:space="preserve">2. Пользователи: гипотезы и план CustDev</w:t>
      </w:r>
    </w:p>
    <w:p>
      <w:pPr>
        <w:pStyle w:val="FirstParagraph"/>
      </w:pPr>
      <w:r>
        <w:t xml:space="preserve">Всё в этом разделе [Гипотеза], пока не проверено интервью.</w:t>
      </w:r>
    </w:p>
    <w:bookmarkStart w:id="27" w:name="X9b2a4ad169c5239b576929b6e62619607d2a66a"/>
    <w:p>
      <w:pPr>
        <w:pStyle w:val="Heading2"/>
      </w:pPr>
      <w:r>
        <w:t xml:space="preserve">2.1. Работы, которые пользователь нанимает кабинет (JTBD)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Ситуация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Хочу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Чтобы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J1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Возник кассовый разрыв или нужно купить оборудование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Понять, какой продукт мне подходит и сколько реально дадут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 тратить время на заявку, которую не одобрят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J2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Я не финансист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Заполнить заявку без банковских терминов, не вводя одно и то же дважды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ошибиться и не бросить на полпути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J3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Заявка подана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Видеть статус и следующий шаг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Планировать платежи и не звонить в банк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J4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Пришёл отказ или другие условия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Понять, что можно изменить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Подать снова или принять встречное предложение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J5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Заявку готовит бухгалтер, решает директор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Передать заявку и согласовать условия внутри компании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 терять контекст между людьми</w:t>
            </w:r>
          </w:p>
        </w:tc>
      </w:tr>
    </w:tbl>
    <w:p>
      <w:pPr>
        <w:pStyle w:val="BodyText"/>
      </w:pPr>
      <w:r>
        <w:t xml:space="preserve">По стороне банка: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Роль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Хочу</w:t>
            </w:r>
          </w:p>
        </w:tc>
        <w:tc>
          <w:tcPr>
            <w:tcW w:type="dxa" w:w="2466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Чтобы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B1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Кредитный аналитик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Видеть заявку, результаты проверок и скоринг на одном экране, с разбивкой по факторам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Быстро принимать решение по нестандартным случаям</w:t>
            </w:r>
          </w:p>
        </w:tc>
      </w:tr>
      <w:tr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B2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Руководитель кредитного процесса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Видеть очередь, этапы, время на этапах, причины отказов</w:t>
            </w:r>
          </w:p>
        </w:tc>
        <w:tc>
          <w:tcPr>
            <w:tcW w:type="dxa" w:w="246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Управлять процессом и находить узкие места</w:t>
            </w:r>
          </w:p>
        </w:tc>
      </w:tr>
    </w:tbl>
    <w:bookmarkEnd w:id="27"/>
    <w:bookmarkStart w:id="28" w:name="гайд-интервью-30-минут-58-респондентов"/>
    <w:p>
      <w:pPr>
        <w:pStyle w:val="Heading2"/>
      </w:pPr>
      <w:r>
        <w:t xml:space="preserve">2.2. Гайд интервью (30 минут, 5–8 респондентов)</w:t>
      </w:r>
    </w:p>
    <w:p>
      <w:pPr>
        <w:pStyle w:val="FirstParagraph"/>
      </w:pPr>
      <w:r>
        <w:t xml:space="preserve">Рекрутинг: собственники ИП и малых ООО, главбухи и финансисты малого бизнеса, у кого был опыт кредита или отказа за последние 2 года. Минимум по одному респонденту на каждый тип роли из кейса.</w:t>
      </w:r>
    </w:p>
    <w:p>
      <w:pPr>
        <w:numPr>
          <w:ilvl w:val="0"/>
          <w:numId w:val="1007"/>
        </w:numPr>
        <w:pStyle w:val="Compact"/>
      </w:pPr>
      <w:r>
        <w:t xml:space="preserve">Расскажите про последний раз, когда вам понадобилось внешнее финансирование. С чего всё началось?</w:t>
      </w:r>
    </w:p>
    <w:p>
      <w:pPr>
        <w:numPr>
          <w:ilvl w:val="0"/>
          <w:numId w:val="1007"/>
        </w:numPr>
        <w:pStyle w:val="Compact"/>
      </w:pPr>
      <w:r>
        <w:t xml:space="preserve">Как вы выбирали продукт и банк? Что искали, где?</w:t>
      </w:r>
    </w:p>
    <w:p>
      <w:pPr>
        <w:numPr>
          <w:ilvl w:val="0"/>
          <w:numId w:val="1007"/>
        </w:numPr>
        <w:pStyle w:val="Compact"/>
      </w:pPr>
      <w:r>
        <w:t xml:space="preserve">Какие документы и данные пришлось собирать? Что вводили повторно?</w:t>
      </w:r>
    </w:p>
    <w:p>
      <w:pPr>
        <w:numPr>
          <w:ilvl w:val="0"/>
          <w:numId w:val="1007"/>
        </w:numPr>
        <w:pStyle w:val="Compact"/>
      </w:pPr>
      <w:r>
        <w:t xml:space="preserve">Сколько времени прошло от решения подать заявку до ответа? Где ждали дольше всего?</w:t>
      </w:r>
    </w:p>
    <w:p>
      <w:pPr>
        <w:numPr>
          <w:ilvl w:val="0"/>
          <w:numId w:val="1007"/>
        </w:numPr>
        <w:pStyle w:val="Compact"/>
      </w:pPr>
      <w:r>
        <w:t xml:space="preserve">Что было непонятно по ходу процесса?</w:t>
      </w:r>
    </w:p>
    <w:p>
      <w:pPr>
        <w:numPr>
          <w:ilvl w:val="0"/>
          <w:numId w:val="1007"/>
        </w:numPr>
        <w:pStyle w:val="Compact"/>
      </w:pPr>
      <w:r>
        <w:t xml:space="preserve">Если был отказ или другие условия: как вы об этом узнали? Что сделали дальше?</w:t>
      </w:r>
    </w:p>
    <w:p>
      <w:pPr>
        <w:numPr>
          <w:ilvl w:val="0"/>
          <w:numId w:val="1007"/>
        </w:numPr>
        <w:pStyle w:val="Compact"/>
      </w:pPr>
      <w:r>
        <w:t xml:space="preserve">Кто в компании принимал решение, кто заполнял заявку?</w:t>
      </w:r>
    </w:p>
    <w:p>
      <w:pPr>
        <w:numPr>
          <w:ilvl w:val="0"/>
          <w:numId w:val="1007"/>
        </w:numPr>
        <w:pStyle w:val="Compact"/>
      </w:pPr>
      <w:r>
        <w:t xml:space="preserve">Что вас точно отпугнуло бы в кабинете?</w:t>
      </w:r>
    </w:p>
    <w:p>
      <w:pPr>
        <w:pStyle w:val="FirstParagraph"/>
      </w:pPr>
      <w:r>
        <w:t xml:space="preserve">Фиксировать: цитаты, число шагов и повторных вводов, сроки, кто участвует. Результат: карта пути (user journey) и приоритизация MoSCoW или ICE по каждой боли.</w:t>
      </w:r>
    </w:p>
    <w:bookmarkEnd w:id="28"/>
    <w:bookmarkEnd w:id="29"/>
    <w:bookmarkStart w:id="32" w:name="границы-процесса-и-состав-mvp"/>
    <w:p>
      <w:pPr>
        <w:pStyle w:val="Heading1"/>
      </w:pPr>
      <w:r>
        <w:t xml:space="preserve">3. Границы процесса и состав MVP</w:t>
      </w:r>
    </w:p>
    <w:bookmarkStart w:id="30" w:name="участники"/>
    <w:p>
      <w:pPr>
        <w:pStyle w:val="Heading2"/>
      </w:pPr>
      <w:r>
        <w:t xml:space="preserve">3.1. Участники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Роль</w:t>
            </w:r>
          </w:p>
        </w:tc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Что делает в MVP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 (представитель компании)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Подбирает продукт, заполняет заявку, даёт согласия, отвечает на запрос доп. данных, принимает или отклоняет предложение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Кредитный аналитик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Разбирает заявки серой зоны, запрашивает доп. данные, принимает решение, формирует встречное предложение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Валидация, обогащение из моков, скоринг, применение кредитных правил, смена статусов, журнал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Администратор (минимально)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Настройка каталога продуктов и параметров скоринга</w:t>
            </w:r>
          </w:p>
        </w:tc>
      </w:tr>
    </w:tbl>
    <w:bookmarkEnd w:id="30"/>
    <w:bookmarkStart w:id="31" w:name="что-входит-и-что-нет-moscow-решение-mvp"/>
    <w:p>
      <w:pPr>
        <w:pStyle w:val="Heading2"/>
      </w:pPr>
      <w:r>
        <w:t xml:space="preserve">3.2. Что входит и что нет (MoSCoW) [Решение MVP]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Приоритет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Функция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Почему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Подбор продукта по цели, сумме, сроку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Критерий кейса: клиент может выбрать продукт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Профиль компании с автозаполнением по ИНН из мока ЕГРЮЛ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Сокращает повторный ввод (цель кейса)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Заявка, согласия, отправка, неизменяемый снимок данных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Сквозной путь и аудит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Приём и проверка полноты и корректности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Прямо описано в кейсе (стр. 13)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Обогащение: мок ФНС и «Прозрачный бизнес», мок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Прямо описано в кейсе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Скоринг и кредитное решение (одобрить, на иных условиях, доп. информация, отказ)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Критерий кейса, итог не бинарен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Кабинет аналитика с очередью и ручным решением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Обработка со стороны банка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Статусы заявки в реальном времени, история изменений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Прозрачность для клиента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Принятие предложения, мок подписания, мок выдачи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Допускается моделировать (стр. 11)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Предварительная самопроверка до подачи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Отвечает на главную боль «отказ как чёрный ящик»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Приглашение коллеги и роли внутри компании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Закрывает J5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Загрузка документов (без распознавания)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Запрос доп. данных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Could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Объяснение решения простым языком через LLM с открытыми весами, детерминированный текст как запасной вариант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ИИ только там, где даёт ценность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Could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Распознавание документов (открытый OCR)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Дополнительная ценность, не основной сценарий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Won’t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Реальные интеграции, реальное подписание и выдача, мобильное приложение, платные API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Запрещено или не нужно для проверки</w:t>
            </w:r>
          </w:p>
        </w:tc>
      </w:tr>
    </w:tbl>
    <w:bookmarkEnd w:id="31"/>
    <w:bookmarkEnd w:id="32"/>
    <w:bookmarkStart w:id="33" w:name="модель-сквозного-процесса"/>
    <w:p>
      <w:pPr>
        <w:pStyle w:val="Heading1"/>
      </w:pPr>
      <w:r>
        <w:t xml:space="preserve">4. Модель сквозного процесса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Этап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Вход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Действие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Выход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 Подбор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Цель, сумма, срок, наличие залога и поручителя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Мастер подбирает 1–3 продукта и объясняет, почему они подходят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Выбранный продукт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Профиль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Клиент, 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ИНН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Автозаполнение из мока ЕГРЮЛ/ЕГРИП, клиент подтверждает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Данные компании, проверка полномочий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3. Заявка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Параметры, финпоказатели, действующие обязательства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Заполнение, черновик сохраняется автоматически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Черновик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Согласия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Тексты согласий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Согласие на обработку ПД и на запрос БКИ (с датой и сроком действия)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Записи согласий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 Отправка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Полная заявка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Фиксация снимка данных, присвоение номера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Статус «Отправлена»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6. Приём и проверка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Снимок заявки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Полнота, формат, соответствие лимитам продукта, минимальный срок бизнеса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Прошла или запрос исправлений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7. Обогащение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ИНН, согласие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Вызов моков ФНС и БКИ, сохранение ответов с источником и временем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Профиль проверок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8. Скоринг и решение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Данные заявки и проверки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Балльная оценка, затем кредитные правила продукта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Авто-одобрение, авто-отказ, ручной разбор, запрос доп. информации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9. Ручной разбор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Аналитик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Карточка заявки с факторами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Решение, комментарий, изменение условий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Одобрено, на иных условиях, нужна информация, отказ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10. Результат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Решение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Предложение или причина в понятных категориях, или запрос данных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Принять, отклонить, дополнить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11. Оформление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Клиент, 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Принятое предложение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подписания, мок выдачи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«Выдан»</w:t>
            </w:r>
          </w:p>
        </w:tc>
      </w:tr>
    </w:tbl>
    <w:bookmarkEnd w:id="33"/>
    <w:bookmarkStart w:id="36" w:name="диаграмма-состояний-заявки"/>
    <w:p>
      <w:pPr>
        <w:pStyle w:val="Heading1"/>
      </w:pPr>
      <w:r>
        <w:t xml:space="preserve">5. Диаграмма состояний заявки</w:t>
      </w:r>
    </w:p>
    <w:bookmarkStart w:id="34" w:name="статусы-и-переходы-решение-mvp"/>
    <w:p>
      <w:pPr>
        <w:pStyle w:val="Heading2"/>
      </w:pPr>
      <w:r>
        <w:t xml:space="preserve">5.1. Статусы и переходы [Решение MVP]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Из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В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Событие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1973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Условие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DRAFT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SUBMITTED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Отправка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Все обязательные поля и согласия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SUBMITTED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Автозапуск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NEEDS_CORRECTION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Ошибки данных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Найдены ошибки полноты и корректности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NEEDS_CORRECTION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SUBMITTED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Повторная отправка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Валидация пройдена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Проверки получены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доступен, согласие БКИ активно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Повтор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Ошибка мока, ограниченное число попыток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Недоступность источника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Исчерпаны попытки, передача аналитику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APPROVED_AUTO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Решение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Нет жёстких стопов, оценка выше верхнего порога, сумма в авто-лимите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DECLINED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Решение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Жёсткий стоп или оценка ниже нижнего порога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Серая зона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Оценка между порогами или сумма выше авто-лимита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NEEDS_INFO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Запрос данных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Аналитик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NEEDS_INFO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Ответ клиента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В срок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NEEDS_INFO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EXPIRED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истёк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APPROVED / COUNTEROFFER / DECLINED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Решение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Аналитик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Комментарий обязателен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APPROVED_AUTO, APPROVED, COUNTEROFFER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OFFER_ACCEPTED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Принятие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Предложение не истекло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APPROVED_AUTO, APPROVED, COUNTEROFFER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OFFER_REJECTED, EXPIRED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Отказ или срок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Клиент, 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OFFER_ACCEPTED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SIGNING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Автозапуск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SIGNING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DISBURSED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подписания и выдачи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Система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  <w:tr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DRAFT, NEEDS_CORRECTION, NEEDS_INFO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WITHDRAWN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Отзыв</w:t>
            </w:r>
          </w:p>
        </w:tc>
        <w:tc>
          <w:tcPr>
            <w:tcW w:type="dxa" w:w="197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</w:t>
            </w:r>
          </w:p>
        </w:tc>
        <w:tc>
          <w:tcPr>
            <w:tcW w:type="dxa" w:w="1973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Конечные статусы: DECLINED, OFFER_REJECTED, EXPIRED, WITHDRAWN, DISBURSED. Любой переход пишется в журнал (кто, когда, из какого статуса, основание). Недопустимый переход отклоняется на уровне сервиса, а не интерфейса.</w:t>
      </w:r>
    </w:p>
    <w:bookmarkEnd w:id="34"/>
    <w:bookmarkStart w:id="35" w:name="X5ed9b51d35c62b98ebb0adce7ce034777d49a70"/>
    <w:p>
      <w:pPr>
        <w:pStyle w:val="Heading2"/>
      </w:pPr>
      <w:r>
        <w:t xml:space="preserve">5.2. Код диаграммы (Mermaid, для README и GitHub)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</w:t>
      </w:r>
      <w:r>
        <w:br/>
      </w:r>
      <w:r>
        <w:rPr>
          <w:rStyle w:val="VerbatimChar"/>
        </w:rPr>
        <w:t xml:space="preserve">    DRAFT --&gt; SUBMITTED</w:t>
      </w:r>
      <w:r>
        <w:br/>
      </w:r>
      <w:r>
        <w:rPr>
          <w:rStyle w:val="VerbatimChar"/>
        </w:rPr>
        <w:t xml:space="preserve">    DRAFT --&gt; WITHDRAWN</w:t>
      </w:r>
      <w:r>
        <w:br/>
      </w:r>
      <w:r>
        <w:rPr>
          <w:rStyle w:val="VerbatimChar"/>
        </w:rPr>
        <w:t xml:space="preserve">    SUBMITTED --&gt; VALIDATING</w:t>
      </w:r>
      <w:r>
        <w:br/>
      </w:r>
      <w:r>
        <w:rPr>
          <w:rStyle w:val="VerbatimChar"/>
        </w:rPr>
        <w:t xml:space="preserve">    VALIDATING --&gt; NEEDS_CORRECTION</w:t>
      </w:r>
      <w:r>
        <w:br/>
      </w:r>
      <w:r>
        <w:rPr>
          <w:rStyle w:val="VerbatimChar"/>
        </w:rPr>
        <w:t xml:space="preserve">    NEEDS_CORRECTION --&gt; SUBMITTED</w:t>
      </w:r>
      <w:r>
        <w:br/>
      </w:r>
      <w:r>
        <w:rPr>
          <w:rStyle w:val="VerbatimChar"/>
        </w:rPr>
        <w:t xml:space="preserve">    NEEDS_CORRECTION --&gt; WITHDRAWN</w:t>
      </w:r>
      <w:r>
        <w:br/>
      </w:r>
      <w:r>
        <w:rPr>
          <w:rStyle w:val="VerbatimChar"/>
        </w:rPr>
        <w:t xml:space="preserve">    VALIDATING --&gt; ENRICHING</w:t>
      </w:r>
      <w:r>
        <w:br/>
      </w:r>
      <w:r>
        <w:rPr>
          <w:rStyle w:val="VerbatimChar"/>
        </w:rPr>
        <w:t xml:space="preserve">    ENRICHING --&gt; ENRICHING: retry</w:t>
      </w:r>
      <w:r>
        <w:br/>
      </w:r>
      <w:r>
        <w:rPr>
          <w:rStyle w:val="VerbatimChar"/>
        </w:rPr>
        <w:t xml:space="preserve">    ENRICHING --&gt; SCORING</w:t>
      </w:r>
      <w:r>
        <w:br/>
      </w:r>
      <w:r>
        <w:rPr>
          <w:rStyle w:val="VerbatimChar"/>
        </w:rPr>
        <w:t xml:space="preserve">    ENRICHING --&gt; MANUAL_REVIEW: source unavailable</w:t>
      </w:r>
      <w:r>
        <w:br/>
      </w:r>
      <w:r>
        <w:rPr>
          <w:rStyle w:val="VerbatimChar"/>
        </w:rPr>
        <w:t xml:space="preserve">    SCORING --&gt; APPROVED_AUTO</w:t>
      </w:r>
      <w:r>
        <w:br/>
      </w:r>
      <w:r>
        <w:rPr>
          <w:rStyle w:val="VerbatimChar"/>
        </w:rPr>
        <w:t xml:space="preserve">    SCORING --&gt; DECLINED</w:t>
      </w:r>
      <w:r>
        <w:br/>
      </w:r>
      <w:r>
        <w:rPr>
          <w:rStyle w:val="VerbatimChar"/>
        </w:rPr>
        <w:t xml:space="preserve">    SCORING --&gt; MANUAL_REVIEW</w:t>
      </w:r>
      <w:r>
        <w:br/>
      </w:r>
      <w:r>
        <w:rPr>
          <w:rStyle w:val="VerbatimChar"/>
        </w:rPr>
        <w:t xml:space="preserve">    MANUAL_REVIEW --&gt; NEEDS_INFO</w:t>
      </w:r>
      <w:r>
        <w:br/>
      </w:r>
      <w:r>
        <w:rPr>
          <w:rStyle w:val="VerbatimChar"/>
        </w:rPr>
        <w:t xml:space="preserve">    NEEDS_INFO --&gt; MANUAL_REVIEW</w:t>
      </w:r>
      <w:r>
        <w:br/>
      </w:r>
      <w:r>
        <w:rPr>
          <w:rStyle w:val="VerbatimChar"/>
        </w:rPr>
        <w:t xml:space="preserve">    NEEDS_INFO --&gt; EXPIRED</w:t>
      </w:r>
      <w:r>
        <w:br/>
      </w:r>
      <w:r>
        <w:rPr>
          <w:rStyle w:val="VerbatimChar"/>
        </w:rPr>
        <w:t xml:space="preserve">    NEEDS_INFO --&gt; WITHDRAWN</w:t>
      </w:r>
      <w:r>
        <w:br/>
      </w:r>
      <w:r>
        <w:rPr>
          <w:rStyle w:val="VerbatimChar"/>
        </w:rPr>
        <w:t xml:space="preserve">    MANUAL_REVIEW --&gt; APPROVED</w:t>
      </w:r>
      <w:r>
        <w:br/>
      </w:r>
      <w:r>
        <w:rPr>
          <w:rStyle w:val="VerbatimChar"/>
        </w:rPr>
        <w:t xml:space="preserve">    MANUAL_REVIEW --&gt; COUNTEROFFER</w:t>
      </w:r>
      <w:r>
        <w:br/>
      </w:r>
      <w:r>
        <w:rPr>
          <w:rStyle w:val="VerbatimChar"/>
        </w:rPr>
        <w:t xml:space="preserve">    MANUAL_REVIEW --&gt; DECLINED</w:t>
      </w:r>
      <w:r>
        <w:br/>
      </w:r>
      <w:r>
        <w:rPr>
          <w:rStyle w:val="VerbatimChar"/>
        </w:rPr>
        <w:t xml:space="preserve">    APPROVED_AUTO --&gt; OFFER_ACCEPTED</w:t>
      </w:r>
      <w:r>
        <w:br/>
      </w:r>
      <w:r>
        <w:rPr>
          <w:rStyle w:val="VerbatimChar"/>
        </w:rPr>
        <w:t xml:space="preserve">    APPROVED --&gt; OFFER_ACCEPTED</w:t>
      </w:r>
      <w:r>
        <w:br/>
      </w:r>
      <w:r>
        <w:rPr>
          <w:rStyle w:val="VerbatimChar"/>
        </w:rPr>
        <w:t xml:space="preserve">    COUNTEROFFER --&gt; OFFER_ACCEPTED</w:t>
      </w:r>
      <w:r>
        <w:br/>
      </w:r>
      <w:r>
        <w:rPr>
          <w:rStyle w:val="VerbatimChar"/>
        </w:rPr>
        <w:t xml:space="preserve">    APPROVED_AUTO --&gt; OFFER_REJECTED</w:t>
      </w:r>
      <w:r>
        <w:br/>
      </w:r>
      <w:r>
        <w:rPr>
          <w:rStyle w:val="VerbatimChar"/>
        </w:rPr>
        <w:t xml:space="preserve">    APPROVED --&gt; OFFER_REJECTED</w:t>
      </w:r>
      <w:r>
        <w:br/>
      </w:r>
      <w:r>
        <w:rPr>
          <w:rStyle w:val="VerbatimChar"/>
        </w:rPr>
        <w:t xml:space="preserve">    COUNTEROFFER --&gt; OFFER_REJECTED</w:t>
      </w:r>
      <w:r>
        <w:br/>
      </w:r>
      <w:r>
        <w:rPr>
          <w:rStyle w:val="VerbatimChar"/>
        </w:rPr>
        <w:t xml:space="preserve">    APPROVED_AUTO --&gt; EXPIRED</w:t>
      </w:r>
      <w:r>
        <w:br/>
      </w:r>
      <w:r>
        <w:rPr>
          <w:rStyle w:val="VerbatimChar"/>
        </w:rPr>
        <w:t xml:space="preserve">    APPROVED --&gt; EXPIRED</w:t>
      </w:r>
      <w:r>
        <w:br/>
      </w:r>
      <w:r>
        <w:rPr>
          <w:rStyle w:val="VerbatimChar"/>
        </w:rPr>
        <w:t xml:space="preserve">    COUNTEROFFER --&gt; EXPIRED</w:t>
      </w:r>
      <w:r>
        <w:br/>
      </w:r>
      <w:r>
        <w:rPr>
          <w:rStyle w:val="VerbatimChar"/>
        </w:rPr>
        <w:t xml:space="preserve">    OFFER_ACCEPTED --&gt; SIGNING</w:t>
      </w:r>
      <w:r>
        <w:br/>
      </w:r>
      <w:r>
        <w:rPr>
          <w:rStyle w:val="VerbatimChar"/>
        </w:rPr>
        <w:t xml:space="preserve">    SIGNING --&gt; DISBURSED</w:t>
      </w:r>
      <w:r>
        <w:br/>
      </w:r>
      <w:r>
        <w:rPr>
          <w:rStyle w:val="VerbatimChar"/>
        </w:rPr>
        <w:t xml:space="preserve">    DECLINED --&gt; [*]</w:t>
      </w:r>
      <w:r>
        <w:br/>
      </w:r>
      <w:r>
        <w:rPr>
          <w:rStyle w:val="VerbatimChar"/>
        </w:rPr>
        <w:t xml:space="preserve">    OFFER_REJECTED --&gt; [*]</w:t>
      </w:r>
      <w:r>
        <w:br/>
      </w:r>
      <w:r>
        <w:rPr>
          <w:rStyle w:val="VerbatimChar"/>
        </w:rPr>
        <w:t xml:space="preserve">    EXPIRED --&gt; [*]</w:t>
      </w:r>
      <w:r>
        <w:br/>
      </w:r>
      <w:r>
        <w:rPr>
          <w:rStyle w:val="VerbatimChar"/>
        </w:rPr>
        <w:t xml:space="preserve">    WITHDRAWN --&gt; [*]</w:t>
      </w:r>
      <w:r>
        <w:br/>
      </w:r>
      <w:r>
        <w:rPr>
          <w:rStyle w:val="VerbatimChar"/>
        </w:rPr>
        <w:t xml:space="preserve">    DISBURSED --&gt; [*]</w:t>
      </w:r>
    </w:p>
    <w:bookmarkEnd w:id="35"/>
    <w:bookmarkEnd w:id="36"/>
    <w:bookmarkStart w:id="41" w:name="скоринг-и-кредитное-решение"/>
    <w:p>
      <w:pPr>
        <w:pStyle w:val="Heading1"/>
      </w:pPr>
      <w:r>
        <w:t xml:space="preserve">6. Скоринг и кредитное решение</w:t>
      </w:r>
    </w:p>
    <w:p>
      <w:pPr>
        <w:pStyle w:val="FirstParagraph"/>
      </w:pPr>
      <w:r>
        <w:t xml:space="preserve">Целенаправленно разделены три слоя, как в кейсе: проверки, скоринг, кредитная логика.</w:t>
      </w:r>
    </w:p>
    <w:bookmarkStart w:id="37" w:name="Xac99e6d9894ce1e122d82262e46e49ab7bfdc1b"/>
    <w:p>
      <w:pPr>
        <w:pStyle w:val="Heading2"/>
      </w:pPr>
      <w:r>
        <w:t xml:space="preserve">6.1. Слой 1. Жёсткие стопы (knock-out) [Решение MVP]</w:t>
      </w:r>
    </w:p>
    <w:p>
      <w:pPr>
        <w:pStyle w:val="FirstParagraph"/>
      </w:pPr>
      <w:r>
        <w:t xml:space="preserve">Этот слой отражает самые частые названные причины отказов (раздел 1.3) и требования продуктов (раздел 1.4).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Стоп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Источник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Результат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Компания в процессе ликвидации или реорганизации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ЕГРЮЛ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Отказ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ведения бизнеса меньше минимума продукта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ЕГРЮЛ, каталог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Отказ по этому продукту, предложить другой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Действующая просрочка по БКИ выше порога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Отказ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Отсутствует действующее согласие на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Модель согласий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Запрос невозможен, возврат на этап согласий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Запрашиваемая сумма или срок вне лимитов продукта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Каталог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Ошибка валидации с подсказкой допустимых значений</w:t>
            </w:r>
          </w:p>
        </w:tc>
      </w:tr>
    </w:tbl>
    <w:bookmarkEnd w:id="37"/>
    <w:bookmarkStart w:id="38" w:name="Xd53cf792adb8c3eb09bf7a64c22a2f84e28b547"/>
    <w:p>
      <w:pPr>
        <w:pStyle w:val="Heading2"/>
      </w:pPr>
      <w:r>
        <w:t xml:space="preserve">6.2. Слой 2. Скоринговая карта v0 (балльная, объяснимая) [Решение MVP]</w:t>
      </w:r>
    </w:p>
    <w:p>
      <w:pPr>
        <w:pStyle w:val="FirstParagraph"/>
      </w:pPr>
      <w:r>
        <w:t xml:space="preserve">Балльная модель выбрана потому, что кейс допускает правила и баллы, а аналитик должен видеть вклад каждого фактора. Баллы являются параметрами конфигурации, не результатом калибровки.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Фактор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Источник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Эффект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бизнеса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ЕГРЮЛ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Чем дольше, тем выше балл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Долговая нагрузка: (Долг + запрос) / (EBIT + амортизация)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Анкета,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Основной штрафной фактор по аналогии с контрольным показателем ЦБ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Налоговая недоимка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«Прозрачного бизнеса»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Штраф, при значимой сумме передача на ручной разбор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Динамика выручки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Анкета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Рост добавляет, падение снижает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Платёжная дисциплина (число и срок просрочек за период)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Штраф, масштабируется по давности и размеру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Отношение запроса к годовой выручке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Анкета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Штраф при высоком значении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Наличие обеспечения или поручительства собственника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Анкета, каталог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Добавляет баллы</w:t>
            </w:r>
          </w:p>
        </w:tc>
      </w:tr>
    </w:tbl>
    <w:p>
      <w:pPr>
        <w:pStyle w:val="BodyText"/>
      </w:pPr>
      <w:r>
        <w:t xml:space="preserve">Диапазон оценки 0–100. Три зоны: высокая (авто-одобрение при сумме ниже авто-лимита), серая (ручной разбор), низкая (отказ). Пороги и веса хранятся в конфигурации с версией модели, версия сохраняется вместе с результатом скоринга.</w:t>
      </w:r>
    </w:p>
    <w:bookmarkEnd w:id="38"/>
    <w:bookmarkStart w:id="39" w:name="X69b60c77b5d24e7ef91f073dde4b801a7c735cf"/>
    <w:p>
      <w:pPr>
        <w:pStyle w:val="Heading2"/>
      </w:pPr>
      <w:r>
        <w:t xml:space="preserve">6.3. Слой 3. Кредитная логика продукта [Решение MVP]</w:t>
      </w:r>
    </w:p>
    <w:p>
      <w:pPr>
        <w:pStyle w:val="FirstParagraph"/>
      </w:pPr>
      <w:r>
        <w:t xml:space="preserve">Одинаковая оценка может дать разные условия для разных продуктов. Логика получает на вход оценку, продукт, сумму, срок и стопы и возвращает один из исходов: одобрено, одобрено на иных условиях (меньше сумма, другой срок, требуется поручитель или залог), нужна информация, отказ. Ставка = базовая ставка продукта + надбавка по грейду оценки (параметры синтетические).</w:t>
      </w:r>
    </w:p>
    <w:bookmarkEnd w:id="39"/>
    <w:bookmarkStart w:id="40" w:name="объяснимость"/>
    <w:p>
      <w:pPr>
        <w:pStyle w:val="Heading2"/>
      </w:pPr>
      <w:r>
        <w:t xml:space="preserve">6.4. Объяснимость</w:t>
      </w:r>
    </w:p>
    <w:p>
      <w:pPr>
        <w:pStyle w:val="FirstParagraph"/>
      </w:pPr>
      <w:r>
        <w:t xml:space="preserve">Аналитику показываются вклады факторов. Клиенту показываются категории причин («срок работы бизнеса», «долговая нагрузка», «налоговая задолженность», «платёжная история») и действия («что можно изменить»), без внутренних порогов. Это решает боль «отказ как чёрный ящик» и не раскрывает правила, которые банки обычно не публикуют.</w:t>
      </w:r>
    </w:p>
    <w:bookmarkEnd w:id="40"/>
    <w:bookmarkEnd w:id="41"/>
    <w:bookmarkStart w:id="42" w:name="модель-данных-основные-сущности"/>
    <w:p>
      <w:pPr>
        <w:pStyle w:val="Heading1"/>
      </w:pPr>
      <w:r>
        <w:t xml:space="preserve">7. Модель данных (основные сущности)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Сущность</w:t>
            </w:r>
          </w:p>
        </w:tc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Ключевые поля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User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email (логин в демо), роль (CLIENT, ANALYST, ADMIN)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Company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ИНН, ОГРН, тип (ИП, ООО), название, дата регистрации, ОКВЭД, статус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CompanyMember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user_id, company_id, должность, право оформлять заявки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код, тип, мин. и макс. сумма, мин. и макс. срок, мин. срок бизнеса, требует залог или поручителя, базовая ставка, признак господдержки, версия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номер, company_id, product_id, сумма, срок, цель, статус, версия записи (оптимистичная блокировка)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ApplicationSnapshot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application_id, номер версии, JSON данных на момент отправки, хеш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FinancialIndicators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application_id, период, выручка, расходы, EBIT, амортизация, действующий долг, ежемесячные платежи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Consent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тип (ПД, БКИ), subject, цель, БКИ, дата, срок действия, хеш текста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тип, имя, размер, хеш, загружен кем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ExternalCheck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источник (FNS_MOCK, BKI_MOCK), запрос, ответ, время, признак «смоделировано»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ScoringResult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версия модели, оценка, вклады факторов, зона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тип, условия, коды причин, принял (SYSTEM или user), комментарий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Offer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decision_id, сумма, срок, ставка, действует до, статус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StatusHistory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из, в, событие, актор, время, причина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ReviewTask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id, application_id, назначен, приоритет, срок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Contract, Disbursement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Мок: номер, дата, статус</w:t>
            </w:r>
          </w:p>
        </w:tc>
      </w:tr>
    </w:tbl>
    <w:p>
      <w:pPr>
        <w:pStyle w:val="BodyText"/>
      </w:pPr>
      <w:r>
        <w:t xml:space="preserve">Принципы: внешние ответы и скоринг хранятся как есть (воспроизводимость и аудит), статус меняется только через сервис переходов, повторная отправка команды не создаёт дубль (ключ идемпотентности).</w:t>
      </w:r>
    </w:p>
    <w:bookmarkEnd w:id="42"/>
    <w:bookmarkStart w:id="43" w:name="X998c17c0fb9fad5e0f4d36cff88dc4a00768b8a"/>
    <w:p>
      <w:pPr>
        <w:pStyle w:val="Heading1"/>
      </w:pPr>
      <w:r>
        <w:t xml:space="preserve">8. Архитектурные принципы под критерии «enterprise»</w:t>
      </w:r>
    </w:p>
    <w:p>
      <w:pPr>
        <w:pStyle w:val="FirstParagraph"/>
      </w:pPr>
      <w:r>
        <w:t xml:space="preserve">Всё в этом разделе [Решение MVP], конкретный стек выбирает команда.</w:t>
      </w:r>
    </w:p>
    <w:p>
      <w:pPr>
        <w:numPr>
          <w:ilvl w:val="0"/>
          <w:numId w:val="1008"/>
        </w:numPr>
        <w:pStyle w:val="Compact"/>
      </w:pPr>
      <w:r>
        <w:t xml:space="preserve">Модульный монолит с чёткими границами модулей (клиентский контур, процесс заявки, скоринг, интеграции) и отдельным воркером для асинхронного конвейера. Микросервисы на хакатоне увеличат риск без ценности для проверки, но границы модулей позволяют разделить их позже. Это нужно проговорить в «потенциале развития».</w:t>
      </w:r>
    </w:p>
    <w:p>
      <w:pPr>
        <w:numPr>
          <w:ilvl w:val="0"/>
          <w:numId w:val="1008"/>
        </w:numPr>
        <w:pStyle w:val="Compact"/>
      </w:pPr>
      <w:r>
        <w:t xml:space="preserve">Моки ФНС и БКИ как отдельные контейнеры со своим контрактом (упрощённым), чтобы интеграции можно было заменить.</w:t>
      </w:r>
    </w:p>
    <w:p>
      <w:pPr>
        <w:numPr>
          <w:ilvl w:val="0"/>
          <w:numId w:val="1008"/>
        </w:numPr>
        <w:pStyle w:val="Compact"/>
      </w:pPr>
      <w:r>
        <w:t xml:space="preserve">PostgreSQL, миграции, транзакционный outbox или очередь для событий смены статуса. Обновление статуса клиенту через опрос или SSE.</w:t>
      </w:r>
    </w:p>
    <w:p>
      <w:pPr>
        <w:numPr>
          <w:ilvl w:val="0"/>
          <w:numId w:val="1008"/>
        </w:numPr>
        <w:pStyle w:val="Compact"/>
      </w:pPr>
      <w:r>
        <w:t xml:space="preserve">Docker Compose: один запуск всего стека, healthcheck, lock-файлы зависимостей, версии образов зафиксированы.</w:t>
      </w:r>
    </w:p>
    <w:p>
      <w:pPr>
        <w:numPr>
          <w:ilvl w:val="0"/>
          <w:numId w:val="1008"/>
        </w:numPr>
        <w:pStyle w:val="Compact"/>
      </w:pPr>
      <w:r>
        <w:t xml:space="preserve">Безопасность: хеширование паролей, RBAC на уровне API (клиент видит только свои компании), журнал аудита, секреты через переменные окружения, шифрование чувствительных полей, минимизация данных в логах.</w:t>
      </w:r>
    </w:p>
    <w:p>
      <w:pPr>
        <w:numPr>
          <w:ilvl w:val="0"/>
          <w:numId w:val="1008"/>
        </w:numPr>
        <w:pStyle w:val="Compact"/>
      </w:pPr>
      <w:r>
        <w:t xml:space="preserve">Надёжность: идемпотентность, повтор запросов к моку с ограничением попыток, деградация в ручной разбор при недоступности источника.</w:t>
      </w:r>
    </w:p>
    <w:p>
      <w:pPr>
        <w:numPr>
          <w:ilvl w:val="0"/>
          <w:numId w:val="1008"/>
        </w:numPr>
        <w:pStyle w:val="Compact"/>
      </w:pPr>
      <w:r>
        <w:t xml:space="preserve">OpenAPI/Swagger, коллекция запросов (Postman или Bruno), диаграмма состояний, архитектурная схема, модель данных, THIRD_PARTY_NOTICES с пометкой «смоделировано» для ФНС и БКИ.</w:t>
      </w:r>
    </w:p>
    <w:p>
      <w:pPr>
        <w:numPr>
          <w:ilvl w:val="0"/>
          <w:numId w:val="1008"/>
        </w:numPr>
        <w:pStyle w:val="Compact"/>
      </w:pPr>
      <w:r>
        <w:t xml:space="preserve">ИИ: только open-weight модель, только в пункте «объяснение решения простым языком» или в помощнике подбора продукта, с детерминированным запасным текстом, чтобы основной сценарий не зависел от модели.</w:t>
      </w:r>
    </w:p>
    <w:bookmarkEnd w:id="43"/>
    <w:bookmarkStart w:id="44" w:name="X78223fe7bf174b3f3f40d7b9b50a620ce34de30"/>
    <w:p>
      <w:pPr>
        <w:pStyle w:val="Heading1"/>
      </w:pPr>
      <w:r>
        <w:t xml:space="preserve">9. Тестовые сценарии для сквозной проверки (E2E)</w:t>
      </w:r>
    </w:p>
    <w:p>
      <w:pPr>
        <w:pStyle w:val="FirstParagraph"/>
      </w:pPr>
      <w:r>
        <w:t xml:space="preserve">Для демо нужен набор синтетических компаний с заведомо вымышленными данными и явной пометкой в README.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Сценарий</w:t>
            </w:r>
          </w:p>
        </w:tc>
        <w:tc>
          <w:tcPr>
            <w:tcW w:type="dxa" w:w="3288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Ожидаемый путь статусов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Стабильная компания, небольшая сумма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DRAFT → … → SCORING → APPROVED_AUTO → OFFER_ACCEPTED → SIGNING → DISBURSED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Компания младше минимального срока продукта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… → DECLINED, клиент видит причину и альтернативный продукт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Действующая просрочка в моке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… → DECLINED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Серая зона, крупная сумма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… → MANUAL_REVIEW → COUNTEROFFER → OFFER_ACCEPTED → DISBURSED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T5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Аналитик запрашивает данные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MANUAL_REVIEW → NEEDS_INFO → (ответ) → MANUAL_REVIEW → APPROVED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T6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 отклоняет предложение или предложение истекает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… → OFFER_REJECTED или EXPIRED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T7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Нет согласия на БКИ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Отправка заблокирована, запрос в мок не уходит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T8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Мок ФНС недоступен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ENRICHING (повторы) → MANUAL_REVIEW с пометкой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T9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Двойная отправка, одновременное решение двух аналитиков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Один результат, второй получает конфликт версии</w:t>
            </w:r>
          </w:p>
        </w:tc>
      </w:tr>
      <w:tr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T10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Чужая заявка по прямой ссылке</w:t>
            </w:r>
          </w:p>
        </w:tc>
        <w:tc>
          <w:tcPr>
            <w:tcW w:type="dxa" w:w="328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Отказ доступа (проверка RBAC)</w:t>
            </w:r>
          </w:p>
        </w:tc>
      </w:tr>
    </w:tbl>
    <w:bookmarkEnd w:id="44"/>
    <w:bookmarkStart w:id="45" w:name="соответствие-критериям-кейса"/>
    <w:p>
      <w:pPr>
        <w:pStyle w:val="Heading1"/>
      </w:pPr>
      <w:r>
        <w:t xml:space="preserve">10. Соответствие критериям кейса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W w:w="9865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Критерий</w:t>
            </w:r>
          </w:p>
        </w:tc>
        <w:tc>
          <w:tcPr>
            <w:tcW w:type="dxa" w:w="4932"/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Чем закрываем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Целостность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Один путь от подбора до «Выдан»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Готовность к проверке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 Compose, демо-пользователи, сценарии T1–T10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Качество опыта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Мастер подбора, самопроверка, статусы, объяснимые причины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Согласованность модулей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Одна машина состояний, журнал, снимки данных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Enterprise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Раздел 8</w:t>
            </w:r>
          </w:p>
        </w:tc>
      </w:tr>
      <w:tr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Потенциал развития</w:t>
            </w:r>
          </w:p>
        </w:tc>
        <w:tc>
          <w:tcPr>
            <w:tcW w:type="dxa" w:w="493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Замена моков, калибровка скоринга, переход на сервисы, документооборот</w:t>
            </w:r>
          </w:p>
        </w:tc>
      </w:tr>
    </w:tbl>
    <w:bookmarkEnd w:id="45"/>
    <w:bookmarkStart w:id="46" w:name="открытые-вопросы-и-что-проверить"/>
    <w:p>
      <w:pPr>
        <w:pStyle w:val="Heading1"/>
      </w:pPr>
      <w:r>
        <w:t xml:space="preserve">11. Открытые вопросы и что проверить</w:t>
      </w:r>
    </w:p>
    <w:p>
      <w:pPr>
        <w:numPr>
          <w:ilvl w:val="0"/>
          <w:numId w:val="1009"/>
        </w:numPr>
        <w:pStyle w:val="Compact"/>
      </w:pPr>
      <w:r>
        <w:t xml:space="preserve">Уточнить у организаторов период в цифрах 1,313 трлн и «1 трлн» Альфа-Банка (раздел 1.1).</w:t>
      </w:r>
    </w:p>
    <w:p>
      <w:pPr>
        <w:numPr>
          <w:ilvl w:val="0"/>
          <w:numId w:val="1009"/>
        </w:numPr>
        <w:pStyle w:val="Compact"/>
      </w:pPr>
      <w:r>
        <w:t xml:space="preserve">Проверить условия господдержки на первоисточниках (МСП.РФ, Минэкономразвития).</w:t>
      </w:r>
    </w:p>
    <w:p>
      <w:pPr>
        <w:numPr>
          <w:ilvl w:val="0"/>
          <w:numId w:val="1009"/>
        </w:numPr>
        <w:pStyle w:val="Compact"/>
      </w:pPr>
      <w:r>
        <w:t xml:space="preserve">Проверить условия продуктов Альфа-Банка на самом сайте (агрегаторы расходятся).</w:t>
      </w:r>
    </w:p>
    <w:p>
      <w:pPr>
        <w:numPr>
          <w:ilvl w:val="0"/>
          <w:numId w:val="1009"/>
        </w:numPr>
        <w:pStyle w:val="Compact"/>
      </w:pPr>
      <w:r>
        <w:t xml:space="preserve">Уточнить дату и методику опроса «Опоры России» (RSBI).</w:t>
      </w:r>
    </w:p>
    <w:p>
      <w:pPr>
        <w:numPr>
          <w:ilvl w:val="0"/>
          <w:numId w:val="1009"/>
        </w:numPr>
        <w:pStyle w:val="Compact"/>
      </w:pPr>
      <w:r>
        <w:t xml:space="preserve">В кейсе не указан дедлайн сдачи. Для плана нужно уточнить.</w:t>
      </w:r>
    </w:p>
    <w:p>
      <w:pPr>
        <w:numPr>
          <w:ilvl w:val="0"/>
          <w:numId w:val="1009"/>
        </w:numPr>
        <w:pStyle w:val="Compact"/>
      </w:pPr>
      <w:r>
        <w:t xml:space="preserve">Бенчмарк конкурентов (кредитные кабинеты других банков для МСП) в этой подготовке не проводился. Рекомендуется сделать до интервью.</w:t>
      </w:r>
    </w:p>
    <w:p>
      <w:pPr>
        <w:numPr>
          <w:ilvl w:val="0"/>
          <w:numId w:val="1009"/>
        </w:numPr>
        <w:pStyle w:val="Compact"/>
      </w:pPr>
      <w:r>
        <w:t xml:space="preserve">Провести CustDev (раздел 2.2) и обновить статусы «Гипотеза» на «Факт».</w:t>
      </w:r>
    </w:p>
    <w:bookmarkEnd w:id="46"/>
    <w:bookmarkStart w:id="47" w:name="источники"/>
    <w:p>
      <w:pPr>
        <w:pStyle w:val="Heading1"/>
      </w:pPr>
      <w:r>
        <w:t xml:space="preserve">12. Источники</w:t>
      </w:r>
    </w:p>
    <w:p>
      <w:pPr>
        <w:numPr>
          <w:ilvl w:val="0"/>
          <w:numId w:val="1010"/>
        </w:numPr>
        <w:pStyle w:val="Compact"/>
      </w:pPr>
      <w:r>
        <w:t xml:space="preserve">Кейс «Умный кредитный кабинет предпринимателя», Changellenge &gt;&gt; и Альфа-Банк (загруженный PDF).</w:t>
      </w:r>
    </w:p>
    <w:p>
      <w:pPr>
        <w:numPr>
          <w:ilvl w:val="0"/>
          <w:numId w:val="1010"/>
        </w:numPr>
        <w:pStyle w:val="Compact"/>
      </w:pPr>
      <w:r>
        <w:t xml:space="preserve">Банк России, Кредитование субъектов МСП за апрель 2026: https://www.cbr.ru/Collection/Collection/File/62075/stat_bulletin_lending_26-04_71.pdf</w:t>
      </w:r>
    </w:p>
    <w:p>
      <w:pPr>
        <w:numPr>
          <w:ilvl w:val="0"/>
          <w:numId w:val="1010"/>
        </w:numPr>
        <w:pStyle w:val="Compact"/>
      </w:pPr>
      <w:r>
        <w:t xml:space="preserve">НКР, обзор МСП, июль 2026: https://ratings.ru/files/research/banks/NCR_SME_July2026.pdf</w:t>
      </w:r>
    </w:p>
    <w:p>
      <w:pPr>
        <w:numPr>
          <w:ilvl w:val="0"/>
          <w:numId w:val="1010"/>
        </w:numPr>
        <w:pStyle w:val="Compact"/>
      </w:pPr>
      <w:r>
        <w:t xml:space="preserve">Эксперт, «Выдача с тремя неизвестными»: https://expert.ru/finance/vydacha-s-tremya-neizvestnymi</w:t>
      </w:r>
    </w:p>
    <w:p>
      <w:pPr>
        <w:numPr>
          <w:ilvl w:val="0"/>
          <w:numId w:val="1010"/>
        </w:numPr>
        <w:pStyle w:val="Compact"/>
      </w:pPr>
      <w:r>
        <w:t xml:space="preserve">Господдержка, кредиты по ставке ключевой (вторичный источник): https://robokassa.com/blog/news/novaya-programma-kreditovaniya-dlya-msp-s-limitom-150-mlrd-rubley-startuet-v-iyule-2026-goda/</w:t>
      </w:r>
    </w:p>
    <w:p>
      <w:pPr>
        <w:numPr>
          <w:ilvl w:val="0"/>
          <w:numId w:val="1010"/>
        </w:numPr>
        <w:pStyle w:val="Compact"/>
      </w:pPr>
      <w:r>
        <w:t xml:space="preserve">Зонтичные поручительства (вторичный источник): https://investfuture.ru/articles/maliy-biznes-privlechet-900-mlrd-rubley-s-pomoschyu-gospodderzhki-v-2026-godu-D98AA0948F28538243258DA90042406F</w:t>
      </w:r>
    </w:p>
    <w:p>
      <w:pPr>
        <w:numPr>
          <w:ilvl w:val="0"/>
          <w:numId w:val="1010"/>
        </w:numPr>
        <w:pStyle w:val="Compact"/>
      </w:pPr>
      <w:r>
        <w:t xml:space="preserve">Ведомости, причины отказов (2023): https://www.vedomosti.ru/business/articles/2023/06/27/982408-v-korporatsii-msp-nazvali-osnovnie-prichini-otkazov</w:t>
      </w:r>
    </w:p>
    <w:p>
      <w:pPr>
        <w:numPr>
          <w:ilvl w:val="0"/>
          <w:numId w:val="1010"/>
        </w:numPr>
        <w:pStyle w:val="Compact"/>
      </w:pPr>
      <w:r>
        <w:t xml:space="preserve">Inc. Russia, пересказ Корпорации МСП: https://incrussia.ru/news/prichiny-otkazov-biznesu-v-kredite/</w:t>
      </w:r>
    </w:p>
    <w:p>
      <w:pPr>
        <w:numPr>
          <w:ilvl w:val="0"/>
          <w:numId w:val="1010"/>
        </w:numPr>
        <w:pStyle w:val="Compact"/>
      </w:pPr>
      <w:r>
        <w:t xml:space="preserve">Inc. Russia, индекс RSBI: https://incrussia.ru/news/issledovanie-stagnatsiya-malogo-i-srednego-biznesa-smenilas-padeniem/</w:t>
      </w:r>
    </w:p>
    <w:p>
      <w:pPr>
        <w:numPr>
          <w:ilvl w:val="0"/>
          <w:numId w:val="1010"/>
        </w:numPr>
        <w:pStyle w:val="Compact"/>
      </w:pPr>
      <w:r>
        <w:t xml:space="preserve">Альфа-Банк, кредит для ООО: https://alfabank.ru/sme/profits/kredit-dlya-ooo/</w:t>
      </w:r>
    </w:p>
    <w:p>
      <w:pPr>
        <w:numPr>
          <w:ilvl w:val="0"/>
          <w:numId w:val="1010"/>
        </w:numPr>
        <w:pStyle w:val="Compact"/>
      </w:pPr>
      <w:r>
        <w:t xml:space="preserve">Сравни.ру, кредиты для ИП в Альфа-Банке: https://www.sravni.ru/biznes-kredity/dlya-ip/bank/alfa-bank/</w:t>
      </w:r>
    </w:p>
    <w:p>
      <w:pPr>
        <w:numPr>
          <w:ilvl w:val="0"/>
          <w:numId w:val="1010"/>
        </w:numPr>
        <w:pStyle w:val="Compact"/>
      </w:pPr>
      <w:r>
        <w:t xml:space="preserve">Банкирос, продукты Альфа-Банка: https://bankiros.ru/bank/alfabank/business-credits/dengi-na-delo</w:t>
      </w:r>
    </w:p>
    <w:p>
      <w:pPr>
        <w:numPr>
          <w:ilvl w:val="0"/>
          <w:numId w:val="1010"/>
        </w:numPr>
        <w:pStyle w:val="Compact"/>
      </w:pPr>
      <w:r>
        <w:t xml:space="preserve">Банк России, кредитные истории и согласие: https://cbr.ru/ckki/</w:t>
      </w:r>
    </w:p>
    <w:p>
      <w:pPr>
        <w:numPr>
          <w:ilvl w:val="0"/>
          <w:numId w:val="1010"/>
        </w:numPr>
        <w:pStyle w:val="Compact"/>
      </w:pPr>
      <w:r>
        <w:t xml:space="preserve">Банк России, подтверждение согласия БКИ: https://www.cbr.ru/Crosscut/LawActs/File/5821</w:t>
      </w:r>
    </w:p>
    <w:p>
      <w:pPr>
        <w:numPr>
          <w:ilvl w:val="0"/>
          <w:numId w:val="1010"/>
        </w:numPr>
        <w:pStyle w:val="Compact"/>
      </w:pPr>
      <w:r>
        <w:t xml:space="preserve">Банк России, информационное письмо по 590-П: https://www.cbr.ru/Crosscut/LawActs/File/10027</w:t>
      </w:r>
    </w:p>
    <w:p>
      <w:pPr>
        <w:numPr>
          <w:ilvl w:val="0"/>
          <w:numId w:val="1010"/>
        </w:numPr>
        <w:pStyle w:val="Compact"/>
      </w:pPr>
      <w:r>
        <w:t xml:space="preserve">ФНС, сведения о юрлицах (пересказ): https://ppt.ru/art/ooo/svedeniya-o-yuridicheskikh-litsakh-v-fns</w:t>
      </w:r>
    </w:p>
    <w:p>
      <w:pPr>
        <w:numPr>
          <w:ilvl w:val="0"/>
          <w:numId w:val="1010"/>
        </w:numPr>
        <w:pStyle w:val="Compact"/>
      </w:pPr>
      <w:r>
        <w:t xml:space="preserve">ФНС, «Прозрачный бизнес» (пересказ): https://pravo.ppt.ru/informatsiya/232072</w:t>
      </w:r>
    </w:p>
    <w:bookmarkEnd w:id="47"/>
    <w:sectPr>
      <w:pgMar w:left="1020" w:right="102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Умный кредитный кабинет предпринимателя: исследование и модель процесса (MVP)</dc:title>
  <dc:creator/>
  <dc:language>ru-RU</dc:language>
  <cp:keywords/>
  <dcterms:created xsi:type="dcterms:W3CDTF">2026-10-23T10:03:42Z</dcterms:created>
  <dcterms:modified xsi:type="dcterms:W3CDTF">2026-10-23T10:03:42Z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Хакатон «Альфа Будущее», кейс Альфа-Банка. Версия от 23.10.2026</vt:lpwstr>
  </property>
</Properties>
</file>