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Working</w:t>
      </w:r>
      <w:r>
        <w:t xml:space="preserve"> </w:t>
      </w:r>
      <w:r>
        <w:t xml:space="preserve">Title</w:t>
      </w:r>
      <w:r>
        <w:t xml:space="preserve"> </w:t>
      </w:r>
      <w:r>
        <w:t xml:space="preserve">-</w:t>
      </w:r>
      <w:r>
        <w:t xml:space="preserve"> </w:t>
      </w:r>
      <w:r>
        <w:t xml:space="preserve">Sparsity</w:t>
      </w:r>
      <w:r>
        <w:t xml:space="preserve"> </w:t>
      </w:r>
      <w:r>
        <w:t xml:space="preserve">in</w:t>
      </w:r>
      <w:r>
        <w:t xml:space="preserve"> </w:t>
      </w:r>
      <w:r>
        <w:t xml:space="preserve">random</w:t>
      </w:r>
      <w:r>
        <w:t xml:space="preserve"> </w:t>
      </w:r>
      <w:r>
        <w:t xml:space="preserve">effects</w:t>
      </w:r>
      <w:r>
        <w:t xml:space="preserve"> </w:t>
      </w:r>
      <w:r>
        <w:t xml:space="preserve">under</w:t>
      </w:r>
      <w:r>
        <w:t xml:space="preserve"> </w:t>
      </w:r>
      <w:r>
        <w:t xml:space="preserve">different</w:t>
      </w:r>
      <w:r>
        <w:t xml:space="preserve"> </w:t>
      </w:r>
      <w:r>
        <w:t xml:space="preserve">parameterizations</w:t>
      </w:r>
      <w:r>
        <w:t xml:space="preserve"> </w:t>
      </w:r>
      <w:r>
        <w:t xml:space="preserve">in</w:t>
      </w:r>
      <w:r>
        <w:t xml:space="preserve"> </w:t>
      </w:r>
      <w:r>
        <w:t xml:space="preserve">fishery</w:t>
      </w:r>
      <w:r>
        <w:t xml:space="preserve"> </w:t>
      </w:r>
      <w:r>
        <w:t xml:space="preserve">stock</w:t>
      </w:r>
      <w:r>
        <w:t xml:space="preserve"> </w:t>
      </w:r>
      <w:r>
        <w:t xml:space="preserve">assessment</w:t>
      </w:r>
      <w:r>
        <w:t xml:space="preserve"> </w:t>
      </w:r>
      <w:r>
        <w:t xml:space="preserve">models</w:t>
      </w:r>
    </w:p>
    <w:p>
      <w:pPr>
        <w:pStyle w:val="Author"/>
      </w:pPr>
      <w:r>
        <w:t xml:space="preserve">Andrea</w:t>
      </w:r>
      <w:r>
        <w:t xml:space="preserve"> </w:t>
      </w:r>
      <w:r>
        <w:t xml:space="preserve">M</w:t>
      </w:r>
      <w:r>
        <w:t xml:space="preserve"> </w:t>
      </w:r>
      <w:r>
        <w:t xml:space="preserve">Havron</w:t>
      </w:r>
      <m:oMath>
        <m:sSup>
          <m:e>
            <m:r>
              <m:t>​</m:t>
            </m:r>
          </m:e>
          <m:sup>
            <m:r>
              <m:t>a</m:t>
            </m:r>
            <m:r>
              <m:rPr>
                <m:sty m:val="p"/>
              </m:rPr>
              <m:t>,</m:t>
            </m:r>
            <m:r>
              <m:t>1</m:t>
            </m:r>
            <m:r>
              <m:rPr>
                <m:sty m:val="p"/>
              </m:rPr>
              <m:t>,</m:t>
            </m:r>
            <m:r>
              <m:rPr>
                <m:sty m:val="p"/>
              </m:rPr>
              <m:t>*</m:t>
            </m:r>
          </m:sup>
        </m:sSup>
      </m:oMath>
      <w:r>
        <w:t xml:space="preserve">,</w:t>
      </w:r>
      <w:r>
        <w:t xml:space="preserve"> </w:t>
      </w:r>
      <w:r>
        <w:t xml:space="preserve">Anders</w:t>
      </w:r>
      <w:r>
        <w:t xml:space="preserve"> </w:t>
      </w:r>
      <w:r>
        <w:t xml:space="preserve">Nielsen</w:t>
      </w:r>
      <m:oMath>
        <m:sSup>
          <m:e>
            <m:r>
              <m:t>​</m:t>
            </m:r>
          </m:e>
          <m:sup>
            <m:r>
              <m:t>b</m:t>
            </m:r>
            <m:r>
              <m:rPr>
                <m:sty m:val="p"/>
              </m:rPr>
              <m:t>,</m:t>
            </m:r>
            <m:r>
              <m:t>2</m:t>
            </m:r>
          </m:sup>
        </m:sSup>
      </m:oMath>
      <w:r>
        <w:t xml:space="preserve">,</w:t>
      </w:r>
      <w:r>
        <w:t xml:space="preserve"> </w:t>
      </w:r>
      <w:r>
        <w:t xml:space="preserve">Nathan</w:t>
      </w:r>
      <w:r>
        <w:t xml:space="preserve"> </w:t>
      </w:r>
      <w:r>
        <w:t xml:space="preserve">Vaughan</w:t>
      </w:r>
      <m:oMath>
        <m:sSup>
          <m:e>
            <m:r>
              <m:t>​</m:t>
            </m:r>
          </m:e>
          <m:sup>
            <m:r>
              <m:t>c</m:t>
            </m:r>
            <m:r>
              <m:rPr>
                <m:sty m:val="p"/>
              </m:rPr>
              <m:t>,</m:t>
            </m:r>
            <m:r>
              <m:t>3</m:t>
            </m:r>
          </m:sup>
        </m:sSup>
      </m:oMath>
      <w:r>
        <w:t xml:space="preserve">,</w:t>
      </w:r>
      <w:r>
        <w:t xml:space="preserve"> </w:t>
      </w:r>
      <w:r>
        <w:t xml:space="preserve">Eric</w:t>
      </w:r>
      <w:r>
        <w:t xml:space="preserve"> </w:t>
      </w:r>
      <w:r>
        <w:t xml:space="preserve">J.</w:t>
      </w:r>
      <w:r>
        <w:t xml:space="preserve"> </w:t>
      </w:r>
      <w:r>
        <w:t xml:space="preserve">Ward</w:t>
      </w:r>
      <m:oMath>
        <m:sSup>
          <m:e>
            <m:r>
              <m:t>​</m:t>
            </m:r>
          </m:e>
          <m:sup>
            <m:r>
              <m:t>d</m:t>
            </m:r>
            <m:r>
              <m:rPr>
                <m:sty m:val="p"/>
              </m:rPr>
              <m:t>,</m:t>
            </m:r>
            <m:r>
              <m:t>4</m:t>
            </m:r>
          </m:sup>
        </m:sSup>
      </m:oMath>
    </w:p>
    <w:p>
      <w:pPr>
        <w:pStyle w:val="Date"/>
      </w:pPr>
      <w:r>
        <w:t xml:space="preserve">June</w:t>
      </w:r>
      <w:r>
        <w:t xml:space="preserve"> </w:t>
      </w:r>
      <w:r>
        <w:t xml:space="preserve">01,</w:t>
      </w:r>
      <w:r>
        <w:t xml:space="preserve"> </w:t>
      </w:r>
      <w:r>
        <w:t xml:space="preserve">2026</w:t>
      </w:r>
    </w:p>
    <w:p>
      <w:pPr>
        <w:pStyle w:val="FirstParagraph"/>
      </w:pPr>
      <w:r>
        <w:br/>
      </w:r>
      <m:oMath>
        <m:sSup>
          <m:e>
            <m:r>
              <m:t>​</m:t>
            </m:r>
          </m:e>
          <m:sup>
            <m:r>
              <m:t>a</m:t>
            </m:r>
          </m:sup>
        </m:sSup>
      </m:oMath>
      <w:r>
        <w:t xml:space="preserve">NOAA Fisheries, Office of Science and Technology, Silver Spring, MD, USA</w:t>
      </w:r>
      <w:r>
        <w:br/>
      </w:r>
      <m:oMath>
        <m:sSup>
          <m:e>
            <m:r>
              <m:t>​</m:t>
            </m:r>
          </m:e>
          <m:sup>
            <m:r>
              <m:t>b</m:t>
            </m:r>
          </m:sup>
        </m:sSup>
      </m:oMath>
      <w:r>
        <w:t xml:space="preserve">Danish Technical University, Aqua, Kongens Lyngby, Denmark</w:t>
      </w:r>
      <w:r>
        <w:br/>
      </w:r>
      <m:oMath>
        <m:sSup>
          <m:e>
            <m:r>
              <m:t>​</m:t>
            </m:r>
          </m:e>
          <m:sup>
            <m:r>
              <m:t>c</m:t>
            </m:r>
          </m:sup>
        </m:sSup>
      </m:oMath>
      <w:r>
        <w:t xml:space="preserve">Vaughan Analytics, in support of NOAA Fisheries Southeast Fisheries Science Center, Miami, FL, USA</w:t>
      </w:r>
      <w:r>
        <w:br/>
      </w:r>
      <m:oMath>
        <m:sSup>
          <m:e>
            <m:r>
              <m:t>​</m:t>
            </m:r>
          </m:e>
          <m:sup>
            <m:r>
              <m:t>d</m:t>
            </m:r>
          </m:sup>
        </m:sSup>
      </m:oMath>
      <w:r>
        <w:t xml:space="preserve">NOAA Fisheries, Northwest Fisheries Science Center, Seattle, WA, USA</w:t>
      </w:r>
      <w:r>
        <w:br/>
      </w:r>
      <w:r>
        <w:br/>
      </w:r>
      <w:r>
        <w:br/>
      </w:r>
      <m:oMath>
        <m:sSup>
          <m:e>
            <m:r>
              <m:t>​</m:t>
            </m:r>
          </m:e>
          <m:sup>
            <m:r>
              <m:rPr>
                <m:sty m:val="p"/>
              </m:rPr>
              <m:t>*</m:t>
            </m:r>
          </m:sup>
        </m:sSup>
      </m:oMath>
      <w:r>
        <w:rPr>
          <w:bCs/>
          <w:b/>
        </w:rPr>
        <w:t xml:space="preserve">Corresponding author at:</w:t>
      </w:r>
      <w:r>
        <w:br/>
      </w:r>
      <w:r>
        <w:t xml:space="preserve">NOAA Fisheries, Office of Science and Technology, 1315 East-West Highway, 12th Floor, Silver Spring, MD, 20190, USA</w:t>
      </w:r>
      <w:r>
        <w:br/>
      </w:r>
      <w:r>
        <w:t xml:space="preserve">Email address:</w:t>
      </w:r>
      <w:r>
        <w:t xml:space="preserve"> </w:t>
      </w:r>
      <w:hyperlink r:id="rId20">
        <w:r>
          <w:rPr>
            <w:rStyle w:val="Hyperlink"/>
          </w:rPr>
          <w:t xml:space="preserve">andrea.havron@noaa.gov</w:t>
        </w:r>
      </w:hyperlink>
      <w:r>
        <w:br/>
      </w:r>
      <w:r>
        <w:br/>
      </w:r>
      <w:r>
        <w:br/>
      </w:r>
      <w:r>
        <w:t xml:space="preserve">ORCID ID:</w:t>
      </w:r>
      <w:r>
        <w:br/>
      </w:r>
      <w:r>
        <w:t xml:space="preserve">Andrea Havron: 0000-0002-4080-448X</w:t>
      </w:r>
      <w:r>
        <w:br/>
      </w:r>
      <w:r>
        <w:t xml:space="preserve">Anders Nielsen: 0000-0001-9683-9262</w:t>
      </w:r>
      <w:r>
        <w:br/>
      </w:r>
      <w:r>
        <w:t xml:space="preserve">Nathan Vaughan: 0009-0000-3054-6950</w:t>
      </w:r>
      <w:r>
        <w:br/>
      </w:r>
      <w:r>
        <w:t xml:space="preserve">Eric Ward: 0000-0002-4359-0296</w:t>
      </w:r>
    </w:p>
    <w:p>
      <w:r>
        <w:br w:type="page"/>
      </w:r>
    </w:p>
    <w:bookmarkStart w:id="21" w:name="abstract"/>
    <w:p>
      <w:pPr>
        <w:pStyle w:val="Heading1"/>
      </w:pPr>
      <w:r>
        <w:t xml:space="preserve">Abstract</w:t>
      </w:r>
    </w:p>
    <w:p>
      <w:pPr>
        <w:pStyle w:val="FirstParagraph"/>
      </w:pPr>
      <w:r>
        <w:rPr>
          <w:bCs/>
          <w:b/>
        </w:rPr>
        <w:t xml:space="preserve">[250 word limit]:</w:t>
      </w:r>
      <w:r>
        <w:br/>
      </w:r>
      <w:r>
        <w:t xml:space="preserve">Many stock assessment models in the U.S. have been developed in ADMB using a hierarchical approach for time-varying processes, where mean parameter values</w:t>
      </w:r>
      <w:r>
        <w:t xml:space="preserve"> </w:t>
      </w:r>
      <m:oMath>
        <m:acc>
          <m:accPr>
            <m:chr m:val="‾"/>
          </m:accPr>
          <m:e>
            <m:r>
              <m:t>θ</m:t>
            </m:r>
          </m:e>
        </m:acc>
      </m:oMath>
      <w:r>
        <w:t xml:space="preserve"> </w:t>
      </w:r>
      <w:r>
        <w:t xml:space="preserve">and fixed effect annual deviation values</w:t>
      </w:r>
      <w:r>
        <w:t xml:space="preserve"> </w:t>
      </w:r>
      <m:oMath>
        <m:r>
          <m:t>d</m:t>
        </m:r>
        <m:r>
          <m:t>e</m:t>
        </m:r>
        <m:sSub>
          <m:e>
            <m:r>
              <m:t>v</m:t>
            </m:r>
          </m:e>
          <m:sub>
            <m:r>
              <m:t>y</m:t>
            </m:r>
          </m:sub>
        </m:sSub>
      </m:oMath>
      <w:r>
        <w:t xml:space="preserve"> </w:t>
      </w:r>
      <w:r>
        <w:t xml:space="preserve">are estimated and combined to produce annual parameter estimates</w:t>
      </w:r>
      <w:r>
        <w:t xml:space="preserve"> </w:t>
      </w:r>
      <m:oMath>
        <m:sSub>
          <m:e>
            <m:acc>
              <m:accPr>
                <m:chr m:val="̂"/>
              </m:accPr>
              <m:e>
                <m:r>
                  <m:t>θ</m:t>
                </m:r>
              </m:e>
            </m:acc>
          </m:e>
          <m:sub>
            <m:r>
              <m:t>y</m:t>
            </m:r>
          </m:sub>
        </m:sSub>
        <m:r>
          <m:rPr>
            <m:sty m:val="p"/>
          </m:rPr>
          <m:t>=</m:t>
        </m:r>
        <m:acc>
          <m:accPr>
            <m:chr m:val="‾"/>
          </m:accPr>
          <m:e>
            <m:r>
              <m:t>θ</m:t>
            </m:r>
          </m:e>
        </m:acc>
        <m:r>
          <m:rPr>
            <m:sty m:val="p"/>
          </m:rPr>
          <m:t>*</m:t>
        </m:r>
        <m:r>
          <m:t>d</m:t>
        </m:r>
        <m:r>
          <m:t>e</m:t>
        </m:r>
        <m:sSub>
          <m:e>
            <m:r>
              <m:t>v</m:t>
            </m:r>
          </m:e>
          <m:sub>
            <m:r>
              <m:t>y</m:t>
            </m:r>
          </m:sub>
        </m:sSub>
      </m:oMath>
      <w:r>
        <w:t xml:space="preserve">. This structure was intuitive and enabled parameter means to be estimated in earlier phases than deviations, which improved convergence. Following statistical best practices, several next generation stock assessment models have incorporated the use of random effects through TMB to model process variability in time-varying parameters. This approach does not require parameter phasing but does require the calculation of up to third-order partial derivatives and Hessian inversion at each optimization step to integrate out random effect uncertainty using the Laplace approximation. While simple to interpret and implement, the deviations approach results in a dense covariance matrix of correlations</w:t>
      </w:r>
      <w:r>
        <w:t xml:space="preserve"> </w:t>
      </w:r>
      <w:r>
        <w:t xml:space="preserve">between the mean</w:t>
      </w:r>
      <w:r>
        <w:t xml:space="preserve"> </w:t>
      </w:r>
      <m:oMath>
        <m:acc>
          <m:accPr>
            <m:chr m:val="‾"/>
          </m:accPr>
          <m:e>
            <m:r>
              <m:t>θ</m:t>
            </m:r>
          </m:e>
        </m:acc>
      </m:oMath>
      <w:r>
        <w:t xml:space="preserve"> </w:t>
      </w:r>
      <w:r>
        <w:t xml:space="preserve">and each annual deviation</w:t>
      </w:r>
      <w:r>
        <w:t xml:space="preserve"> </w:t>
      </w:r>
      <m:oMath>
        <m:r>
          <m:t>d</m:t>
        </m:r>
        <m:r>
          <m:t>e</m:t>
        </m:r>
        <m:sSub>
          <m:e>
            <m:r>
              <m:t>v</m:t>
            </m:r>
          </m:e>
          <m:sub>
            <m:r>
              <m:t>y</m:t>
            </m:r>
          </m:sub>
        </m:sSub>
      </m:oMath>
      <w:r>
        <w:t xml:space="preserve"> </w:t>
      </w:r>
      <w:r>
        <w:t xml:space="preserve">estimate. Due to this difference, the deviations approach in a random effects model has a much larger computational penalty than in historic fixed effects modeling platforms. We test an alternate configuration of directly estimating annual recruitment values as random effects in AR1 and MA1 processes. While the former structure has a sparse covariance matrix and reduces model estimation time, the latter produces the opposite result. Optimization time and parameter estimates from stock assessment models under these equivalent sparse versus dense parameterizations are compared to confirm equivalency and performance improvement of the new structure. These results inform development in next generation stock assessment models.</w:t>
      </w:r>
    </w:p>
    <w:bookmarkEnd w:id="21"/>
    <w:bookmarkStart w:id="22" w:name="keywords"/>
    <w:p>
      <w:pPr>
        <w:pStyle w:val="Heading1"/>
      </w:pPr>
      <w:r>
        <w:t xml:space="preserve">Keywords</w:t>
      </w:r>
    </w:p>
    <w:p>
      <w:pPr>
        <w:pStyle w:val="FirstParagraph"/>
      </w:pPr>
      <w:r>
        <w:t xml:space="preserve">You are required to provide 1 to 7 keywords for indexing purposes. Keywords should be written in English. Please try to avoid keywords consisting of multiple words (using</w:t>
      </w:r>
      <w:r>
        <w:t xml:space="preserve"> </w:t>
      </w:r>
      <w:r>
        <w:t xml:space="preserve">“</w:t>
      </w:r>
      <w:r>
        <w:t xml:space="preserve">and</w:t>
      </w:r>
      <w:r>
        <w:t xml:space="preserve">”</w:t>
      </w:r>
      <w:r>
        <w:t xml:space="preserve"> </w:t>
      </w:r>
      <w:r>
        <w:t xml:space="preserve">or</w:t>
      </w:r>
      <w:r>
        <w:t xml:space="preserve"> </w:t>
      </w:r>
      <w:r>
        <w:t xml:space="preserve">“</w:t>
      </w:r>
      <w:r>
        <w:t xml:space="preserve">of</w:t>
      </w:r>
      <w:r>
        <w:t xml:space="preserve">”</w:t>
      </w:r>
      <w:r>
        <w:t xml:space="preserve">).</w:t>
      </w:r>
    </w:p>
    <w:p>
      <w:pPr>
        <w:pStyle w:val="BodyText"/>
      </w:pPr>
      <w:r>
        <w:t xml:space="preserve">We recommend that you only use abbreviations in keywords if they are firmly established in the field.</w:t>
      </w:r>
    </w:p>
    <w:bookmarkEnd w:id="22"/>
    <w:bookmarkStart w:id="23" w:name="highlights"/>
    <w:p>
      <w:pPr>
        <w:pStyle w:val="Heading1"/>
      </w:pPr>
      <w:r>
        <w:t xml:space="preserve">Highlights</w:t>
      </w:r>
    </w:p>
    <w:p>
      <w:pPr>
        <w:pStyle w:val="FirstParagraph"/>
      </w:pPr>
      <w:r>
        <w:t xml:space="preserve">You are required to provide article highlights at submission.</w:t>
      </w:r>
    </w:p>
    <w:p>
      <w:pPr>
        <w:pStyle w:val="BodyText"/>
      </w:pPr>
      <w:r>
        <w:t xml:space="preserve">Highlights are a short collection of bullet points that should capture the novel results of your research as well as any new methods used during your study. Highlights will help increase the discoverability of your article via search engines. Some guidelines:</w:t>
      </w:r>
    </w:p>
    <w:p>
      <w:pPr>
        <w:numPr>
          <w:ilvl w:val="0"/>
          <w:numId w:val="1001"/>
        </w:numPr>
      </w:pPr>
      <w:r>
        <w:t xml:space="preserve">Submit highlights as a separate editable file in the online submission system with the word</w:t>
      </w:r>
      <w:r>
        <w:t xml:space="preserve"> </w:t>
      </w:r>
      <w:r>
        <w:t xml:space="preserve">“</w:t>
      </w:r>
      <w:r>
        <w:t xml:space="preserve">highlights</w:t>
      </w:r>
      <w:r>
        <w:t xml:space="preserve">”</w:t>
      </w:r>
      <w:r>
        <w:t xml:space="preserve"> </w:t>
      </w:r>
      <w:r>
        <w:t xml:space="preserve">included in the file name.</w:t>
      </w:r>
    </w:p>
    <w:p>
      <w:pPr>
        <w:numPr>
          <w:ilvl w:val="0"/>
          <w:numId w:val="1001"/>
        </w:numPr>
      </w:pPr>
      <w:r>
        <w:t xml:space="preserve">Highlights should consist of 3 to 5 bullet points, each a maximum of 85 characters, including spaces.</w:t>
      </w:r>
    </w:p>
    <w:p>
      <w:r>
        <w:br w:type="page"/>
      </w:r>
    </w:p>
    <w:bookmarkEnd w:id="23"/>
    <w:bookmarkStart w:id="24" w:name="notes-for-manuscript-development"/>
    <w:p>
      <w:pPr>
        <w:pStyle w:val="Heading1"/>
      </w:pPr>
      <w:r>
        <w:rPr>
          <w:rStyle w:val="SectionNumber"/>
        </w:rPr>
        <w:t xml:space="preserve">1</w:t>
      </w:r>
      <w:r>
        <w:tab/>
      </w:r>
      <w:r>
        <w:t xml:space="preserve">Notes for Manuscript Development</w:t>
      </w:r>
    </w:p>
    <w:p>
      <w:pPr>
        <w:pStyle w:val="FirstParagraph"/>
      </w:pPr>
      <w:r>
        <w:t xml:space="preserve">Key points:</w:t>
      </w:r>
    </w:p>
    <w:p>
      <w:pPr>
        <w:numPr>
          <w:ilvl w:val="0"/>
          <w:numId w:val="1002"/>
        </w:numPr>
      </w:pPr>
      <w:r>
        <w:t xml:space="preserve">Lots of variable implementations of random effects for recruitment - deviations vs recruitment, often chosen for convenience</w:t>
      </w:r>
    </w:p>
    <w:p>
      <w:pPr>
        <w:numPr>
          <w:ilvl w:val="0"/>
          <w:numId w:val="1002"/>
        </w:numPr>
      </w:pPr>
      <w:r>
        <w:t xml:space="preserve">Unclear whether ML results will translate to Bayesian estimation</w:t>
      </w:r>
    </w:p>
    <w:p>
      <w:pPr>
        <w:numPr>
          <w:ilvl w:val="1"/>
          <w:numId w:val="1003"/>
        </w:numPr>
      </w:pPr>
      <w:r>
        <w:t xml:space="preserve">lots of history in comparing centered vs non-centered REs</w:t>
      </w:r>
    </w:p>
    <w:p>
      <w:pPr>
        <w:numPr>
          <w:ilvl w:val="1"/>
          <w:numId w:val="1003"/>
        </w:numPr>
      </w:pPr>
      <w:r>
        <w:t xml:space="preserve">best practices in creating sparsity pretty well understood in TMB, less clear what this means for MCMC</w:t>
      </w:r>
    </w:p>
    <w:p>
      <w:pPr>
        <w:pStyle w:val="FirstParagraph"/>
      </w:pPr>
      <w:r>
        <w:t xml:space="preserve">Gap / objective - tools such as tmbstan now allow TMB/RTMB models to be</w:t>
      </w:r>
      <w:r>
        <w:t xml:space="preserve"> </w:t>
      </w:r>
      <w:r>
        <w:t xml:space="preserve">passed directly to Stan</w:t>
      </w:r>
    </w:p>
    <w:p>
      <w:pPr>
        <w:numPr>
          <w:ilvl w:val="0"/>
          <w:numId w:val="1004"/>
        </w:numPr>
      </w:pPr>
      <w:r>
        <w:t xml:space="preserve">meaningful comparisons require verifying that the RTMB and Stan implementations encode the same posterior</w:t>
      </w:r>
    </w:p>
    <w:p>
      <w:pPr>
        <w:numPr>
          <w:ilvl w:val="0"/>
          <w:numId w:val="1004"/>
        </w:numPr>
      </w:pPr>
      <w:r>
        <w:t xml:space="preserve">we systematically compare sampling efficiency, convergence, and effective sample size across five combinations of MA(1) and AR(1) recruitment models, using both RTMB-tmbstan and Stan</w:t>
      </w:r>
    </w:p>
    <w:p>
      <w:pPr>
        <w:numPr>
          <w:ilvl w:val="1"/>
          <w:numId w:val="1005"/>
        </w:numPr>
        <w:pStyle w:val="Compact"/>
      </w:pPr>
      <w:r>
        <w:t xml:space="preserve">Is treating recruitment deviations or recruitment more efficient?</w:t>
      </w:r>
    </w:p>
    <w:p>
      <w:pPr>
        <w:numPr>
          <w:ilvl w:val="1"/>
          <w:numId w:val="1005"/>
        </w:numPr>
        <w:pStyle w:val="Compact"/>
      </w:pPr>
      <w:r>
        <w:t xml:space="preserve">What is the impact of RTMB’s dautoreg function?</w:t>
      </w:r>
    </w:p>
    <w:p>
      <w:pPr>
        <w:numPr>
          <w:ilvl w:val="0"/>
          <w:numId w:val="1004"/>
        </w:numPr>
      </w:pPr>
      <w:r>
        <w:t xml:space="preserve">other?</w:t>
      </w:r>
    </w:p>
    <w:bookmarkEnd w:id="24"/>
    <w:bookmarkStart w:id="29" w:name="introduction"/>
    <w:p>
      <w:pPr>
        <w:pStyle w:val="Heading1"/>
      </w:pPr>
      <w:r>
        <w:rPr>
          <w:rStyle w:val="SectionNumber"/>
        </w:rPr>
        <w:t xml:space="preserve">2</w:t>
      </w:r>
      <w:r>
        <w:tab/>
      </w:r>
      <w:r>
        <w:t xml:space="preserve">Introduction</w:t>
      </w:r>
    </w:p>
    <w:p>
      <w:pPr>
        <w:pStyle w:val="FirstParagraph"/>
      </w:pPr>
      <w:r>
        <w:t xml:space="preserve">Drawing from the Bayesian literature, it is clear that model efficiency is not merely a matter of software implementation but is fundamentally tied to the geometric properties of the posterior distribution. In MCMC sampling, particularly within the Hamiltonian Monte Carlo (HMC) framework utilized by Stan, the choice between centered and non-centered parameterizations is often a response to the funnel geometry pathology (Betancourt &amp; Girolami, 2015). This pathology occurs when a sampler struggles to explore the narrow regions of a distribution where the group-level variance is small – a common issue in hierarchical models with sparse data (Monnahan et al., 2016). Specifically, a non-centered parameterization effectively stretches this funnel, allowing HMC to sample more efficiently by breaking the strong a priori dependence between hierarchical levels (Gorinova et al., 2019). However, if the data are highly informative, a centered parameterization may actually be more efficient, as the data can</w:t>
      </w:r>
      <w:r>
        <w:t xml:space="preserve"> </w:t>
      </w:r>
      <w:r>
        <w:t xml:space="preserve">“</w:t>
      </w:r>
      <w:r>
        <w:t xml:space="preserve">pin down</w:t>
      </w:r>
      <w:r>
        <w:t xml:space="preserve">”</w:t>
      </w:r>
      <w:r>
        <w:t xml:space="preserve"> </w:t>
      </w:r>
      <w:r>
        <w:t xml:space="preserve">the parameters and reduce the correlations that otherwise slow down the sampler (Papaspiliopoulos et al., 2007; Gorinova et al., 2019).</w:t>
      </w:r>
    </w:p>
    <w:p>
      <w:pPr>
        <w:pStyle w:val="BodyText"/>
      </w:pPr>
      <w:r>
        <w:t xml:space="preserve">Within the context of fisheries stock assessment models, there are many examples of hierarchical variables being estimated with centered or non-centered pararmeterizations; one of the clearest example of this is when variability is added to recruitment either by modeling the process itself,</w:t>
      </w:r>
      <w:r>
        <w:t xml:space="preserve"> </w:t>
      </w:r>
      <m:oMath>
        <m:r>
          <m:t>r</m:t>
        </m:r>
        <m:r>
          <m:t>e</m:t>
        </m:r>
        <m:r>
          <m:t>c</m:t>
        </m:r>
        <m:r>
          <m:t>r</m:t>
        </m:r>
        <m:r>
          <m:t>u</m:t>
        </m:r>
        <m:r>
          <m:t>i</m:t>
        </m:r>
        <m:r>
          <m:t>t</m:t>
        </m:r>
        <m:r>
          <m:t>m</m:t>
        </m:r>
        <m:r>
          <m:t>e</m:t>
        </m:r>
        <m:r>
          <m:t>n</m:t>
        </m:r>
        <m:r>
          <m:t>t</m:t>
        </m:r>
        <m:r>
          <m:t> </m:t>
        </m:r>
        <m:r>
          <m:t>N</m:t>
        </m:r>
        <m:d>
          <m:dPr>
            <m:begChr m:val="("/>
            <m:endChr m:val=")"/>
            <m:sepChr m:val=""/>
            <m:grow/>
          </m:dPr>
          <m:e>
            <m:sSub>
              <m:e>
                <m:r>
                  <m:t>μ</m:t>
                </m:r>
              </m:e>
              <m:sub>
                <m:r>
                  <m:t>r</m:t>
                </m:r>
              </m:sub>
            </m:sSub>
            <m:r>
              <m:rPr>
                <m:sty m:val="p"/>
              </m:rPr>
              <m:t>,</m:t>
            </m:r>
            <m:sSub>
              <m:e>
                <m:r>
                  <m:t>σ</m:t>
                </m:r>
              </m:e>
              <m:sub>
                <m:r>
                  <m:t>r</m:t>
                </m:r>
              </m:sub>
            </m:sSub>
          </m:e>
        </m:d>
      </m:oMath>
      <w:r>
        <w:t xml:space="preserve"> </w:t>
      </w:r>
      <w:r>
        <w:t xml:space="preserve">(centered parameterization), or by modeling the deviations around a mean,</w:t>
      </w:r>
      <w:r>
        <w:t xml:space="preserve"> </w:t>
      </w:r>
      <m:oMath>
        <m:r>
          <m:t>d</m:t>
        </m:r>
        <m:r>
          <m:t>e</m:t>
        </m:r>
        <m:r>
          <m:t>v</m:t>
        </m:r>
        <m:r>
          <m:t>i</m:t>
        </m:r>
        <m:r>
          <m:t>a</m:t>
        </m:r>
        <m:r>
          <m:t>t</m:t>
        </m:r>
        <m:r>
          <m:t>i</m:t>
        </m:r>
        <m:r>
          <m:t>o</m:t>
        </m:r>
        <m:r>
          <m:t>n</m:t>
        </m:r>
        <m:r>
          <m:t>s</m:t>
        </m:r>
        <m:r>
          <m:t> </m:t>
        </m:r>
        <m:r>
          <m:t>N</m:t>
        </m:r>
        <m:d>
          <m:dPr>
            <m:begChr m:val="("/>
            <m:endChr m:val=")"/>
            <m:sepChr m:val=""/>
            <m:grow/>
          </m:dPr>
          <m:e>
            <m:r>
              <m:t>0</m:t>
            </m:r>
            <m:r>
              <m:rPr>
                <m:sty m:val="p"/>
              </m:rPr>
              <m:t>,</m:t>
            </m:r>
            <m:sSub>
              <m:e>
                <m:r>
                  <m:t>σ</m:t>
                </m:r>
              </m:e>
              <m:sub>
                <m:r>
                  <m:t>r</m:t>
                </m:r>
              </m:sub>
            </m:sSub>
          </m:e>
        </m:d>
        <m:r>
          <m:rPr>
            <m:sty m:val="p"/>
          </m:rPr>
          <m:t>,</m:t>
        </m:r>
        <m:r>
          <m:t>r</m:t>
        </m:r>
        <m:r>
          <m:t>e</m:t>
        </m:r>
        <m:r>
          <m:t>c</m:t>
        </m:r>
        <m:r>
          <m:t>r</m:t>
        </m:r>
        <m:r>
          <m:t>u</m:t>
        </m:r>
        <m:r>
          <m:t>i</m:t>
        </m:r>
        <m:r>
          <m:t>t</m:t>
        </m:r>
        <m:r>
          <m:t>m</m:t>
        </m:r>
        <m:r>
          <m:t>e</m:t>
        </m:r>
        <m:r>
          <m:t>n</m:t>
        </m:r>
        <m:r>
          <m:t>t</m:t>
        </m:r>
        <m:r>
          <m:rPr>
            <m:sty m:val="p"/>
          </m:rPr>
          <m:t>=</m:t>
        </m:r>
        <m:sSub>
          <m:e>
            <m:r>
              <m:t>μ</m:t>
            </m:r>
          </m:e>
          <m:sub>
            <m:r>
              <m:t>r</m:t>
            </m:r>
          </m:sub>
        </m:sSub>
        <m:r>
          <m:rPr>
            <m:sty m:val="p"/>
          </m:rPr>
          <m:t>*</m:t>
        </m:r>
        <m:sSub>
          <m:e>
            <m:r>
              <m:t>σ</m:t>
            </m:r>
          </m:e>
          <m:sub>
            <m:r>
              <m:t>r</m:t>
            </m:r>
          </m:sub>
        </m:sSub>
      </m:oMath>
      <w:r>
        <w:t xml:space="preserve"> </w:t>
      </w:r>
      <w:r>
        <w:t xml:space="preserve">(non-centered parameterizations). Historically, models reliant on ADMB estimate the deviations as fixed effects undered a constrained optimization where the variance,</w:t>
      </w:r>
      <w:r>
        <w:t xml:space="preserve"> </w:t>
      </w:r>
      <m:oMath>
        <m:sSub>
          <m:e>
            <m:r>
              <m:t>σ</m:t>
            </m:r>
          </m:e>
          <m:sub>
            <m:r>
              <m:t>r</m:t>
            </m:r>
          </m:sub>
        </m:sSub>
      </m:oMath>
      <w:r>
        <w:t xml:space="preserve"> </w:t>
      </w:r>
      <w:r>
        <w:t xml:space="preserve">is fixed. In several tools, such as Stock Synthesis, sum to zero constraints have been applied to ensure that Hessian matrices are positive definite. A fixed-effect vector of deviation parameters does not require second order partial derivatives to be estimated until model optimization is complete and variance is estimated.</w:t>
      </w:r>
    </w:p>
    <w:p>
      <w:pPr>
        <w:pStyle w:val="BodyText"/>
      </w:pPr>
      <w:r>
        <w:t xml:space="preserve">Several next generation stock assessment models have changed dependency from ADMB to Template Model Builder (Kristensen et al., 2016) in order to incorporate the use of the Laplace approximation to integrate out hierarchical variables (i.e. random effects), allowing the estimation of the hierarchical variance parameter, e.g. </w:t>
      </w:r>
      <m:oMath>
        <m:sSub>
          <m:e>
            <m:r>
              <m:t>σ</m:t>
            </m:r>
          </m:e>
          <m:sub>
            <m:r>
              <m:t>r</m:t>
            </m:r>
          </m:sub>
        </m:sSub>
      </m:oMath>
      <w:r>
        <w:t xml:space="preserve"> </w:t>
      </w:r>
      <w:r>
        <w:t xml:space="preserve">(SAM, WHAM, FIMS). The Laplace approximation requires up to third-order derivates for its evaluations, thus necessitating a Jacobian calculation and Hessian inversion at each optimization step.</w:t>
      </w:r>
    </w:p>
    <w:p>
      <w:pPr>
        <w:pStyle w:val="BodyText"/>
      </w:pPr>
      <w:r>
        <w:t xml:space="preserve">To quantify the magnitude of this penalty we investigate the performance and optimization time of a simple random effects model under equivalent sparse vs dense parameterizations. For this example we utilize two simple proxy models; an auto regressive AR1 function and a simple stock assessment model based on babySAM. These proxies should reflect the relative performance gains expected in the real-world correlated time-varying processes modeled in stock assessments such as recruitment. Each of these time-series models can be parameterized as a dense matrix, representing the traditional parameter deviations as a random-effects approach, or as a sparse matrix, as would be achieved by directly estimating annual parameter values as random effects.</w:t>
      </w:r>
    </w:p>
    <w:p>
      <w:pPr>
        <w:pStyle w:val="BodyText"/>
      </w:pPr>
      <w:r>
        <w:t xml:space="preserve">These two approaches are anticipated to produce mathematically equivalent results while differing in their computational overhead. Confirming this equivalency and quantifying the runtime improvement will provide support for the change in approach relative to previous assessment models.</w:t>
      </w:r>
    </w:p>
    <w:p>
      <w:pPr>
        <w:pStyle w:val="BodyText"/>
      </w:pPr>
      <w:r>
        <w:t xml:space="preserve">Betancourt, M., &amp; Girolami, M. (2015).</w:t>
      </w:r>
      <w:r>
        <w:t xml:space="preserve"> </w:t>
      </w:r>
      <w:hyperlink r:id="rId25">
        <w:r>
          <w:rPr>
            <w:rStyle w:val="Hyperlink"/>
          </w:rPr>
          <w:t xml:space="preserve">https://arxiv.org/abs/1312.0906</w:t>
        </w:r>
      </w:hyperlink>
    </w:p>
    <w:p>
      <w:pPr>
        <w:pStyle w:val="BodyText"/>
      </w:pPr>
      <w:r>
        <w:t xml:space="preserve">Gorinova 2019</w:t>
      </w:r>
      <w:r>
        <w:t xml:space="preserve"> </w:t>
      </w:r>
      <w:hyperlink r:id="rId26">
        <w:r>
          <w:rPr>
            <w:rStyle w:val="Hyperlink"/>
          </w:rPr>
          <w:t xml:space="preserve">https://doi.org/10.48550/arxiv.1906.03028</w:t>
        </w:r>
      </w:hyperlink>
    </w:p>
    <w:p>
      <w:pPr>
        <w:pStyle w:val="BodyText"/>
      </w:pPr>
      <w:r>
        <w:t xml:space="preserve">Papaspiliopoulos 2007</w:t>
      </w:r>
      <w:r>
        <w:t xml:space="preserve"> </w:t>
      </w:r>
      <w:hyperlink r:id="rId27">
        <w:r>
          <w:rPr>
            <w:rStyle w:val="Hyperlink"/>
          </w:rPr>
          <w:t xml:space="preserve">https://projecteuclid.org/journals/statistical-science/volume-22/issue-1/A-General-Framework-for-the-Parametrization-of-Hierarchical-Models/10.1214/088342307000000014.full</w:t>
        </w:r>
      </w:hyperlink>
    </w:p>
    <w:p>
      <w:pPr>
        <w:pStyle w:val="BodyText"/>
      </w:pPr>
      <w:r>
        <w:t xml:space="preserve">Kristensen et al. (2016)</w:t>
      </w:r>
      <w:r>
        <w:t xml:space="preserve"> </w:t>
      </w:r>
      <w:hyperlink r:id="rId28">
        <w:r>
          <w:rPr>
            <w:rStyle w:val="Hyperlink"/>
          </w:rPr>
          <w:t xml:space="preserve">https:://doi.org/10.18637/jss.v070.i05</w:t>
        </w:r>
      </w:hyperlink>
    </w:p>
    <w:p>
      <w:pPr>
        <w:pStyle w:val="BodyText"/>
      </w:pPr>
      <w:r>
        <w:t xml:space="preserve">EW: Could add ecological refs</w:t>
      </w:r>
    </w:p>
    <w:bookmarkEnd w:id="29"/>
    <w:bookmarkStart w:id="34" w:name="methods"/>
    <w:p>
      <w:pPr>
        <w:pStyle w:val="Heading1"/>
      </w:pPr>
      <w:r>
        <w:rPr>
          <w:rStyle w:val="SectionNumber"/>
        </w:rPr>
        <w:t xml:space="preserve">3</w:t>
      </w:r>
      <w:r>
        <w:tab/>
      </w:r>
      <w:r>
        <w:t xml:space="preserve">Methods</w:t>
      </w:r>
    </w:p>
    <w:bookmarkStart w:id="30" w:name="simulation-models"/>
    <w:p>
      <w:pPr>
        <w:pStyle w:val="Heading2"/>
      </w:pPr>
      <w:r>
        <w:rPr>
          <w:rStyle w:val="SectionNumber"/>
        </w:rPr>
        <w:t xml:space="preserve">3.1</w:t>
      </w:r>
      <w:r>
        <w:tab/>
      </w:r>
      <w:r>
        <w:t xml:space="preserve">Simulation models</w:t>
      </w:r>
    </w:p>
    <w:p>
      <w:pPr>
        <w:pStyle w:val="FirstParagraph"/>
      </w:pPr>
      <w:r>
        <w:t xml:space="preserve">We used an age-structured model based on the</w:t>
      </w:r>
      <w:r>
        <w:t xml:space="preserve"> </w:t>
      </w:r>
      <w:r>
        <w:rPr>
          <w:rStyle w:val="VerbatimChar"/>
        </w:rPr>
        <w:t xml:space="preserve">simplefsa</w:t>
      </w:r>
      <w:r>
        <w:t xml:space="preserve"> </w:t>
      </w:r>
      <w:r>
        <w:t xml:space="preserve">fisheries</w:t>
      </w:r>
      <w:r>
        <w:t xml:space="preserve"> </w:t>
      </w:r>
      <w:r>
        <w:t xml:space="preserve">dataset [more detail from Anders]. The model tracks log-numbers-at-age</w:t>
      </w:r>
      <w:r>
        <w:t xml:space="preserve"> </w:t>
      </w:r>
      <w:r>
        <w:t xml:space="preserve">(</w:t>
      </w:r>
      <m:oMath>
        <m:r>
          <m:rPr>
            <m:sty m:val="p"/>
          </m:rPr>
          <m:t>log</m:t>
        </m:r>
        <m:sSub>
          <m:e>
            <m:r>
              <m:t>N</m:t>
            </m:r>
          </m:e>
          <m:sub>
            <m:r>
              <m:t>a</m:t>
            </m:r>
            <m:r>
              <m:rPr>
                <m:sty m:val="p"/>
              </m:rPr>
              <m:t>,</m:t>
            </m:r>
            <m:r>
              <m:t>y</m:t>
            </m:r>
          </m:sub>
        </m:sSub>
      </m:oMath>
      <w:r>
        <w:t xml:space="preserve">) over age classes</w:t>
      </w:r>
      <w:r>
        <w:t xml:space="preserve"> </w:t>
      </w:r>
      <m:oMath>
        <m:r>
          <m:t>a</m:t>
        </m:r>
        <m:r>
          <m:rPr>
            <m:sty m:val="p"/>
          </m:rPr>
          <m:t>=</m:t>
        </m:r>
        <m:r>
          <m:t>1</m:t>
        </m:r>
        <m:r>
          <m:rPr>
            <m:sty m:val="p"/>
          </m:rPr>
          <m:t>,</m:t>
        </m:r>
        <m:r>
          <m:rPr>
            <m:sty m:val="p"/>
          </m:rPr>
          <m:t>…</m:t>
        </m:r>
        <m:r>
          <m:rPr>
            <m:sty m:val="p"/>
          </m:rPr>
          <m:t>,</m:t>
        </m:r>
        <m:r>
          <m:t>A</m:t>
        </m:r>
      </m:oMath>
      <w:r>
        <w:t xml:space="preserve"> </w:t>
      </w:r>
      <w:r>
        <w:t xml:space="preserve">and years</w:t>
      </w:r>
      <w:r>
        <w:t xml:space="preserve"> </w:t>
      </w:r>
      <m:oMath>
        <m:r>
          <m:t>y</m:t>
        </m:r>
        <m:r>
          <m:rPr>
            <m:sty m:val="p"/>
          </m:rPr>
          <m:t>=</m:t>
        </m:r>
        <m:r>
          <m:t>1</m:t>
        </m:r>
        <m:r>
          <m:rPr>
            <m:sty m:val="p"/>
          </m:rPr>
          <m:t>,</m:t>
        </m:r>
        <m:r>
          <m:rPr>
            <m:sty m:val="p"/>
          </m:rPr>
          <m:t>…</m:t>
        </m:r>
        <m:r>
          <m:rPr>
            <m:sty m:val="p"/>
          </m:rPr>
          <m:t>,</m:t>
        </m:r>
        <m:r>
          <m:t>T</m:t>
        </m:r>
      </m:oMath>
      <w:r>
        <w:t xml:space="preserve">. Fishing mortality is modeled as a separable age-year</w:t>
      </w:r>
      <w:r>
        <w:t xml:space="preserve"> </w:t>
      </w:r>
      <w:r>
        <w:t xml:space="preserve">product</w:t>
      </w:r>
      <w:r>
        <w:t xml:space="preserve"> </w:t>
      </w:r>
      <m:oMath>
        <m:sSub>
          <m:e>
            <m:r>
              <m:t>F</m:t>
            </m:r>
          </m:e>
          <m:sub>
            <m:r>
              <m:t>a</m:t>
            </m:r>
            <m:r>
              <m:rPr>
                <m:sty m:val="p"/>
              </m:rPr>
              <m:t>,</m:t>
            </m:r>
            <m:r>
              <m:t>y</m:t>
            </m:r>
          </m:sub>
        </m:sSub>
        <m:r>
          <m:rPr>
            <m:sty m:val="p"/>
          </m:rPr>
          <m:t>=</m:t>
        </m:r>
        <m:r>
          <m:rPr>
            <m:sty m:val="p"/>
          </m:rPr>
          <m:t>exp</m:t>
        </m:r>
        <m:d>
          <m:dPr>
            <m:begChr m:val="("/>
            <m:endChr m:val=")"/>
            <m:sepChr m:val=""/>
            <m:grow/>
          </m:dPr>
          <m:e>
            <m:r>
              <m:rPr>
                <m:sty m:val="p"/>
              </m:rPr>
              <m:t>log</m:t>
            </m:r>
            <m:sSub>
              <m:e>
                <m:r>
                  <m:t>F</m:t>
                </m:r>
              </m:e>
              <m:sub>
                <m:r>
                  <m:t>a</m:t>
                </m:r>
              </m:sub>
            </m:sSub>
            <m:r>
              <m:rPr>
                <m:sty m:val="p"/>
              </m:rPr>
              <m:t>+</m:t>
            </m:r>
            <m:r>
              <m:rPr>
                <m:sty m:val="p"/>
              </m:rPr>
              <m:t>log</m:t>
            </m:r>
            <m:sSub>
              <m:e>
                <m:r>
                  <m:t>F</m:t>
                </m:r>
              </m:e>
              <m:sub>
                <m:r>
                  <m:t>y</m:t>
                </m:r>
              </m:sub>
            </m:sSub>
          </m:e>
        </m:d>
      </m:oMath>
      <w:r>
        <w:t xml:space="preserve">. The population is</w:t>
      </w:r>
      <w:r>
        <w:t xml:space="preserve"> </w:t>
      </w:r>
      <w:r>
        <w:t xml:space="preserve">propagated forward by</w:t>
      </w:r>
    </w:p>
    <w:p>
      <w:pPr>
        <w:pStyle w:val="BodyText"/>
      </w:pPr>
      <m:oMathPara>
        <m:oMathParaPr>
          <m:jc m:val="center"/>
        </m:oMathParaPr>
        <m:oMath>
          <m:r>
            <m:rPr>
              <m:sty m:val="p"/>
            </m:rPr>
            <m:t>log</m:t>
          </m:r>
          <m:sSub>
            <m:e>
              <m:r>
                <m:t>N</m:t>
              </m:r>
            </m:e>
            <m:sub>
              <m:r>
                <m:t>a</m:t>
              </m:r>
              <m:r>
                <m:rPr>
                  <m:sty m:val="p"/>
                </m:rPr>
                <m:t>,</m:t>
              </m:r>
              <m:r>
                <m:t>y</m:t>
              </m:r>
            </m:sub>
          </m:sSub>
          <m:r>
            <m:rPr>
              <m:sty m:val="p"/>
            </m:rPr>
            <m:t>=</m:t>
          </m:r>
          <m:r>
            <m:rPr>
              <m:sty m:val="p"/>
            </m:rPr>
            <m:t>log</m:t>
          </m:r>
          <m:sSub>
            <m:e>
              <m:r>
                <m:t>N</m:t>
              </m:r>
            </m:e>
            <m:sub>
              <m:r>
                <m:t>a</m:t>
              </m:r>
              <m:r>
                <m:rPr>
                  <m:sty m:val="p"/>
                </m:rPr>
                <m:t>−</m:t>
              </m:r>
              <m:r>
                <m:t>1</m:t>
              </m:r>
              <m:r>
                <m:rPr>
                  <m:sty m:val="p"/>
                </m:rPr>
                <m:t>,</m:t>
              </m:r>
              <m:r>
                <m:t>y</m:t>
              </m:r>
              <m:r>
                <m:rPr>
                  <m:sty m:val="p"/>
                </m:rPr>
                <m:t>−</m:t>
              </m:r>
              <m:r>
                <m:t>1</m:t>
              </m:r>
            </m:sub>
          </m:sSub>
          <m:r>
            <m:rPr>
              <m:sty m:val="p"/>
            </m:rPr>
            <m:t>−</m:t>
          </m:r>
          <m:sSub>
            <m:e>
              <m:r>
                <m:t>F</m:t>
              </m:r>
            </m:e>
            <m:sub>
              <m:r>
                <m:t>a</m:t>
              </m:r>
              <m:r>
                <m:rPr>
                  <m:sty m:val="p"/>
                </m:rPr>
                <m:t>−</m:t>
              </m:r>
              <m:r>
                <m:t>1</m:t>
              </m:r>
              <m:r>
                <m:rPr>
                  <m:sty m:val="p"/>
                </m:rPr>
                <m:t>,</m:t>
              </m:r>
              <m:r>
                <m:t>y</m:t>
              </m:r>
              <m:r>
                <m:rPr>
                  <m:sty m:val="p"/>
                </m:rPr>
                <m:t>−</m:t>
              </m:r>
              <m:r>
                <m:t>1</m:t>
              </m:r>
            </m:sub>
          </m:sSub>
          <m:r>
            <m:rPr>
              <m:sty m:val="p"/>
            </m:rPr>
            <m:t>−</m:t>
          </m:r>
          <m:sSub>
            <m:e>
              <m:r>
                <m:t>M</m:t>
              </m:r>
            </m:e>
            <m:sub>
              <m:r>
                <m:t>a</m:t>
              </m:r>
              <m:r>
                <m:rPr>
                  <m:sty m:val="p"/>
                </m:rPr>
                <m:t>−</m:t>
              </m:r>
              <m:r>
                <m:t>1</m:t>
              </m:r>
              <m:r>
                <m:rPr>
                  <m:sty m:val="p"/>
                </m:rPr>
                <m:t>,</m:t>
              </m:r>
              <m:r>
                <m:t>y</m:t>
              </m:r>
              <m:r>
                <m:rPr>
                  <m:sty m:val="p"/>
                </m:rPr>
                <m:t>−</m:t>
              </m:r>
              <m:r>
                <m:t>1</m:t>
              </m:r>
            </m:sub>
          </m:sSub>
        </m:oMath>
      </m:oMathPara>
    </w:p>
    <w:p>
      <w:pPr>
        <w:pStyle w:val="FirstParagraph"/>
      </w:pPr>
      <w:r>
        <w:t xml:space="preserve">where</w:t>
      </w:r>
      <w:r>
        <w:t xml:space="preserve"> </w:t>
      </w:r>
      <m:oMath>
        <m:sSub>
          <m:e>
            <m:r>
              <m:t>M</m:t>
            </m:r>
          </m:e>
          <m:sub>
            <m:r>
              <m:t>a</m:t>
            </m:r>
            <m:r>
              <m:rPr>
                <m:sty m:val="p"/>
              </m:rPr>
              <m:t>,</m:t>
            </m:r>
            <m:r>
              <m:t>y</m:t>
            </m:r>
          </m:sub>
        </m:sSub>
      </m:oMath>
      <w:r>
        <w:t xml:space="preserve"> </w:t>
      </w:r>
      <w:r>
        <w:t xml:space="preserve">is natural mortality supplied as data. Observations</w:t>
      </w:r>
      <w:r>
        <w:t xml:space="preserve"> </w:t>
      </w:r>
      <w:r>
        <w:t xml:space="preserve">consist of commercial catch-at-age (fleet 1) and survey indices (fleet</w:t>
      </w:r>
      <w:r>
        <w:t xml:space="preserve"> </w:t>
      </w:r>
      <w:r>
        <w:t xml:space="preserve">2, ages 1–5), both modeled with lognormal observation error.</w:t>
      </w:r>
    </w:p>
    <w:p>
      <w:pPr>
        <w:pStyle w:val="BodyText"/>
      </w:pPr>
      <w:r>
        <w:t xml:space="preserve">We implemented two formulations of recruitment dynamics, not in the same</w:t>
      </w:r>
      <w:r>
        <w:t xml:space="preserve"> </w:t>
      </w:r>
      <w:r>
        <w:t xml:space="preserve">model. First, we modeled annual recruitment deviations</w:t>
      </w:r>
      <w:r>
        <w:t xml:space="preserve"> </w:t>
      </w:r>
      <m:oMath>
        <m:sSub>
          <m:e>
            <m:r>
              <m:t>ε</m:t>
            </m:r>
          </m:e>
          <m:sub>
            <m:r>
              <m:t>y</m:t>
            </m:r>
          </m:sub>
        </m:sSub>
      </m:oMath>
      <w:r>
        <w:t xml:space="preserve"> </w:t>
      </w:r>
      <w:r>
        <w:t xml:space="preserve">as a first-order moving-average process (MA(1)),</w:t>
      </w:r>
    </w:p>
    <w:p>
      <w:pPr>
        <w:pStyle w:val="BodyText"/>
      </w:pPr>
      <m:oMathPara>
        <m:oMathParaPr>
          <m:jc m:val="center"/>
        </m:oMathParaPr>
        <m:oMath>
          <m:r>
            <m:rPr>
              <m:sty m:val="p"/>
            </m:rPr>
            <m:t>log</m:t>
          </m:r>
          <m:sSub>
            <m:e>
              <m:r>
                <m:t>N</m:t>
              </m:r>
            </m:e>
            <m:sub>
              <m:r>
                <m:t>1</m:t>
              </m:r>
              <m:r>
                <m:rPr>
                  <m:sty m:val="p"/>
                </m:rPr>
                <m:t>,</m:t>
              </m:r>
              <m:r>
                <m:t>y</m:t>
              </m:r>
            </m:sub>
          </m:sSub>
          <m:r>
            <m:rPr>
              <m:sty m:val="p"/>
            </m:rPr>
            <m:t>=</m:t>
          </m:r>
          <m:sSub>
            <m:e>
              <m:r>
                <m:t>μ</m:t>
              </m:r>
            </m:e>
            <m:sub>
              <m:r>
                <m:t>R</m:t>
              </m:r>
            </m:sub>
          </m:sSub>
          <m:r>
            <m:rPr>
              <m:sty m:val="p"/>
            </m:rPr>
            <m:t>+</m:t>
          </m:r>
          <m:sSub>
            <m:e>
              <m:r>
                <m:t>ε</m:t>
              </m:r>
            </m:e>
            <m:sub>
              <m:r>
                <m:t>y</m:t>
              </m:r>
            </m:sub>
          </m:sSub>
          <m:r>
            <m:rPr>
              <m:sty m:val="p"/>
            </m:rPr>
            <m:t>+</m:t>
          </m:r>
          <m:r>
            <m:t>θ</m:t>
          </m:r>
          <m:sSub>
            <m:e>
              <m:r>
                <m:t>ε</m:t>
              </m:r>
            </m:e>
            <m:sub>
              <m:r>
                <m:t>y</m:t>
              </m:r>
              <m:r>
                <m:rPr>
                  <m:sty m:val="p"/>
                </m:rPr>
                <m:t>−</m:t>
              </m:r>
              <m:r>
                <m:t>1</m:t>
              </m:r>
            </m:sub>
          </m:sSub>
          <m:r>
            <m:rPr>
              <m:sty m:val="p"/>
            </m:rPr>
            <m:t>,</m:t>
          </m:r>
          <m:r>
            <m:t> </m:t>
          </m:r>
          <m:sSub>
            <m:e>
              <m:r>
                <m:t>ε</m:t>
              </m:r>
            </m:e>
            <m:sub>
              <m:r>
                <m:t>y</m:t>
              </m:r>
            </m:sub>
          </m:sSub>
          <m:r>
            <m:rPr>
              <m:sty m:val="p"/>
            </m:rPr>
            <m:t>∼</m:t>
          </m:r>
          <m:r>
            <m:t>N</m:t>
          </m:r>
          <m:d>
            <m:dPr>
              <m:begChr m:val="("/>
              <m:endChr m:val=")"/>
              <m:sepChr m:val=""/>
              <m:grow/>
            </m:dPr>
            <m:e>
              <m:r>
                <m:t>0</m:t>
              </m:r>
              <m:r>
                <m:rPr>
                  <m:sty m:val="p"/>
                </m:rPr>
                <m:t>,</m:t>
              </m:r>
              <m:sSub>
                <m:e>
                  <m:r>
                    <m:t>σ</m:t>
                  </m:r>
                </m:e>
                <m:sub>
                  <m:r>
                    <m:t>R</m:t>
                  </m:r>
                </m:sub>
              </m:sSub>
            </m:e>
          </m:d>
        </m:oMath>
      </m:oMathPara>
    </w:p>
    <w:p>
      <w:pPr>
        <w:pStyle w:val="FirstParagraph"/>
      </w:pPr>
      <w:r>
        <w:t xml:space="preserve">where</w:t>
      </w:r>
      <w:r>
        <w:t xml:space="preserve"> </w:t>
      </w:r>
      <m:oMath>
        <m:r>
          <m:t>θ</m:t>
        </m:r>
        <m:r>
          <m:rPr>
            <m:sty m:val="p"/>
          </m:rPr>
          <m:t>=</m:t>
        </m:r>
        <m:r>
          <m:t>2</m:t>
        </m:r>
        <m:r>
          <m:t> </m:t>
        </m:r>
        <m:sSup>
          <m:e>
            <m:r>
              <m:rPr>
                <m:nor/>
                <m:sty m:val="p"/>
              </m:rPr>
              <m:t>logit</m:t>
            </m:r>
          </m:e>
          <m:sup>
            <m:r>
              <m:rPr>
                <m:sty m:val="p"/>
              </m:rPr>
              <m:t>−</m:t>
            </m:r>
            <m:r>
              <m:t>1</m:t>
            </m:r>
          </m:sup>
        </m:sSup>
        <m:d>
          <m:dPr>
            <m:begChr m:val="("/>
            <m:endChr m:val=")"/>
            <m:sepChr m:val=""/>
            <m:grow/>
          </m:dPr>
          <m:e>
            <m:sSub>
              <m:e>
                <m:acc>
                  <m:accPr>
                    <m:chr m:val="̃"/>
                  </m:accPr>
                  <m:e>
                    <m:r>
                      <m:t>θ</m:t>
                    </m:r>
                  </m:e>
                </m:acc>
              </m:e>
              <m:sub>
                <m:r>
                  <m:t>R</m:t>
                </m:r>
              </m:sub>
            </m:sSub>
          </m:e>
        </m:d>
        <m:r>
          <m:rPr>
            <m:sty m:val="p"/>
          </m:rPr>
          <m:t>−</m:t>
        </m:r>
        <m:r>
          <m:t>1</m:t>
        </m:r>
      </m:oMath>
      <w:r>
        <w:t xml:space="preserve">.</w:t>
      </w:r>
    </w:p>
    <w:p>
      <w:pPr>
        <w:pStyle w:val="BodyText"/>
      </w:pPr>
      <w:r>
        <w:t xml:space="preserve">Our second formulation simulated annual recruitment as a first order</w:t>
      </w:r>
      <w:r>
        <w:t xml:space="preserve"> </w:t>
      </w:r>
      <w:r>
        <w:t xml:space="preserve">autoregressive process,</w:t>
      </w:r>
    </w:p>
    <w:p>
      <w:pPr>
        <w:pStyle w:val="BodyText"/>
      </w:pPr>
      <m:oMathPara>
        <m:oMathParaPr>
          <m:jc m:val="center"/>
        </m:oMathParaPr>
        <m:oMath>
          <m:r>
            <m:rPr>
              <m:sty m:val="p"/>
            </m:rPr>
            <m:t>log</m:t>
          </m:r>
          <m:sSub>
            <m:e>
              <m:r>
                <m:t>N</m:t>
              </m:r>
            </m:e>
            <m:sub>
              <m:r>
                <m:t>1</m:t>
              </m:r>
              <m:r>
                <m:rPr>
                  <m:sty m:val="p"/>
                </m:rPr>
                <m:t>,</m:t>
              </m:r>
              <m:r>
                <m:t>y</m:t>
              </m:r>
            </m:sub>
          </m:sSub>
          <m:r>
            <m:rPr>
              <m:sty m:val="p"/>
            </m:rPr>
            <m:t>=</m:t>
          </m:r>
          <m:r>
            <m:t>ϕ</m:t>
          </m:r>
          <m:r>
            <m:rPr>
              <m:sty m:val="p"/>
            </m:rPr>
            <m:t>log</m:t>
          </m:r>
          <m:sSub>
            <m:e>
              <m:r>
                <m:t>N</m:t>
              </m:r>
            </m:e>
            <m:sub>
              <m:r>
                <m:t>1</m:t>
              </m:r>
              <m:r>
                <m:rPr>
                  <m:sty m:val="p"/>
                </m:rPr>
                <m:t>,</m:t>
              </m:r>
              <m:r>
                <m:t>y</m:t>
              </m:r>
              <m:r>
                <m:rPr>
                  <m:sty m:val="p"/>
                </m:rPr>
                <m:t>−</m:t>
              </m:r>
              <m:r>
                <m:t>1</m:t>
              </m:r>
            </m:sub>
          </m:sSub>
          <m:r>
            <m:rPr>
              <m:sty m:val="p"/>
            </m:rPr>
            <m:t>+</m:t>
          </m:r>
          <m:sSub>
            <m:e>
              <m:r>
                <m:t>μ</m:t>
              </m:r>
            </m:e>
            <m:sub>
              <m:r>
                <m:t>R</m:t>
              </m:r>
            </m:sub>
          </m:sSub>
          <m:d>
            <m:dPr>
              <m:begChr m:val="("/>
              <m:endChr m:val=")"/>
              <m:sepChr m:val=""/>
              <m:grow/>
            </m:dPr>
            <m:e>
              <m:r>
                <m:t>1</m:t>
              </m:r>
              <m:r>
                <m:rPr>
                  <m:sty m:val="p"/>
                </m:rPr>
                <m:t>−</m:t>
              </m:r>
              <m:r>
                <m:t>ϕ</m:t>
              </m:r>
            </m:e>
          </m:d>
          <m:r>
            <m:rPr>
              <m:sty m:val="p"/>
            </m:rPr>
            <m:t>+</m:t>
          </m:r>
          <m:sSub>
            <m:e>
              <m:r>
                <m:t>σ</m:t>
              </m:r>
            </m:e>
            <m:sub>
              <m:r>
                <m:t>R</m:t>
              </m:r>
            </m:sub>
          </m:sSub>
          <m:sSub>
            <m:e>
              <m:r>
                <m:t>z</m:t>
              </m:r>
            </m:e>
            <m:sub>
              <m:r>
                <m:t>y</m:t>
              </m:r>
            </m:sub>
          </m:sSub>
          <m:r>
            <m:rPr>
              <m:sty m:val="p"/>
            </m:rPr>
            <m:t>,</m:t>
          </m:r>
          <m:r>
            <m:t> </m:t>
          </m:r>
          <m:sSub>
            <m:e>
              <m:r>
                <m:t>z</m:t>
              </m:r>
            </m:e>
            <m:sub>
              <m:r>
                <m:t>y</m:t>
              </m:r>
            </m:sub>
          </m:sSub>
          <m:r>
            <m:rPr>
              <m:sty m:val="p"/>
            </m:rPr>
            <m:t>∼</m:t>
          </m:r>
          <m:r>
            <m:t>N</m:t>
          </m:r>
          <m:d>
            <m:dPr>
              <m:begChr m:val="("/>
              <m:endChr m:val=")"/>
              <m:sepChr m:val=""/>
              <m:grow/>
            </m:dPr>
            <m:e>
              <m:r>
                <m:t>0</m:t>
              </m:r>
              <m:r>
                <m:rPr>
                  <m:sty m:val="p"/>
                </m:rPr>
                <m:t>,</m:t>
              </m:r>
              <m:r>
                <m:t>1</m:t>
              </m:r>
            </m:e>
          </m:d>
        </m:oMath>
      </m:oMathPara>
    </w:p>
    <w:p>
      <w:pPr>
        <w:pStyle w:val="FirstParagraph"/>
      </w:pPr>
      <w:r>
        <w:t xml:space="preserve">where the AR parameter</w:t>
      </w:r>
      <w:r>
        <w:t xml:space="preserve"> </w:t>
      </w:r>
      <m:oMath>
        <m:r>
          <m:t>ϕ</m:t>
        </m:r>
        <m:r>
          <m:rPr>
            <m:sty m:val="p"/>
          </m:rPr>
          <m:t>=</m:t>
        </m:r>
        <m:r>
          <m:t>2</m:t>
        </m:r>
        <m:r>
          <m:t> </m:t>
        </m:r>
        <m:sSup>
          <m:e>
            <m:r>
              <m:rPr>
                <m:nor/>
                <m:sty m:val="p"/>
              </m:rPr>
              <m:t>logit</m:t>
            </m:r>
          </m:e>
          <m:sup>
            <m:r>
              <m:rPr>
                <m:sty m:val="p"/>
              </m:rPr>
              <m:t>−</m:t>
            </m:r>
            <m:r>
              <m:t>1</m:t>
            </m:r>
          </m:sup>
        </m:sSup>
        <m:d>
          <m:dPr>
            <m:begChr m:val="("/>
            <m:endChr m:val=")"/>
            <m:sepChr m:val=""/>
            <m:grow/>
          </m:dPr>
          <m:e>
            <m:sSub>
              <m:e>
                <m:acc>
                  <m:accPr>
                    <m:chr m:val="̃"/>
                  </m:accPr>
                  <m:e>
                    <m:r>
                      <m:t>ϕ</m:t>
                    </m:r>
                  </m:e>
                </m:acc>
              </m:e>
              <m:sub>
                <m:r>
                  <m:t>R</m:t>
                </m:r>
              </m:sub>
            </m:sSub>
          </m:e>
        </m:d>
        <m:r>
          <m:rPr>
            <m:sty m:val="p"/>
          </m:rPr>
          <m:t>−</m:t>
        </m:r>
        <m:r>
          <m:t>1</m:t>
        </m:r>
      </m:oMath>
      <w:r>
        <w:t xml:space="preserve">.</w:t>
      </w:r>
    </w:p>
    <w:bookmarkEnd w:id="30"/>
    <w:bookmarkStart w:id="32" w:name="estimation"/>
    <w:p>
      <w:pPr>
        <w:pStyle w:val="Heading2"/>
      </w:pPr>
      <w:r>
        <w:rPr>
          <w:rStyle w:val="SectionNumber"/>
        </w:rPr>
        <w:t xml:space="preserve">3.2</w:t>
      </w:r>
      <w:r>
        <w:tab/>
      </w:r>
      <w:r>
        <w:t xml:space="preserve">Estimation</w:t>
      </w:r>
    </w:p>
    <w:p>
      <w:pPr>
        <w:pStyle w:val="FirstParagraph"/>
      </w:pPr>
      <w:r>
        <w:t xml:space="preserve">We compared five model implementations across the two recruitment</w:t>
      </w:r>
      <w:r>
        <w:t xml:space="preserve"> </w:t>
      </w:r>
      <w:r>
        <w:t xml:space="preserve">dynamics formulations (MA(1) and AR(1)), varying in the choice of random</w:t>
      </w:r>
      <w:r>
        <w:t xml:space="preserve"> </w:t>
      </w:r>
      <w:r>
        <w:t xml:space="preserve">effect and the resulting Hessian sparsity structure (Table</w:t>
      </w:r>
      <w:r>
        <w:t xml:space="preserve"> </w:t>
      </w:r>
      <w:r>
        <w:t xml:space="preserve">3.1</w:t>
      </w:r>
      <w:r>
        <w:t xml:space="preserve">). For the</w:t>
      </w:r>
      <w:r>
        <w:t xml:space="preserve"> </w:t>
      </w:r>
      <w:r>
        <w:t xml:space="preserve">MA(1) models, we compared treating the innovations</w:t>
      </w:r>
      <w:r>
        <w:t xml:space="preserve"> </w:t>
      </w:r>
      <m:oMath>
        <m:sSub>
          <m:e>
            <m:r>
              <m:t>ε</m:t>
            </m:r>
          </m:e>
          <m:sub>
            <m:r>
              <m:t>y</m:t>
            </m:r>
          </m:sub>
        </m:sSub>
      </m:oMath>
      <w:r>
        <w:t xml:space="preserve"> </w:t>
      </w:r>
      <w:r>
        <w:t xml:space="preserve">or</w:t>
      </w:r>
      <w:r>
        <w:t xml:space="preserve"> </w:t>
      </w:r>
      <w:r>
        <w:t xml:space="preserve">recruitment</w:t>
      </w:r>
      <w:r>
        <w:t xml:space="preserve"> </w:t>
      </w:r>
      <m:oMath>
        <m:r>
          <m:rPr>
            <m:sty m:val="p"/>
          </m:rPr>
          <m:t>log</m:t>
        </m:r>
        <m:sSub>
          <m:e>
            <m:r>
              <m:t>N</m:t>
            </m:r>
          </m:e>
          <m:sub>
            <m:r>
              <m:t>1</m:t>
            </m:r>
            <m:r>
              <m:rPr>
                <m:sty m:val="p"/>
              </m:rPr>
              <m:t>,</m:t>
            </m:r>
            <m:r>
              <m:t>y</m:t>
            </m:r>
          </m:sub>
        </m:sSub>
      </m:oMath>
      <w:r>
        <w:t xml:space="preserve"> </w:t>
      </w:r>
      <w:r>
        <w:t xml:space="preserve">directly as the random effect. When</w:t>
      </w:r>
      <w:r>
        <w:t xml:space="preserve"> </w:t>
      </w:r>
      <w:r>
        <w:t xml:space="preserve">innovations</w:t>
      </w:r>
      <w:r>
        <w:t xml:space="preserve"> </w:t>
      </w:r>
      <m:oMath>
        <m:sSub>
          <m:e>
            <m:r>
              <m:t>ε</m:t>
            </m:r>
          </m:e>
          <m:sub>
            <m:r>
              <m:t>y</m:t>
            </m:r>
          </m:sub>
        </m:sSub>
      </m:oMath>
      <w:r>
        <w:t xml:space="preserve"> </w:t>
      </w:r>
      <w:r>
        <w:t xml:space="preserve">are a random effect,</w:t>
      </w:r>
      <w:r>
        <w:t xml:space="preserve"> </w:t>
      </w:r>
      <m:oMath>
        <m:r>
          <m:rPr>
            <m:sty m:val="p"/>
          </m:rPr>
          <m:t>log</m:t>
        </m:r>
        <m:sSub>
          <m:e>
            <m:r>
              <m:t>N</m:t>
            </m:r>
          </m:e>
          <m:sub>
            <m:r>
              <m:t>1</m:t>
            </m:r>
            <m:r>
              <m:rPr>
                <m:sty m:val="p"/>
              </m:rPr>
              <m:t>,</m:t>
            </m:r>
            <m:r>
              <m:t>y</m:t>
            </m:r>
          </m:sub>
        </m:sSub>
      </m:oMath>
      <w:r>
        <w:t xml:space="preserve"> </w:t>
      </w:r>
      <w:r>
        <w:t xml:space="preserve">is</w:t>
      </w:r>
      <w:r>
        <w:t xml:space="preserve"> </w:t>
      </w:r>
      <w:r>
        <w:t xml:space="preserve">computed deterministically MA(1) process, yielding a sparse banded</w:t>
      </w:r>
      <w:r>
        <w:t xml:space="preserve"> </w:t>
      </w:r>
      <w:r>
        <w:t xml:space="preserve">Hessian because each</w:t>
      </w:r>
      <w:r>
        <w:t xml:space="preserve"> </w:t>
      </w:r>
      <m:oMath>
        <m:sSub>
          <m:e>
            <m:r>
              <m:t>ε</m:t>
            </m:r>
          </m:e>
          <m:sub>
            <m:r>
              <m:t>y</m:t>
            </m:r>
          </m:sub>
        </m:sSub>
      </m:oMath>
      <w:r>
        <w:t xml:space="preserve"> </w:t>
      </w:r>
      <w:r>
        <w:t xml:space="preserve">connects only to its immediate</w:t>
      </w:r>
      <w:r>
        <w:t xml:space="preserve"> </w:t>
      </w:r>
      <w:r>
        <w:t xml:space="preserve">neighbors. In our second MA(1) estimation model with</w:t>
      </w:r>
      <w:r>
        <w:t xml:space="preserve"> </w:t>
      </w:r>
      <m:oMath>
        <m:r>
          <m:rPr>
            <m:sty m:val="p"/>
          </m:rPr>
          <m:t>log</m:t>
        </m:r>
        <m:sSub>
          <m:e>
            <m:r>
              <m:t>N</m:t>
            </m:r>
          </m:e>
          <m:sub>
            <m:r>
              <m:t>1</m:t>
            </m:r>
            <m:r>
              <m:rPr>
                <m:sty m:val="p"/>
              </m:rPr>
              <m:t>,</m:t>
            </m:r>
            <m:r>
              <m:t>y</m:t>
            </m:r>
          </m:sub>
        </m:sSub>
      </m:oMath>
      <w:r>
        <w:t xml:space="preserve"> </w:t>
      </w:r>
      <w:r>
        <w:t xml:space="preserve">as</w:t>
      </w:r>
      <w:r>
        <w:t xml:space="preserve"> </w:t>
      </w:r>
      <w:r>
        <w:t xml:space="preserve">random effects, the</w:t>
      </w:r>
      <w:r>
        <w:t xml:space="preserve"> </w:t>
      </w:r>
      <m:oMath>
        <m:sSub>
          <m:e>
            <m:r>
              <m:t>ε</m:t>
            </m:r>
          </m:e>
          <m:sub>
            <m:r>
              <m:t>y</m:t>
            </m:r>
          </m:sub>
        </m:sSub>
      </m:oMath>
      <w:r>
        <w:t xml:space="preserve"> </w:t>
      </w:r>
      <w:r>
        <w:t xml:space="preserve">become derived quantities, with a</w:t>
      </w:r>
      <w:r>
        <w:t xml:space="preserve"> </w:t>
      </w:r>
      <w:r>
        <w:t xml:space="preserve">dense Hessian because each</w:t>
      </w:r>
      <w:r>
        <w:t xml:space="preserve"> </w:t>
      </w:r>
      <m:oMath>
        <m:r>
          <m:rPr>
            <m:sty m:val="p"/>
          </m:rPr>
          <m:t>log</m:t>
        </m:r>
        <m:sSub>
          <m:e>
            <m:r>
              <m:t>N</m:t>
            </m:r>
          </m:e>
          <m:sub>
            <m:r>
              <m:t>1</m:t>
            </m:r>
            <m:r>
              <m:rPr>
                <m:sty m:val="p"/>
              </m:rPr>
              <m:t>,</m:t>
            </m:r>
            <m:r>
              <m:t>y</m:t>
            </m:r>
          </m:sub>
        </m:sSub>
      </m:oMath>
      <w:r>
        <w:t xml:space="preserve"> </w:t>
      </w:r>
      <w:r>
        <w:t xml:space="preserve">propagates through all future</w:t>
      </w:r>
      <w:r>
        <w:t xml:space="preserve"> </w:t>
      </w:r>
      <w:r>
        <w:t xml:space="preserve">time steps. [cite Kristensen 2016? Rue and Held?, other?]</w:t>
      </w:r>
    </w:p>
    <w:p>
      <w:pPr>
        <w:pStyle w:val="BodyText"/>
      </w:pPr>
      <w:r>
        <w:t xml:space="preserve">For the AR(1) models, we implemented three estimation model variants.</w:t>
      </w:r>
      <w:r>
        <w:t xml:space="preserve"> </w:t>
      </w:r>
      <w:r>
        <w:t xml:space="preserve">RTMB includes a</w:t>
      </w:r>
      <w:r>
        <w:t xml:space="preserve"> </w:t>
      </w:r>
      <w:r>
        <w:rPr>
          <w:rStyle w:val="VerbatimChar"/>
        </w:rPr>
        <w:t xml:space="preserve">dautoreg</w:t>
      </w:r>
      <w:r>
        <w:t xml:space="preserve"> </w:t>
      </w:r>
      <w:r>
        <w:t xml:space="preserve">function, which uses the banded precision</w:t>
      </w:r>
      <w:r>
        <w:t xml:space="preserve"> </w:t>
      </w:r>
      <w:r>
        <w:t xml:space="preserve">matrix of the AR(1) process for sparse Hessian evaluation. Our first</w:t>
      </w:r>
      <w:r>
        <w:t xml:space="preserve"> </w:t>
      </w:r>
      <w:r>
        <w:t xml:space="preserve">estimation approach treated the</w:t>
      </w:r>
      <w:r>
        <w:t xml:space="preserve"> </w:t>
      </w:r>
      <m:oMath>
        <m:r>
          <m:rPr>
            <m:sty m:val="p"/>
          </m:rPr>
          <m:t>log</m:t>
        </m:r>
        <m:sSub>
          <m:e>
            <m:r>
              <m:t>N</m:t>
            </m:r>
          </m:e>
          <m:sub>
            <m:r>
              <m:t>1</m:t>
            </m:r>
            <m:r>
              <m:rPr>
                <m:sty m:val="p"/>
              </m:rPr>
              <m:t>,</m:t>
            </m:r>
            <m:r>
              <m:t>y</m:t>
            </m:r>
          </m:sub>
        </m:sSub>
      </m:oMath>
      <w:r>
        <w:t xml:space="preserve"> </w:t>
      </w:r>
      <w:r>
        <w:t xml:space="preserve">as random effects, and</w:t>
      </w:r>
      <w:r>
        <w:t xml:space="preserve"> </w:t>
      </w:r>
      <w:r>
        <w:t xml:space="preserve">utilized the</w:t>
      </w:r>
      <w:r>
        <w:t xml:space="preserve"> </w:t>
      </w:r>
      <w:r>
        <w:rPr>
          <w:rStyle w:val="VerbatimChar"/>
        </w:rPr>
        <w:t xml:space="preserve">dautoreg</w:t>
      </w:r>
      <w:r>
        <w:t xml:space="preserve"> </w:t>
      </w:r>
      <w:r>
        <w:t xml:space="preserve">approach. To isolate the effect of this</w:t>
      </w:r>
      <w:r>
        <w:t xml:space="preserve"> </w:t>
      </w:r>
      <w:r>
        <w:t xml:space="preserve">function, our second approach involved an identical model, but we</w:t>
      </w:r>
      <w:r>
        <w:t xml:space="preserve"> </w:t>
      </w:r>
      <w:r>
        <w:t xml:space="preserve">replaced</w:t>
      </w:r>
      <w:r>
        <w:t xml:space="preserve"> </w:t>
      </w:r>
      <w:r>
        <w:rPr>
          <w:rStyle w:val="VerbatimChar"/>
        </w:rPr>
        <w:t xml:space="preserve">dautoreg</w:t>
      </w:r>
      <w:r>
        <w:t xml:space="preserve"> </w:t>
      </w:r>
      <w:r>
        <w:t xml:space="preserve">with a loop, resulting in a dense Hessian from the</w:t>
      </w:r>
      <w:r>
        <w:t xml:space="preserve"> </w:t>
      </w:r>
      <w:r>
        <w:t xml:space="preserve">same statistical model. Parallel to our MA(1) comparison, we were also</w:t>
      </w:r>
      <w:r>
        <w:t xml:space="preserve"> </w:t>
      </w:r>
      <w:r>
        <w:t xml:space="preserve">interested in effects of treating the deviations as random effects; our</w:t>
      </w:r>
      <w:r>
        <w:t xml:space="preserve"> </w:t>
      </w:r>
      <w:r>
        <w:t xml:space="preserve">third estimation model treated the AR(1) deviations</w:t>
      </w:r>
      <w:r>
        <w:t xml:space="preserve"> </w:t>
      </w:r>
      <m:oMath>
        <m:sSub>
          <m:e>
            <m:r>
              <m:t>ε</m:t>
            </m:r>
          </m:e>
          <m:sub>
            <m:r>
              <m:t>y</m:t>
            </m:r>
          </m:sub>
        </m:sSub>
        <m:r>
          <m:rPr>
            <m:sty m:val="p"/>
          </m:rPr>
          <m:t>∼</m:t>
        </m:r>
        <m:r>
          <m:t>N</m:t>
        </m:r>
        <m:d>
          <m:dPr>
            <m:begChr m:val="("/>
            <m:endChr m:val=")"/>
            <m:sepChr m:val=""/>
            <m:grow/>
          </m:dPr>
          <m:e>
            <m:r>
              <m:t>0</m:t>
            </m:r>
            <m:r>
              <m:rPr>
                <m:sty m:val="p"/>
              </m:rPr>
              <m:t>,</m:t>
            </m:r>
            <m:r>
              <m:t> </m:t>
            </m:r>
            <m:sSub>
              <m:e>
                <m:r>
                  <m:t>σ</m:t>
                </m:r>
              </m:e>
              <m:sub>
                <m:r>
                  <m:t>R</m:t>
                </m:r>
              </m:sub>
            </m:sSub>
            <m:rad>
              <m:radPr>
                <m:degHide m:val="on"/>
              </m:radPr>
              <m:deg/>
              <m:e>
                <m:r>
                  <m:t>1</m:t>
                </m:r>
                <m:r>
                  <m:rPr>
                    <m:sty m:val="p"/>
                  </m:rPr>
                  <m:t>−</m:t>
                </m:r>
                <m:sSup>
                  <m:e>
                    <m:r>
                      <m:t>ϕ</m:t>
                    </m:r>
                  </m:e>
                  <m:sup>
                    <m:r>
                      <m:t>2</m:t>
                    </m:r>
                  </m:sup>
                </m:sSup>
              </m:e>
            </m:rad>
          </m:e>
        </m:d>
      </m:oMath>
      <w:r>
        <w:t xml:space="preserve"> </w:t>
      </w:r>
      <w:r>
        <w:t xml:space="preserve">as random effects,</w:t>
      </w:r>
      <w:r>
        <w:t xml:space="preserve"> </w:t>
      </w:r>
      <w:r>
        <w:t xml:space="preserve">with</w:t>
      </w:r>
      <w:r>
        <w:t xml:space="preserve"> </w:t>
      </w:r>
      <m:oMath>
        <m:r>
          <m:rPr>
            <m:sty m:val="p"/>
          </m:rPr>
          <m:t>log</m:t>
        </m:r>
        <m:sSub>
          <m:e>
            <m:r>
              <m:t>N</m:t>
            </m:r>
          </m:e>
          <m:sub>
            <m:r>
              <m:t>1</m:t>
            </m:r>
            <m:r>
              <m:rPr>
                <m:sty m:val="p"/>
              </m:rPr>
              <m:t>,</m:t>
            </m:r>
            <m:r>
              <m:t>y</m:t>
            </m:r>
          </m:sub>
        </m:sSub>
      </m:oMath>
      <w:r>
        <w:t xml:space="preserve"> </w:t>
      </w:r>
      <w:r>
        <w:t xml:space="preserve">as derived quantities, also yielding a sparse</w:t>
      </w:r>
      <w:r>
        <w:t xml:space="preserve"> </w:t>
      </w:r>
      <w:r>
        <w:t xml:space="preserve">Hessian. Collectively these implementations allow us to disentangle the</w:t>
      </w:r>
      <w:r>
        <w:t xml:space="preserve"> </w:t>
      </w:r>
      <w:r>
        <w:t xml:space="preserve">effects of random effect choice and Hessian sparsity on sampling</w:t>
      </w:r>
      <w:r>
        <w:t xml:space="preserve"> </w:t>
      </w:r>
      <w:r>
        <w:t xml:space="preserve">efficiency.</w:t>
      </w:r>
    </w:p>
    <w:p>
      <w:pPr>
        <w:pStyle w:val="BodyText"/>
      </w:pPr>
      <w:r>
        <w:t xml:space="preserve">We performed estimation using maximum likelihood and Bayesian approaches</w:t>
      </w:r>
      <w:r>
        <w:t xml:space="preserve"> </w:t>
      </w:r>
      <w:r>
        <w:t xml:space="preserve">(MCMC). Models were coded in RTMB (cite), and fitted model objects were</w:t>
      </w:r>
      <w:r>
        <w:t xml:space="preserve"> </w:t>
      </w:r>
      <w:r>
        <w:t xml:space="preserve">then passed directly to Stan via the</w:t>
      </w:r>
      <w:r>
        <w:t xml:space="preserve"> </w:t>
      </w:r>
      <w:r>
        <w:rPr>
          <w:rStyle w:val="VerbatimChar"/>
        </w:rPr>
        <w:t xml:space="preserve">tmbstan</w:t>
      </w:r>
      <w:r>
        <w:t xml:space="preserve"> </w:t>
      </w:r>
      <w:r>
        <w:t xml:space="preserve">package (cite Monahan et</w:t>
      </w:r>
      <w:r>
        <w:t xml:space="preserve"> </w:t>
      </w:r>
      <w:r>
        <w:t xml:space="preserve">al.). For comparison purposes, we then re-coded estimation models</w:t>
      </w:r>
      <w:r>
        <w:t xml:space="preserve"> </w:t>
      </w:r>
      <w:r>
        <w:t xml:space="preserve">directly in Stan, and re-estimated parameters. Both MCMC approaches used</w:t>
      </w:r>
      <w:r>
        <w:t xml:space="preserve"> </w:t>
      </w:r>
      <w:r>
        <w:t xml:space="preserve">4 chains, with 4000 iterations each (retaining the last 2000). We</w:t>
      </w:r>
      <w:r>
        <w:t xml:space="preserve"> </w:t>
      </w:r>
      <w:r>
        <w:t xml:space="preserve">specified the target acceptance probability of the NUTS sampler to be</w:t>
      </w:r>
      <w:r>
        <w:t xml:space="preserve"> </w:t>
      </w:r>
      <w:r>
        <w:t xml:space="preserve">0.99 (</w:t>
      </w:r>
      <w:r>
        <w:rPr>
          <w:rStyle w:val="VerbatimChar"/>
        </w:rPr>
        <w:t xml:space="preserve">adapt_delta</w:t>
      </w:r>
      <w:r>
        <w:t xml:space="preserve">). For Bayesian estimation (and RTMB equivalence),</w:t>
      </w:r>
      <w:r>
        <w:t xml:space="preserve"> </w:t>
      </w:r>
      <w:r>
        <w:t xml:space="preserve">all standard deviation parameters were given</w:t>
      </w:r>
      <w:r>
        <w:t xml:space="preserve"> </w:t>
      </w:r>
      <m:oMath>
        <m:r>
          <m:t>N</m:t>
        </m:r>
        <m:d>
          <m:dPr>
            <m:begChr m:val="("/>
            <m:endChr m:val=")"/>
            <m:sepChr m:val=""/>
            <m:grow/>
          </m:dPr>
          <m:e>
            <m:r>
              <m:t>0</m:t>
            </m:r>
            <m:r>
              <m:rPr>
                <m:sty m:val="p"/>
              </m:rPr>
              <m:t>,</m:t>
            </m:r>
            <m:r>
              <m:t>1</m:t>
            </m:r>
          </m:e>
        </m:d>
      </m:oMath>
      <w:r>
        <w:t xml:space="preserve"> </w:t>
      </w:r>
      <w:r>
        <w:t xml:space="preserve">priors on the log</w:t>
      </w:r>
      <w:r>
        <w:t xml:space="preserve"> </w:t>
      </w:r>
      <w:r>
        <w:t xml:space="preserve">scale, and all other parameters were given Stan’s default flat priors.</w:t>
      </w:r>
    </w:p>
    <w:p>
      <w:pPr>
        <w:pStyle w:val="TableCaption"/>
      </w:pPr>
      <w:bookmarkStart w:id="31" w:name="tab:table1"/>
      <w:bookmarkEnd w:id="31"/>
      <w:r>
        <w:t xml:space="preserve">Table 3.1: Summary of model implementations.</w:t>
      </w:r>
    </w:p>
    <w:tbl>
      <w:tblPr>
        <w:tblStyle w:val="Table"/>
        <w:tblW w:type="auto" w:w="0"/>
        <w:tblLook w:firstRow="1" w:lastRow="0" w:firstColumn="0" w:lastColumn="0" w:noHBand="0" w:noVBand="0" w:val="0020"/>
        <w:jc w:val="start"/>
        <w:tblCaption w:val="Table 3.1: Summary of model implementations."/>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Random effect</w:t>
            </w:r>
          </w:p>
        </w:tc>
        <w:tc>
          <w:tcPr/>
          <w:p>
            <w:pPr>
              <w:pStyle w:val="Compact"/>
              <w:jc w:val="center"/>
            </w:pPr>
            <w:r>
              <w:t xml:space="preserve">Hessian</w:t>
            </w:r>
          </w:p>
        </w:tc>
      </w:tr>
      <w:tr>
        <w:tc>
          <w:tcPr/>
          <w:p>
            <w:pPr>
              <w:pStyle w:val="Compact"/>
              <w:jc w:val="left"/>
            </w:pPr>
            <w:r>
              <w:t xml:space="preserve">MA</w:t>
            </w:r>
          </w:p>
        </w:tc>
        <w:tc>
          <w:tcPr/>
          <w:p>
            <w:pPr>
              <w:pStyle w:val="Compact"/>
              <w:jc w:val="left"/>
            </w:pPr>
            <m:oMath>
              <m:r>
                <m:t>ε</m:t>
              </m:r>
            </m:oMath>
          </w:p>
        </w:tc>
        <w:tc>
          <w:tcPr/>
          <w:p>
            <w:pPr>
              <w:pStyle w:val="Compact"/>
              <w:jc w:val="center"/>
            </w:pPr>
            <w:r>
              <w:t xml:space="preserve">Sparse</w:t>
            </w:r>
          </w:p>
        </w:tc>
      </w:tr>
      <w:tr>
        <w:tc>
          <w:tcPr/>
          <w:p>
            <w:pPr>
              <w:pStyle w:val="Compact"/>
              <w:jc w:val="left"/>
            </w:pPr>
            <w:r>
              <w:t xml:space="preserve">MA</w:t>
            </w:r>
          </w:p>
        </w:tc>
        <w:tc>
          <w:tcPr/>
          <w:p>
            <w:pPr>
              <w:pStyle w:val="Compact"/>
              <w:jc w:val="left"/>
            </w:pPr>
            <m:oMath>
              <m:r>
                <m:rPr>
                  <m:sty m:val="p"/>
                </m:rPr>
                <m:t>log</m:t>
              </m:r>
              <m:sSub>
                <m:e>
                  <m:r>
                    <m:t>N</m:t>
                  </m:r>
                </m:e>
                <m:sub>
                  <m:r>
                    <m:t>1</m:t>
                  </m:r>
                  <m:r>
                    <m:rPr>
                      <m:sty m:val="p"/>
                    </m:rPr>
                    <m:t>,</m:t>
                  </m:r>
                  <m:r>
                    <m:t>y</m:t>
                  </m:r>
                </m:sub>
              </m:sSub>
            </m:oMath>
          </w:p>
        </w:tc>
        <w:tc>
          <w:tcPr/>
          <w:p>
            <w:pPr>
              <w:pStyle w:val="Compact"/>
              <w:jc w:val="center"/>
            </w:pPr>
            <w:r>
              <w:t xml:space="preserve">Dense</w:t>
            </w:r>
          </w:p>
        </w:tc>
      </w:tr>
      <w:tr>
        <w:tc>
          <w:tcPr/>
          <w:p>
            <w:pPr>
              <w:pStyle w:val="Compact"/>
              <w:jc w:val="left"/>
            </w:pPr>
            <w:r>
              <w:t xml:space="preserve">AR</w:t>
            </w:r>
          </w:p>
        </w:tc>
        <w:tc>
          <w:tcPr/>
          <w:p>
            <w:pPr>
              <w:pStyle w:val="Compact"/>
              <w:jc w:val="left"/>
            </w:pPr>
            <m:oMath>
              <m:r>
                <m:rPr>
                  <m:sty m:val="p"/>
                </m:rPr>
                <m:t>log</m:t>
              </m:r>
              <m:sSub>
                <m:e>
                  <m:r>
                    <m:t>N</m:t>
                  </m:r>
                </m:e>
                <m:sub>
                  <m:r>
                    <m:t>1</m:t>
                  </m:r>
                  <m:r>
                    <m:rPr>
                      <m:sty m:val="p"/>
                    </m:rPr>
                    <m:t>,</m:t>
                  </m:r>
                  <m:r>
                    <m:t>y</m:t>
                  </m:r>
                </m:sub>
              </m:sSub>
            </m:oMath>
            <w:r>
              <w:t xml:space="preserve"> </w:t>
            </w:r>
            <w:r>
              <w:t xml:space="preserve">(dautoreg)</w:t>
            </w:r>
          </w:p>
        </w:tc>
        <w:tc>
          <w:tcPr/>
          <w:p>
            <w:pPr>
              <w:pStyle w:val="Compact"/>
              <w:jc w:val="center"/>
            </w:pPr>
            <w:r>
              <w:t xml:space="preserve">Sparse</w:t>
            </w:r>
          </w:p>
        </w:tc>
      </w:tr>
      <w:tr>
        <w:tc>
          <w:tcPr/>
          <w:p>
            <w:pPr>
              <w:pStyle w:val="Compact"/>
              <w:jc w:val="left"/>
            </w:pPr>
            <w:r>
              <w:t xml:space="preserve">AR</w:t>
            </w:r>
          </w:p>
        </w:tc>
        <w:tc>
          <w:tcPr/>
          <w:p>
            <w:pPr>
              <w:pStyle w:val="Compact"/>
              <w:jc w:val="left"/>
            </w:pPr>
            <m:oMath>
              <m:r>
                <m:rPr>
                  <m:sty m:val="p"/>
                </m:rPr>
                <m:t>log</m:t>
              </m:r>
              <m:sSub>
                <m:e>
                  <m:r>
                    <m:t>N</m:t>
                  </m:r>
                </m:e>
                <m:sub>
                  <m:r>
                    <m:t>1</m:t>
                  </m:r>
                  <m:r>
                    <m:rPr>
                      <m:sty m:val="p"/>
                    </m:rPr>
                    <m:t>,</m:t>
                  </m:r>
                  <m:r>
                    <m:t>y</m:t>
                  </m:r>
                </m:sub>
              </m:sSub>
            </m:oMath>
            <w:r>
              <w:t xml:space="preserve"> </w:t>
            </w:r>
            <w:r>
              <w:t xml:space="preserve">(loop)</w:t>
            </w:r>
          </w:p>
        </w:tc>
        <w:tc>
          <w:tcPr/>
          <w:p>
            <w:pPr>
              <w:pStyle w:val="Compact"/>
              <w:jc w:val="center"/>
            </w:pPr>
            <w:r>
              <w:t xml:space="preserve">Dense</w:t>
            </w:r>
          </w:p>
        </w:tc>
      </w:tr>
      <w:tr>
        <w:tc>
          <w:tcPr/>
          <w:p>
            <w:pPr>
              <w:pStyle w:val="Compact"/>
              <w:jc w:val="left"/>
            </w:pPr>
            <w:r>
              <w:t xml:space="preserve">AR</w:t>
            </w:r>
          </w:p>
        </w:tc>
        <w:tc>
          <w:tcPr/>
          <w:p>
            <w:pPr>
              <w:pStyle w:val="Compact"/>
              <w:jc w:val="left"/>
            </w:pPr>
            <m:oMath>
              <m:r>
                <m:t>ε</m:t>
              </m:r>
            </m:oMath>
          </w:p>
        </w:tc>
        <w:tc>
          <w:tcPr/>
          <w:p>
            <w:pPr>
              <w:pStyle w:val="Compact"/>
              <w:jc w:val="center"/>
            </w:pPr>
            <w:r>
              <w:t xml:space="preserve">Sparse</w:t>
            </w:r>
          </w:p>
        </w:tc>
      </w:tr>
    </w:tbl>
    <w:bookmarkEnd w:id="32"/>
    <w:bookmarkStart w:id="33" w:name="summary-statistics"/>
    <w:p>
      <w:pPr>
        <w:pStyle w:val="Heading2"/>
      </w:pPr>
      <w:r>
        <w:rPr>
          <w:rStyle w:val="SectionNumber"/>
        </w:rPr>
        <w:t xml:space="preserve">3.3</w:t>
      </w:r>
      <w:r>
        <w:tab/>
      </w:r>
      <w:r>
        <w:t xml:space="preserve">Summary statistics</w:t>
      </w:r>
    </w:p>
    <w:p>
      <w:pPr>
        <w:pStyle w:val="FirstParagraph"/>
      </w:pPr>
      <w:r>
        <w:t xml:space="preserve">For each combination of estimation model and implementation (RTMB, tmbstan, Stan) we summarized across the 100 replicates: mean sampling time</w:t>
      </w:r>
      <w:r>
        <w:t xml:space="preserve"> </w:t>
      </w:r>
      <w:r>
        <w:t xml:space="preserve">(seconds), mean and maximum</w:t>
      </w:r>
      <w:r>
        <w:t xml:space="preserve"> </w:t>
      </w:r>
      <m:oMath>
        <m:acc>
          <m:accPr>
            <m:chr m:val="̂"/>
          </m:accPr>
          <m:e>
            <m:r>
              <m:t>R</m:t>
            </m:r>
          </m:e>
        </m:acc>
      </m:oMath>
      <w:r>
        <w:t xml:space="preserve">, mean effective sample size (ESS),</w:t>
      </w:r>
      <w:r>
        <w:t xml:space="preserve"> </w:t>
      </w:r>
      <w:r>
        <w:t xml:space="preserve">and the number of parameters with</w:t>
      </w:r>
      <w:r>
        <w:t xml:space="preserve"> </w:t>
      </w:r>
      <m:oMath>
        <m:acc>
          <m:accPr>
            <m:chr m:val="̂"/>
          </m:accPr>
          <m:e>
            <m:r>
              <m:t>R</m:t>
            </m:r>
          </m:e>
        </m:acc>
        <m:r>
          <m:rPr>
            <m:sty m:val="p"/>
          </m:rPr>
          <m:t>&gt;</m:t>
        </m:r>
        <m:r>
          <m:t>1.15</m:t>
        </m:r>
      </m:oMath>
      <w:r>
        <w:t xml:space="preserve">. Results are</w:t>
      </w:r>
      <w:r>
        <w:t xml:space="preserve"> </w:t>
      </w:r>
      <w:r>
        <w:t xml:space="preserve">presented as mean (SD) across replicates.</w:t>
      </w:r>
    </w:p>
    <w:bookmarkEnd w:id="33"/>
    <w:bookmarkEnd w:id="34"/>
    <w:bookmarkStart w:id="42" w:name="results"/>
    <w:p>
      <w:pPr>
        <w:pStyle w:val="Heading1"/>
      </w:pPr>
      <w:r>
        <w:rPr>
          <w:rStyle w:val="SectionNumber"/>
        </w:rPr>
        <w:t xml:space="preserve">4</w:t>
      </w:r>
      <w:r>
        <w:tab/>
      </w:r>
      <w:r>
        <w:t xml:space="preserve">Results</w:t>
      </w:r>
    </w:p>
    <w:bookmarkStart w:id="37" w:name="ma1-models"/>
    <w:p>
      <w:pPr>
        <w:pStyle w:val="Heading3"/>
      </w:pPr>
      <w:r>
        <w:rPr>
          <w:rStyle w:val="SectionNumber"/>
        </w:rPr>
        <w:t xml:space="preserve">4.0.1</w:t>
      </w:r>
      <w:r>
        <w:tab/>
      </w:r>
      <w:r>
        <w:t xml:space="preserve">MA(1) models</w:t>
      </w:r>
    </w:p>
    <w:p>
      <w:pPr>
        <w:pStyle w:val="FirstParagraph"/>
      </w:pPr>
      <w:r>
        <w:t xml:space="preserve">For the MA(1) models, we found little difference in speed between models</w:t>
      </w:r>
      <w:r>
        <w:t xml:space="preserve"> </w:t>
      </w:r>
      <w:r>
        <w:t xml:space="preserve">that treated the innovations (deviates) as random effects versus</w:t>
      </w:r>
      <w:r>
        <w:t xml:space="preserve"> </w:t>
      </w:r>
      <w:r>
        <w:t xml:space="preserve">recruitment. Implementations in RTMB showed that the</w:t>
      </w:r>
      <w:r>
        <w:t xml:space="preserve"> </w:t>
      </w:r>
      <w:r>
        <w:t xml:space="preserve">‘</w:t>
      </w:r>
      <w:r>
        <w:t xml:space="preserve">bad</w:t>
      </w:r>
      <w:r>
        <w:t xml:space="preserve">’</w:t>
      </w:r>
      <w:r>
        <w:t xml:space="preserve"> </w:t>
      </w:r>
      <w:r>
        <w:t xml:space="preserve">model</w:t>
      </w:r>
      <w:r>
        <w:t xml:space="preserve"> </w:t>
      </w:r>
      <w:r>
        <w:t xml:space="preserve">(recruitment as random effects, Table</w:t>
      </w:r>
      <w:r>
        <w:t xml:space="preserve"> </w:t>
      </w:r>
      <w:r>
        <w:t xml:space="preserve">4.2</w:t>
      </w:r>
      <w:r>
        <w:t xml:space="preserve">) were</w:t>
      </w:r>
      <w:r>
        <w:t xml:space="preserve"> </w:t>
      </w:r>
      <w:r>
        <w:t xml:space="preserve">1.61</w:t>
      </w:r>
      <w:r>
        <w:t xml:space="preserve"> </w:t>
      </w:r>
      <w:r>
        <w:t xml:space="preserve">times slower than the</w:t>
      </w:r>
      <w:r>
        <w:t xml:space="preserve"> </w:t>
      </w:r>
      <w:r>
        <w:t xml:space="preserve">‘</w:t>
      </w:r>
      <w:r>
        <w:t xml:space="preserve">good</w:t>
      </w:r>
      <w:r>
        <w:t xml:space="preserve">’</w:t>
      </w:r>
      <w:r>
        <w:t xml:space="preserve"> </w:t>
      </w:r>
      <w:r>
        <w:t xml:space="preserve">model (innovations as random effects, Table</w:t>
      </w:r>
      <w:r>
        <w:t xml:space="preserve"> </w:t>
      </w:r>
      <w:r>
        <w:t xml:space="preserve">4.1</w:t>
      </w:r>
      <w:r>
        <w:t xml:space="preserve">). The</w:t>
      </w:r>
      <w:r>
        <w:t xml:space="preserve"> </w:t>
      </w:r>
      <w:r>
        <w:t xml:space="preserve">Stan and tmbstan implementations had similar average speeds across the two implementations, however the Stan models were slower on average than tmbstan (93 vs 65 seconds in tmbstan for the deviations approach; 70 vs 58 seconds in tmbstan for the recruitment approach).</w:t>
      </w:r>
    </w:p>
    <w:p>
      <w:pPr>
        <w:pStyle w:val="TableCaption"/>
      </w:pPr>
      <w:bookmarkStart w:id="35" w:name="tab:table-ma-good"/>
      <w:bookmarkEnd w:id="35"/>
      <w:r>
        <w:t xml:space="preserve">Table 4.1: MA(1) implementation, with deviations as random effects. Mean (SD) across 100 replicates.</w:t>
      </w:r>
    </w:p>
    <w:tbl>
      <w:tblPr>
        <w:tblStyle w:val="Table"/>
        <w:tblW w:type="auto" w:w="0"/>
        <w:tblLook w:firstRow="1" w:lastRow="0" w:firstColumn="0" w:lastColumn="0" w:noHBand="0" w:noVBand="0" w:val="0020"/>
        <w:jc w:val="start"/>
        <w:tblCaption w:val="Table 4.1: MA(1) implementation, with deviations as random effects. Mean (SD) across 100 replicates."/>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tmb</w:t>
            </w:r>
          </w:p>
        </w:tc>
        <w:tc>
          <w:tcPr/>
          <w:p>
            <w:pPr>
              <w:pStyle w:val="Compact"/>
              <w:jc w:val="right"/>
            </w:pPr>
            <w:r>
              <w:t xml:space="preserve">tmbstan</w:t>
            </w:r>
          </w:p>
        </w:tc>
        <w:tc>
          <w:tcPr/>
          <w:p>
            <w:pPr>
              <w:pStyle w:val="Compact"/>
              <w:jc w:val="right"/>
            </w:pPr>
            <w:r>
              <w:t xml:space="preserve">stan</w:t>
            </w:r>
          </w:p>
        </w:tc>
      </w:tr>
      <w:tr>
        <w:tc>
          <w:tcPr/>
          <w:p>
            <w:pPr>
              <w:pStyle w:val="Compact"/>
              <w:jc w:val="left"/>
            </w:pPr>
            <w:r>
              <w:t xml:space="preserve">Sampling time (s)</w:t>
            </w:r>
          </w:p>
        </w:tc>
        <w:tc>
          <w:tcPr/>
          <w:p>
            <w:pPr>
              <w:pStyle w:val="Compact"/>
              <w:jc w:val="right"/>
            </w:pPr>
            <w:r>
              <w:t xml:space="preserve">0.09 (0.00)</w:t>
            </w:r>
          </w:p>
        </w:tc>
        <w:tc>
          <w:tcPr/>
          <w:p>
            <w:pPr>
              <w:pStyle w:val="Compact"/>
              <w:jc w:val="right"/>
            </w:pPr>
            <w:r>
              <w:t xml:space="preserve">65.28 (8.10)</w:t>
            </w:r>
          </w:p>
        </w:tc>
        <w:tc>
          <w:tcPr/>
          <w:p>
            <w:pPr>
              <w:pStyle w:val="Compact"/>
              <w:jc w:val="right"/>
            </w:pPr>
            <w:r>
              <w:t xml:space="preserve">93.03 (25.82)</w:t>
            </w:r>
          </w:p>
        </w:tc>
      </w:tr>
      <w:tr>
        <w:tc>
          <w:tcPr/>
          <w:p>
            <w:pPr>
              <w:pStyle w:val="Compact"/>
              <w:jc w:val="left"/>
            </w:pPr>
            <w:r>
              <w:t xml:space="preserve">Mean ESS</w:t>
            </w:r>
          </w:p>
        </w:tc>
        <w:tc>
          <w:tcPr/>
          <w:p>
            <w:pPr>
              <w:pStyle w:val="Compact"/>
              <w:jc w:val="right"/>
            </w:pPr>
            <w:r>
              <w:t xml:space="preserve">NaN (NA)</w:t>
            </w:r>
          </w:p>
        </w:tc>
        <w:tc>
          <w:tcPr/>
          <w:p>
            <w:pPr>
              <w:pStyle w:val="Compact"/>
              <w:jc w:val="right"/>
            </w:pPr>
            <w:r>
              <w:t xml:space="preserve">2136.73 (248.34)</w:t>
            </w:r>
          </w:p>
        </w:tc>
        <w:tc>
          <w:tcPr/>
          <w:p>
            <w:pPr>
              <w:pStyle w:val="Compact"/>
              <w:jc w:val="right"/>
            </w:pPr>
            <w:r>
              <w:t xml:space="preserve">2222.04 (394.01)</w:t>
            </w:r>
          </w:p>
        </w:tc>
      </w:tr>
      <w:tr>
        <w:tc>
          <w:tcPr/>
          <w:p>
            <w:pPr>
              <w:pStyle w:val="Compact"/>
              <w:jc w:val="left"/>
            </w:pPr>
            <w:r>
              <w:t xml:space="preserve">N pars Rhat &gt; 1.15</w:t>
            </w:r>
          </w:p>
        </w:tc>
        <w:tc>
          <w:tcPr/>
          <w:p>
            <w:pPr>
              <w:pStyle w:val="Compact"/>
              <w:jc w:val="right"/>
            </w:pPr>
            <w:r>
              <w:t xml:space="preserve">NaN (NA)</w:t>
            </w:r>
          </w:p>
        </w:tc>
        <w:tc>
          <w:tcPr/>
          <w:p>
            <w:pPr>
              <w:pStyle w:val="Compact"/>
              <w:jc w:val="right"/>
            </w:pPr>
            <w:r>
              <w:t xml:space="preserve">0.00 (0.00)</w:t>
            </w:r>
          </w:p>
        </w:tc>
        <w:tc>
          <w:tcPr/>
          <w:p>
            <w:pPr>
              <w:pStyle w:val="Compact"/>
              <w:jc w:val="right"/>
            </w:pPr>
            <w:r>
              <w:t xml:space="preserve">2.39 (6.92)</w:t>
            </w:r>
          </w:p>
        </w:tc>
      </w:tr>
      <w:tr>
        <w:tc>
          <w:tcPr/>
          <w:p>
            <w:pPr>
              <w:pStyle w:val="Compact"/>
              <w:jc w:val="left"/>
            </w:pPr>
            <w:r>
              <w:t xml:space="preserve">All Rhat &lt; 1.15</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89</w:t>
            </w:r>
          </w:p>
        </w:tc>
      </w:tr>
    </w:tbl>
    <w:p/>
    <w:p>
      <w:pPr>
        <w:pStyle w:val="TableCaption"/>
      </w:pPr>
      <w:bookmarkStart w:id="36" w:name="tab:table-ma-bad"/>
      <w:bookmarkEnd w:id="36"/>
      <w:r>
        <w:t xml:space="preserve">Table 4.2: MA(1) implementation, with log-recruitment as random effects. Mean (SD) across 100 replicates.</w:t>
      </w:r>
    </w:p>
    <w:tbl>
      <w:tblPr>
        <w:tblStyle w:val="Table"/>
        <w:tblW w:type="auto" w:w="0"/>
        <w:tblLook w:firstRow="1" w:lastRow="0" w:firstColumn="0" w:lastColumn="0" w:noHBand="0" w:noVBand="0" w:val="0020"/>
        <w:jc w:val="start"/>
        <w:tblCaption w:val="Table 4.2: MA(1) implementation, with log-recruitment as random effects. Mean (SD) across 100 replicates."/>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tmb</w:t>
            </w:r>
          </w:p>
        </w:tc>
        <w:tc>
          <w:tcPr/>
          <w:p>
            <w:pPr>
              <w:pStyle w:val="Compact"/>
              <w:jc w:val="right"/>
            </w:pPr>
            <w:r>
              <w:t xml:space="preserve">tmbstan</w:t>
            </w:r>
          </w:p>
        </w:tc>
        <w:tc>
          <w:tcPr/>
          <w:p>
            <w:pPr>
              <w:pStyle w:val="Compact"/>
              <w:jc w:val="right"/>
            </w:pPr>
            <w:r>
              <w:t xml:space="preserve">stan</w:t>
            </w:r>
          </w:p>
        </w:tc>
      </w:tr>
      <w:tr>
        <w:tc>
          <w:tcPr/>
          <w:p>
            <w:pPr>
              <w:pStyle w:val="Compact"/>
              <w:jc w:val="left"/>
            </w:pPr>
            <w:r>
              <w:t xml:space="preserve">Sampling time (s)</w:t>
            </w:r>
          </w:p>
        </w:tc>
        <w:tc>
          <w:tcPr/>
          <w:p>
            <w:pPr>
              <w:pStyle w:val="Compact"/>
              <w:jc w:val="right"/>
            </w:pPr>
            <w:r>
              <w:t xml:space="preserve">0.15 (0.03)</w:t>
            </w:r>
          </w:p>
        </w:tc>
        <w:tc>
          <w:tcPr/>
          <w:p>
            <w:pPr>
              <w:pStyle w:val="Compact"/>
              <w:jc w:val="right"/>
            </w:pPr>
            <w:r>
              <w:t xml:space="preserve">58.38 (5.12)</w:t>
            </w:r>
          </w:p>
        </w:tc>
        <w:tc>
          <w:tcPr/>
          <w:p>
            <w:pPr>
              <w:pStyle w:val="Compact"/>
              <w:jc w:val="right"/>
            </w:pPr>
            <w:r>
              <w:t xml:space="preserve">70.30 (4.58)</w:t>
            </w:r>
          </w:p>
        </w:tc>
      </w:tr>
      <w:tr>
        <w:tc>
          <w:tcPr/>
          <w:p>
            <w:pPr>
              <w:pStyle w:val="Compact"/>
              <w:jc w:val="left"/>
            </w:pPr>
            <w:r>
              <w:t xml:space="preserve">Mean ESS</w:t>
            </w:r>
          </w:p>
        </w:tc>
        <w:tc>
          <w:tcPr/>
          <w:p>
            <w:pPr>
              <w:pStyle w:val="Compact"/>
              <w:jc w:val="right"/>
            </w:pPr>
            <w:r>
              <w:t xml:space="preserve">NaN (NA)</w:t>
            </w:r>
          </w:p>
        </w:tc>
        <w:tc>
          <w:tcPr/>
          <w:p>
            <w:pPr>
              <w:pStyle w:val="Compact"/>
              <w:jc w:val="right"/>
            </w:pPr>
            <w:r>
              <w:t xml:space="preserve">1784.86 (283.24)</w:t>
            </w:r>
          </w:p>
        </w:tc>
        <w:tc>
          <w:tcPr/>
          <w:p>
            <w:pPr>
              <w:pStyle w:val="Compact"/>
              <w:jc w:val="right"/>
            </w:pPr>
            <w:r>
              <w:t xml:space="preserve">1773.89 (329.03)</w:t>
            </w:r>
          </w:p>
        </w:tc>
      </w:tr>
      <w:tr>
        <w:tc>
          <w:tcPr/>
          <w:p>
            <w:pPr>
              <w:pStyle w:val="Compact"/>
              <w:jc w:val="left"/>
            </w:pPr>
            <w:r>
              <w:t xml:space="preserve">N pars Rhat &gt; 1.15</w:t>
            </w:r>
          </w:p>
        </w:tc>
        <w:tc>
          <w:tcPr/>
          <w:p>
            <w:pPr>
              <w:pStyle w:val="Compact"/>
              <w:jc w:val="right"/>
            </w:pPr>
            <w:r>
              <w:t xml:space="preserve">NaN (NA)</w:t>
            </w:r>
          </w:p>
        </w:tc>
        <w:tc>
          <w:tcPr/>
          <w:p>
            <w:pPr>
              <w:pStyle w:val="Compact"/>
              <w:jc w:val="right"/>
            </w:pPr>
            <w:r>
              <w:t xml:space="preserve">0.09 (0.35)</w:t>
            </w:r>
          </w:p>
        </w:tc>
        <w:tc>
          <w:tcPr/>
          <w:p>
            <w:pPr>
              <w:pStyle w:val="Compact"/>
              <w:jc w:val="right"/>
            </w:pPr>
            <w:r>
              <w:t xml:space="preserve">0.49 (4.40)</w:t>
            </w:r>
          </w:p>
        </w:tc>
      </w:tr>
      <w:tr>
        <w:tc>
          <w:tcPr/>
          <w:p>
            <w:pPr>
              <w:pStyle w:val="Compact"/>
              <w:jc w:val="left"/>
            </w:pPr>
            <w:r>
              <w:t xml:space="preserve">All Rhat &lt; 1.15</w:t>
            </w:r>
          </w:p>
        </w:tc>
        <w:tc>
          <w:tcPr/>
          <w:p>
            <w:pPr>
              <w:pStyle w:val="Compact"/>
              <w:jc w:val="right"/>
            </w:pPr>
            <w:r>
              <w:t xml:space="preserve">NA</w:t>
            </w:r>
          </w:p>
        </w:tc>
        <w:tc>
          <w:tcPr/>
          <w:p>
            <w:pPr>
              <w:pStyle w:val="Compact"/>
              <w:jc w:val="right"/>
            </w:pPr>
            <w:r>
              <w:t xml:space="preserve">93</w:t>
            </w:r>
          </w:p>
        </w:tc>
        <w:tc>
          <w:tcPr/>
          <w:p>
            <w:pPr>
              <w:pStyle w:val="Compact"/>
              <w:jc w:val="right"/>
            </w:pPr>
            <w:r>
              <w:t xml:space="preserve">94</w:t>
            </w:r>
          </w:p>
        </w:tc>
      </w:tr>
    </w:tbl>
    <w:bookmarkEnd w:id="37"/>
    <w:bookmarkStart w:id="41" w:name="ar1-models"/>
    <w:p>
      <w:pPr>
        <w:pStyle w:val="Heading2"/>
      </w:pPr>
      <w:r>
        <w:rPr>
          <w:rStyle w:val="SectionNumber"/>
        </w:rPr>
        <w:t xml:space="preserve">4.1</w:t>
      </w:r>
      <w:r>
        <w:tab/>
      </w:r>
      <w:r>
        <w:t xml:space="preserve">AR(1) models</w:t>
      </w:r>
    </w:p>
    <w:p>
      <w:pPr>
        <w:pStyle w:val="FirstParagraph"/>
      </w:pPr>
      <w:r>
        <w:t xml:space="preserve">As our first comparison, we can examine the effect of using</w:t>
      </w:r>
      <w:r>
        <w:t xml:space="preserve"> </w:t>
      </w:r>
      <w:r>
        <w:rPr>
          <w:rStyle w:val="VerbatimChar"/>
        </w:rPr>
        <w:t xml:space="preserve">dautoreg</w:t>
      </w:r>
      <w:r>
        <w:t xml:space="preserve"> </w:t>
      </w:r>
      <w:r>
        <w:t xml:space="preserve">on speed and estimated (Table</w:t>
      </w:r>
      <w:r>
        <w:t xml:space="preserve"> </w:t>
      </w:r>
      <w:r>
        <w:t xml:space="preserve">4.3</w:t>
      </w:r>
      <w:r>
        <w:t xml:space="preserve"> </w:t>
      </w:r>
      <w:r>
        <w:t xml:space="preserve">vs Table</w:t>
      </w:r>
      <w:r>
        <w:t xml:space="preserve"> </w:t>
      </w:r>
      <w:r>
        <w:t xml:space="preserve">4.4</w:t>
      </w:r>
      <w:r>
        <w:t xml:space="preserve">). We see no effect of speed</w:t>
      </w:r>
      <w:r>
        <w:t xml:space="preserve"> </w:t>
      </w:r>
      <w:r>
        <w:t xml:space="preserve">– either in RTMB, or with MCMC. Between Stan and tmbstan, both approaches yield similar metrics of efficiency and run time. Comparing the parameterizations of the recruitment formulation vs deviations formulation (Table</w:t>
      </w:r>
      <w:r>
        <w:t xml:space="preserve"> </w:t>
      </w:r>
      <w:r>
        <w:t xml:space="preserve">4.4</w:t>
      </w:r>
      <w:r>
        <w:t xml:space="preserve"> </w:t>
      </w:r>
      <w:r>
        <w:t xml:space="preserve">vs Table</w:t>
      </w:r>
      <w:r>
        <w:t xml:space="preserve"> </w:t>
      </w:r>
      <w:r>
        <w:t xml:space="preserve">??</w:t>
      </w:r>
      <w:r>
        <w:t xml:space="preserve">) highlights that modeling recuitment results in more efficient sampling (&gt; 2x ESS) in less than half the speed when random effects are included in recruitment, rather than deviations.</w:t>
      </w:r>
    </w:p>
    <w:p>
      <w:pPr>
        <w:pStyle w:val="TableCaption"/>
      </w:pPr>
      <w:bookmarkStart w:id="38" w:name="tab:table-ar-dautoreg"/>
      <w:bookmarkEnd w:id="38"/>
      <w:r>
        <w:t xml:space="preserve">Table 4.3: AR(1) implementation with dautoreg, and log-recruitment as random effects. Mean (SD) across 100 replicates. Because Stan doesn’t have a dautoreg function, we compare against the Stan code without dautoreg.</w:t>
      </w:r>
    </w:p>
    <w:tbl>
      <w:tblPr>
        <w:tblStyle w:val="Table"/>
        <w:tblW w:type="auto" w:w="0"/>
        <w:tblLook w:firstRow="1" w:lastRow="0" w:firstColumn="0" w:lastColumn="0" w:noHBand="0" w:noVBand="0" w:val="0020"/>
        <w:jc w:val="start"/>
        <w:tblCaption w:val="Table 4.3: AR(1) implementation with dautoreg, and log-recruitment as random effects. Mean (SD) across 100 replicates. Because Stan doesn’t have a dautoreg function, we compare against the Stan code without dautoreg."/>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tmb</w:t>
            </w:r>
          </w:p>
        </w:tc>
        <w:tc>
          <w:tcPr/>
          <w:p>
            <w:pPr>
              <w:pStyle w:val="Compact"/>
              <w:jc w:val="right"/>
            </w:pPr>
            <w:r>
              <w:t xml:space="preserve">tmbstan</w:t>
            </w:r>
          </w:p>
        </w:tc>
        <w:tc>
          <w:tcPr/>
          <w:p>
            <w:pPr>
              <w:pStyle w:val="Compact"/>
              <w:jc w:val="right"/>
            </w:pPr>
            <w:r>
              <w:t xml:space="preserve">stan</w:t>
            </w:r>
          </w:p>
        </w:tc>
      </w:tr>
      <w:tr>
        <w:tc>
          <w:tcPr/>
          <w:p>
            <w:pPr>
              <w:pStyle w:val="Compact"/>
              <w:jc w:val="left"/>
            </w:pPr>
            <w:r>
              <w:t xml:space="preserve">Sampling time (s)</w:t>
            </w:r>
          </w:p>
        </w:tc>
        <w:tc>
          <w:tcPr/>
          <w:p>
            <w:pPr>
              <w:pStyle w:val="Compact"/>
              <w:jc w:val="right"/>
            </w:pPr>
            <w:r>
              <w:t xml:space="preserve">0.13 (0.01)</w:t>
            </w:r>
          </w:p>
        </w:tc>
        <w:tc>
          <w:tcPr/>
          <w:p>
            <w:pPr>
              <w:pStyle w:val="Compact"/>
              <w:jc w:val="right"/>
            </w:pPr>
            <w:r>
              <w:t xml:space="preserve">NaN (NA)</w:t>
            </w:r>
          </w:p>
        </w:tc>
        <w:tc>
          <w:tcPr/>
          <w:p>
            <w:pPr>
              <w:pStyle w:val="Compact"/>
              <w:jc w:val="right"/>
            </w:pPr>
            <w:r>
              <w:t xml:space="preserve">61.37 (1.80)</w:t>
            </w:r>
          </w:p>
        </w:tc>
      </w:tr>
      <w:tr>
        <w:tc>
          <w:tcPr/>
          <w:p>
            <w:pPr>
              <w:pStyle w:val="Compact"/>
              <w:jc w:val="left"/>
            </w:pPr>
            <w:r>
              <w:t xml:space="preserve">Mean ESS</w:t>
            </w:r>
          </w:p>
        </w:tc>
        <w:tc>
          <w:tcPr/>
          <w:p>
            <w:pPr>
              <w:pStyle w:val="Compact"/>
              <w:jc w:val="right"/>
            </w:pPr>
            <w:r>
              <w:t xml:space="preserve">NaN (NA)</w:t>
            </w:r>
          </w:p>
        </w:tc>
        <w:tc>
          <w:tcPr/>
          <w:p>
            <w:pPr>
              <w:pStyle w:val="Compact"/>
              <w:jc w:val="right"/>
            </w:pPr>
            <w:r>
              <w:t xml:space="preserve">5255.09 (746.27)</w:t>
            </w:r>
          </w:p>
        </w:tc>
        <w:tc>
          <w:tcPr/>
          <w:p>
            <w:pPr>
              <w:pStyle w:val="Compact"/>
              <w:jc w:val="right"/>
            </w:pPr>
            <w:r>
              <w:t xml:space="preserve">5201.46 (846.79)</w:t>
            </w:r>
          </w:p>
        </w:tc>
      </w:tr>
      <w:tr>
        <w:tc>
          <w:tcPr/>
          <w:p>
            <w:pPr>
              <w:pStyle w:val="Compact"/>
              <w:jc w:val="left"/>
            </w:pPr>
            <w:r>
              <w:t xml:space="preserve">N pars Rhat &gt; 1.15</w:t>
            </w:r>
          </w:p>
        </w:tc>
        <w:tc>
          <w:tcPr/>
          <w:p>
            <w:pPr>
              <w:pStyle w:val="Compact"/>
              <w:jc w:val="right"/>
            </w:pPr>
            <w:r>
              <w:t xml:space="preserve">NaN (NA)</w:t>
            </w:r>
          </w:p>
        </w:tc>
        <w:tc>
          <w:tcPr/>
          <w:p>
            <w:pPr>
              <w:pStyle w:val="Compact"/>
              <w:jc w:val="right"/>
            </w:pPr>
            <w:r>
              <w:t xml:space="preserve">0.00 (0.00)</w:t>
            </w:r>
          </w:p>
        </w:tc>
        <w:tc>
          <w:tcPr/>
          <w:p>
            <w:pPr>
              <w:pStyle w:val="Compact"/>
              <w:jc w:val="right"/>
            </w:pPr>
            <w:r>
              <w:t xml:space="preserve">0.00 (0.00)</w:t>
            </w:r>
          </w:p>
        </w:tc>
      </w:tr>
      <w:tr>
        <w:tc>
          <w:tcPr/>
          <w:p>
            <w:pPr>
              <w:pStyle w:val="Compact"/>
              <w:jc w:val="left"/>
            </w:pPr>
            <w:r>
              <w:t xml:space="preserve">All Rhat &lt; 1.15</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100</w:t>
            </w:r>
          </w:p>
        </w:tc>
      </w:tr>
    </w:tbl>
    <w:p/>
    <w:p>
      <w:pPr>
        <w:pStyle w:val="TableCaption"/>
      </w:pPr>
      <w:bookmarkStart w:id="39" w:name="tab:table-ar-nodautoreg"/>
      <w:bookmarkEnd w:id="39"/>
      <w:r>
        <w:t xml:space="preserve">Table 4.4: AR(1) implementation without dautoreg, and log-recruitment as random effects. Mean (SD) across 100 replicates.</w:t>
      </w:r>
    </w:p>
    <w:tbl>
      <w:tblPr>
        <w:tblStyle w:val="Table"/>
        <w:tblW w:type="auto" w:w="0"/>
        <w:tblLook w:firstRow="1" w:lastRow="0" w:firstColumn="0" w:lastColumn="0" w:noHBand="0" w:noVBand="0" w:val="0020"/>
        <w:jc w:val="start"/>
        <w:tblCaption w:val="Table 4.4: AR(1) implementation without dautoreg, and log-recruitment as random effects. Mean (SD) across 100 replicates."/>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tmb</w:t>
            </w:r>
          </w:p>
        </w:tc>
        <w:tc>
          <w:tcPr/>
          <w:p>
            <w:pPr>
              <w:pStyle w:val="Compact"/>
              <w:jc w:val="right"/>
            </w:pPr>
            <w:r>
              <w:t xml:space="preserve">tmbstan</w:t>
            </w:r>
          </w:p>
        </w:tc>
        <w:tc>
          <w:tcPr/>
          <w:p>
            <w:pPr>
              <w:pStyle w:val="Compact"/>
              <w:jc w:val="right"/>
            </w:pPr>
            <w:r>
              <w:t xml:space="preserve">stan</w:t>
            </w:r>
          </w:p>
        </w:tc>
      </w:tr>
      <w:tr>
        <w:tc>
          <w:tcPr/>
          <w:p>
            <w:pPr>
              <w:pStyle w:val="Compact"/>
              <w:jc w:val="left"/>
            </w:pPr>
            <w:r>
              <w:t xml:space="preserve">Sampling time (s)</w:t>
            </w:r>
          </w:p>
        </w:tc>
        <w:tc>
          <w:tcPr/>
          <w:p>
            <w:pPr>
              <w:pStyle w:val="Compact"/>
              <w:jc w:val="right"/>
            </w:pPr>
            <w:r>
              <w:t xml:space="preserve">0.13 (0.02)</w:t>
            </w:r>
          </w:p>
        </w:tc>
        <w:tc>
          <w:tcPr/>
          <w:p>
            <w:pPr>
              <w:pStyle w:val="Compact"/>
              <w:jc w:val="right"/>
            </w:pPr>
            <w:r>
              <w:t xml:space="preserve">48.65 (NA)</w:t>
            </w:r>
          </w:p>
        </w:tc>
        <w:tc>
          <w:tcPr/>
          <w:p>
            <w:pPr>
              <w:pStyle w:val="Compact"/>
              <w:jc w:val="right"/>
            </w:pPr>
            <w:r>
              <w:t xml:space="preserve">66.09 (2.12)</w:t>
            </w:r>
          </w:p>
        </w:tc>
      </w:tr>
      <w:tr>
        <w:tc>
          <w:tcPr/>
          <w:p>
            <w:pPr>
              <w:pStyle w:val="Compact"/>
              <w:jc w:val="left"/>
            </w:pPr>
            <w:r>
              <w:t xml:space="preserve">Mean ESS</w:t>
            </w:r>
          </w:p>
        </w:tc>
        <w:tc>
          <w:tcPr/>
          <w:p>
            <w:pPr>
              <w:pStyle w:val="Compact"/>
              <w:jc w:val="right"/>
            </w:pPr>
            <w:r>
              <w:t xml:space="preserve">NaN (NA)</w:t>
            </w:r>
          </w:p>
        </w:tc>
        <w:tc>
          <w:tcPr/>
          <w:p>
            <w:pPr>
              <w:pStyle w:val="Compact"/>
              <w:jc w:val="right"/>
            </w:pPr>
            <w:r>
              <w:t xml:space="preserve">5110.49 (726.67)</w:t>
            </w:r>
          </w:p>
        </w:tc>
        <w:tc>
          <w:tcPr/>
          <w:p>
            <w:pPr>
              <w:pStyle w:val="Compact"/>
              <w:jc w:val="right"/>
            </w:pPr>
            <w:r>
              <w:t xml:space="preserve">5189.48 (681.30)</w:t>
            </w:r>
          </w:p>
        </w:tc>
      </w:tr>
      <w:tr>
        <w:tc>
          <w:tcPr/>
          <w:p>
            <w:pPr>
              <w:pStyle w:val="Compact"/>
              <w:jc w:val="left"/>
            </w:pPr>
            <w:r>
              <w:t xml:space="preserve">N pars Rhat &gt; 1.15</w:t>
            </w:r>
          </w:p>
        </w:tc>
        <w:tc>
          <w:tcPr/>
          <w:p>
            <w:pPr>
              <w:pStyle w:val="Compact"/>
              <w:jc w:val="right"/>
            </w:pPr>
            <w:r>
              <w:t xml:space="preserve">NaN (NA)</w:t>
            </w:r>
          </w:p>
        </w:tc>
        <w:tc>
          <w:tcPr/>
          <w:p>
            <w:pPr>
              <w:pStyle w:val="Compact"/>
              <w:jc w:val="right"/>
            </w:pPr>
            <w:r>
              <w:t xml:space="preserve">0.00 (0.00)</w:t>
            </w:r>
          </w:p>
        </w:tc>
        <w:tc>
          <w:tcPr/>
          <w:p>
            <w:pPr>
              <w:pStyle w:val="Compact"/>
              <w:jc w:val="right"/>
            </w:pPr>
            <w:r>
              <w:t xml:space="preserve">0.00 (0.00)</w:t>
            </w:r>
          </w:p>
        </w:tc>
      </w:tr>
      <w:tr>
        <w:tc>
          <w:tcPr/>
          <w:p>
            <w:pPr>
              <w:pStyle w:val="Compact"/>
              <w:jc w:val="left"/>
            </w:pPr>
            <w:r>
              <w:t xml:space="preserve">All Rhat &lt; 1.15</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100</w:t>
            </w:r>
          </w:p>
        </w:tc>
      </w:tr>
    </w:tbl>
    <w:p/>
    <w:p>
      <w:pPr>
        <w:pStyle w:val="TableCaption"/>
      </w:pPr>
      <w:bookmarkStart w:id="40" w:name="tab:table-ar-deviations"/>
      <w:bookmarkEnd w:id="40"/>
      <w:r>
        <w:t xml:space="preserve">Table 4.5: AR(1) implementation without dautoreg, and deviations as random effects. Mean (SD) across 100 replicates.</w:t>
      </w:r>
    </w:p>
    <w:tbl>
      <w:tblPr>
        <w:tblStyle w:val="Table"/>
        <w:tblW w:type="auto" w:w="0"/>
        <w:tblLook w:firstRow="1" w:lastRow="0" w:firstColumn="0" w:lastColumn="0" w:noHBand="0" w:noVBand="0" w:val="0020"/>
        <w:jc w:val="start"/>
        <w:tblCaption w:val="Table 4.5: AR(1) implementation without dautoreg, and deviations as random effects. Mean (SD) across 100 replicates."/>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tmb</w:t>
            </w:r>
          </w:p>
        </w:tc>
        <w:tc>
          <w:tcPr/>
          <w:p>
            <w:pPr>
              <w:pStyle w:val="Compact"/>
              <w:jc w:val="right"/>
            </w:pPr>
            <w:r>
              <w:t xml:space="preserve">tmbstan</w:t>
            </w:r>
          </w:p>
        </w:tc>
        <w:tc>
          <w:tcPr/>
          <w:p>
            <w:pPr>
              <w:pStyle w:val="Compact"/>
              <w:jc w:val="right"/>
            </w:pPr>
            <w:r>
              <w:t xml:space="preserve">stan</w:t>
            </w:r>
          </w:p>
        </w:tc>
      </w:tr>
      <w:tr>
        <w:tc>
          <w:tcPr/>
          <w:p>
            <w:pPr>
              <w:pStyle w:val="Compact"/>
              <w:jc w:val="left"/>
            </w:pPr>
            <w:r>
              <w:t xml:space="preserve">Sampling time (s)</w:t>
            </w:r>
          </w:p>
        </w:tc>
        <w:tc>
          <w:tcPr/>
          <w:p>
            <w:pPr>
              <w:pStyle w:val="Compact"/>
              <w:jc w:val="right"/>
            </w:pPr>
            <w:r>
              <w:t xml:space="preserve">0.15 (0.02)</w:t>
            </w:r>
          </w:p>
        </w:tc>
        <w:tc>
          <w:tcPr/>
          <w:p>
            <w:pPr>
              <w:pStyle w:val="Compact"/>
              <w:jc w:val="right"/>
            </w:pPr>
            <w:r>
              <w:t xml:space="preserve">343.87 (706.04)</w:t>
            </w:r>
          </w:p>
        </w:tc>
        <w:tc>
          <w:tcPr/>
          <w:p>
            <w:pPr>
              <w:pStyle w:val="Compact"/>
              <w:jc w:val="right"/>
            </w:pPr>
            <w:r>
              <w:t xml:space="preserve">125.77 (173.69)</w:t>
            </w:r>
          </w:p>
        </w:tc>
      </w:tr>
      <w:tr>
        <w:tc>
          <w:tcPr/>
          <w:p>
            <w:pPr>
              <w:pStyle w:val="Compact"/>
              <w:jc w:val="left"/>
            </w:pPr>
            <w:r>
              <w:t xml:space="preserve">Mean ESS</w:t>
            </w:r>
          </w:p>
        </w:tc>
        <w:tc>
          <w:tcPr/>
          <w:p>
            <w:pPr>
              <w:pStyle w:val="Compact"/>
              <w:jc w:val="right"/>
            </w:pPr>
            <w:r>
              <w:t xml:space="preserve">NaN (NA)</w:t>
            </w:r>
          </w:p>
        </w:tc>
        <w:tc>
          <w:tcPr/>
          <w:p>
            <w:pPr>
              <w:pStyle w:val="Compact"/>
              <w:jc w:val="right"/>
            </w:pPr>
            <w:r>
              <w:t xml:space="preserve">2193.21 (370.59)</w:t>
            </w:r>
          </w:p>
        </w:tc>
        <w:tc>
          <w:tcPr/>
          <w:p>
            <w:pPr>
              <w:pStyle w:val="Compact"/>
              <w:jc w:val="right"/>
            </w:pPr>
            <w:r>
              <w:t xml:space="preserve">2202.32 (460.81)</w:t>
            </w:r>
          </w:p>
        </w:tc>
      </w:tr>
      <w:tr>
        <w:tc>
          <w:tcPr/>
          <w:p>
            <w:pPr>
              <w:pStyle w:val="Compact"/>
              <w:jc w:val="left"/>
            </w:pPr>
            <w:r>
              <w:t xml:space="preserve">N pars Rhat &gt; 1.15</w:t>
            </w:r>
          </w:p>
        </w:tc>
        <w:tc>
          <w:tcPr/>
          <w:p>
            <w:pPr>
              <w:pStyle w:val="Compact"/>
              <w:jc w:val="right"/>
            </w:pPr>
            <w:r>
              <w:t xml:space="preserve">NaN (NA)</w:t>
            </w:r>
          </w:p>
        </w:tc>
        <w:tc>
          <w:tcPr/>
          <w:p>
            <w:pPr>
              <w:pStyle w:val="Compact"/>
              <w:jc w:val="right"/>
            </w:pPr>
            <w:r>
              <w:t xml:space="preserve">0.00 (0.00)</w:t>
            </w:r>
          </w:p>
        </w:tc>
        <w:tc>
          <w:tcPr/>
          <w:p>
            <w:pPr>
              <w:pStyle w:val="Compact"/>
              <w:jc w:val="right"/>
            </w:pPr>
            <w:r>
              <w:t xml:space="preserve">0.00 (0.00)</w:t>
            </w:r>
          </w:p>
        </w:tc>
      </w:tr>
      <w:tr>
        <w:tc>
          <w:tcPr/>
          <w:p>
            <w:pPr>
              <w:pStyle w:val="Compact"/>
              <w:jc w:val="left"/>
            </w:pPr>
            <w:r>
              <w:t xml:space="preserve">All Rhat &lt; 1.15</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100</w:t>
            </w:r>
          </w:p>
        </w:tc>
      </w:tr>
    </w:tbl>
    <w:bookmarkEnd w:id="41"/>
    <w:bookmarkEnd w:id="42"/>
    <w:bookmarkStart w:id="43" w:name="discussion"/>
    <w:p>
      <w:pPr>
        <w:pStyle w:val="Heading1"/>
      </w:pPr>
      <w:r>
        <w:rPr>
          <w:rStyle w:val="SectionNumber"/>
        </w:rPr>
        <w:t xml:space="preserve">5</w:t>
      </w:r>
      <w:r>
        <w:tab/>
      </w:r>
      <w:r>
        <w:t xml:space="preserve">Discussion</w:t>
      </w:r>
    </w:p>
    <w:p>
      <w:pPr>
        <w:numPr>
          <w:ilvl w:val="0"/>
          <w:numId w:val="1006"/>
        </w:numPr>
      </w:pPr>
      <w:r>
        <w:t xml:space="preserve">For MA(1) models, we recommend modelling deviations as random effects (good parameterisation). The RTMB implementation was much faster, and treating recruitment as random effects led to really poor estimation for some Bayesian models (Stan)</w:t>
      </w:r>
    </w:p>
    <w:p>
      <w:pPr>
        <w:numPr>
          <w:ilvl w:val="0"/>
          <w:numId w:val="1006"/>
        </w:numPr>
      </w:pPr>
      <w:r>
        <w:t xml:space="preserve">For AR(1) models, we recommend using recruitment as random effects. This was much faster than the deviations parameterization</w:t>
      </w:r>
    </w:p>
    <w:p>
      <w:pPr>
        <w:numPr>
          <w:ilvl w:val="0"/>
          <w:numId w:val="1006"/>
        </w:numPr>
      </w:pPr>
      <w:r>
        <w:t xml:space="preserve">RTMB’s</w:t>
      </w:r>
      <w:r>
        <w:t xml:space="preserve"> </w:t>
      </w:r>
      <w:r>
        <w:t xml:space="preserve">‘</w:t>
      </w:r>
      <w:r>
        <w:t xml:space="preserve">dautoreg</w:t>
      </w:r>
      <w:r>
        <w:t xml:space="preserve">’</w:t>
      </w:r>
      <w:r>
        <w:t xml:space="preserve"> </w:t>
      </w:r>
      <w:r>
        <w:t xml:space="preserve">function seemed to have little to no impact on MCMC sampling speed or efficiency</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rxiv.org/abs/1312.0906" TargetMode="External" /><Relationship Type="http://schemas.openxmlformats.org/officeDocument/2006/relationships/hyperlink" Id="rId26" Target="https://doi.org/10.48550/arxiv.1906.03028" TargetMode="External" /><Relationship Type="http://schemas.openxmlformats.org/officeDocument/2006/relationships/hyperlink" Id="rId27" Target="https://projecteuclid.org/journals/statistical-science/volume-22/issue-1/A-General-Framework-for-the-Parametrization-of-Hierarchical-Models/10.1214/088342307000000014.full" TargetMode="External" /><Relationship Type="http://schemas.openxmlformats.org/officeDocument/2006/relationships/hyperlink" Id="rId28" Target="https:://doi.org/10.18637/jss.v070.i05" TargetMode="External" /><Relationship Type="http://schemas.openxmlformats.org/officeDocument/2006/relationships/hyperlink" Id="rId20" Target="mailto:andrea.havron@noaa.gov" TargetMode="External" /></Relationships>
</file>

<file path=word/_rels/footnotes.xml.rels><?xml version="1.0" encoding="UTF-8"?><Relationships xmlns="http://schemas.openxmlformats.org/package/2006/relationships"><Relationship Type="http://schemas.openxmlformats.org/officeDocument/2006/relationships/hyperlink" Id="rId25" Target="https://arxiv.org/abs/1312.0906" TargetMode="External" /><Relationship Type="http://schemas.openxmlformats.org/officeDocument/2006/relationships/hyperlink" Id="rId26" Target="https://doi.org/10.48550/arxiv.1906.03028" TargetMode="External" /><Relationship Type="http://schemas.openxmlformats.org/officeDocument/2006/relationships/hyperlink" Id="rId27" Target="https://projecteuclid.org/journals/statistical-science/volume-22/issue-1/A-General-Framework-for-the-Parametrization-of-Hierarchical-Models/10.1214/088342307000000014.full" TargetMode="External" /><Relationship Type="http://schemas.openxmlformats.org/officeDocument/2006/relationships/hyperlink" Id="rId28" Target="https:://doi.org/10.18637/jss.v070.i05" TargetMode="External" /><Relationship Type="http://schemas.openxmlformats.org/officeDocument/2006/relationships/hyperlink" Id="rId20" Target="mailto:andrea.havron@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Title - Sparsity in random effects under different parameterizations in fishery stock assessment models</dc:title>
  <dc:creator>Andrea M Havron^{a,1,*}, Anders Nielsen^{b,2}, Nathan Vaughan^{c,3}, Eric J. Ward^{d,4}</dc:creator>
  <cp:keywords/>
  <dcterms:created xsi:type="dcterms:W3CDTF">2026-06-01T15:45:35Z</dcterms:created>
  <dcterms:modified xsi:type="dcterms:W3CDTF">2026-06-01T15:45:35Z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01, 2026</vt:lpwstr>
  </property>
  <property fmtid="{D5CDD505-2E9C-101B-9397-08002B2CF9AE}" pid="3" name="editor_options">
    <vt:lpwstr/>
  </property>
  <property fmtid="{D5CDD505-2E9C-101B-9397-08002B2CF9AE}" pid="4" name="output">
    <vt:lpwstr/>
  </property>
</Properties>
</file>