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w:t>
      </w:r>
      <w:r>
        <w:t xml:space="preserve"> </w:t>
      </w:r>
      <w:r>
        <w:t xml:space="preserve">Title</w:t>
      </w:r>
      <w:r>
        <w:t xml:space="preserve"> </w:t>
      </w:r>
      <w:r>
        <w:t xml:space="preserve">-</w:t>
      </w:r>
      <w:r>
        <w:t xml:space="preserve"> </w:t>
      </w:r>
      <w:r>
        <w:t xml:space="preserve">Sparsity</w:t>
      </w:r>
      <w:r>
        <w:t xml:space="preserve"> </w:t>
      </w:r>
      <w:r>
        <w:t xml:space="preserve">in</w:t>
      </w:r>
      <w:r>
        <w:t xml:space="preserve"> </w:t>
      </w:r>
      <w:r>
        <w:t xml:space="preserve">random</w:t>
      </w:r>
      <w:r>
        <w:t xml:space="preserve"> </w:t>
      </w:r>
      <w:r>
        <w:t xml:space="preserve">effects</w:t>
      </w:r>
      <w:r>
        <w:t xml:space="preserve"> </w:t>
      </w:r>
      <w:r>
        <w:t xml:space="preserve">under</w:t>
      </w:r>
      <w:r>
        <w:t xml:space="preserve"> </w:t>
      </w:r>
      <w:r>
        <w:t xml:space="preserve">different</w:t>
      </w:r>
      <w:r>
        <w:t xml:space="preserve"> </w:t>
      </w:r>
      <w:r>
        <w:t xml:space="preserve">parameterizations</w:t>
      </w:r>
      <w:r>
        <w:t xml:space="preserve"> </w:t>
      </w:r>
      <w:r>
        <w:t xml:space="preserve">in</w:t>
      </w:r>
      <w:r>
        <w:t xml:space="preserve"> </w:t>
      </w:r>
      <w:r>
        <w:t xml:space="preserve">fishery</w:t>
      </w:r>
      <w:r>
        <w:t xml:space="preserve"> </w:t>
      </w:r>
      <w:r>
        <w:t xml:space="preserve">stock</w:t>
      </w:r>
      <w:r>
        <w:t xml:space="preserve"> </w:t>
      </w:r>
      <w:r>
        <w:t xml:space="preserve">assessment</w:t>
      </w:r>
      <w:r>
        <w:t xml:space="preserve"> </w:t>
      </w:r>
      <w:r>
        <w:t xml:space="preserve">models</w:t>
      </w:r>
    </w:p>
    <w:p>
      <w:pPr>
        <w:pStyle w:val="Author"/>
      </w:pPr>
      <w:r>
        <w:t xml:space="preserve">Andrea</w:t>
      </w:r>
      <w:r>
        <w:t xml:space="preserve"> </w:t>
      </w:r>
      <w:r>
        <w:t xml:space="preserve">M</w:t>
      </w:r>
      <w:r>
        <w:t xml:space="preserve"> </w:t>
      </w:r>
      <w:r>
        <w:t xml:space="preserve">Havron</w:t>
      </w:r>
      <m:oMath>
        <m:sSup>
          <m:e>
            <m:r>
              <m:t>​</m:t>
            </m:r>
          </m:e>
          <m:sup>
            <m:r>
              <m:t>a</m:t>
            </m:r>
            <m:r>
              <m:rPr>
                <m:sty m:val="p"/>
              </m:rPr>
              <m:t>,</m:t>
            </m:r>
            <m:r>
              <m:t>1</m:t>
            </m:r>
            <m:r>
              <m:rPr>
                <m:sty m:val="p"/>
              </m:rPr>
              <m:t>,</m:t>
            </m:r>
            <m:r>
              <m:rPr>
                <m:sty m:val="p"/>
              </m:rPr>
              <m:t>*</m:t>
            </m:r>
          </m:sup>
        </m:sSup>
      </m:oMath>
      <w:r>
        <w:t xml:space="preserve">,</w:t>
      </w:r>
      <w:r>
        <w:t xml:space="preserve"> </w:t>
      </w:r>
      <w:r>
        <w:t xml:space="preserve">Anders</w:t>
      </w:r>
      <w:r>
        <w:t xml:space="preserve"> </w:t>
      </w:r>
      <w:r>
        <w:t xml:space="preserve">Nielsen</w:t>
      </w:r>
      <m:oMath>
        <m:sSup>
          <m:e>
            <m:r>
              <m:t>​</m:t>
            </m:r>
          </m:e>
          <m:sup>
            <m:r>
              <m:t>b</m:t>
            </m:r>
            <m:r>
              <m:rPr>
                <m:sty m:val="p"/>
              </m:rPr>
              <m:t>,</m:t>
            </m:r>
            <m:r>
              <m:t>2</m:t>
            </m:r>
          </m:sup>
        </m:sSup>
      </m:oMath>
      <w:r>
        <w:t xml:space="preserve">,</w:t>
      </w:r>
      <w:r>
        <w:t xml:space="preserve"> </w:t>
      </w:r>
      <w:r>
        <w:t xml:space="preserve">Nathan</w:t>
      </w:r>
      <w:r>
        <w:t xml:space="preserve"> </w:t>
      </w:r>
      <w:r>
        <w:t xml:space="preserve">Vaughan</w:t>
      </w:r>
      <m:oMath>
        <m:sSup>
          <m:e>
            <m:r>
              <m:t>​</m:t>
            </m:r>
          </m:e>
          <m:sup>
            <m:r>
              <m:t>c</m:t>
            </m:r>
            <m:r>
              <m:rPr>
                <m:sty m:val="p"/>
              </m:rPr>
              <m:t>,</m:t>
            </m:r>
            <m:r>
              <m:t>3</m:t>
            </m:r>
          </m:sup>
        </m:sSup>
      </m:oMath>
      <w:r>
        <w:t xml:space="preserve">,</w:t>
      </w:r>
      <w:r>
        <w:t xml:space="preserve"> </w:t>
      </w:r>
      <w:r>
        <w:t xml:space="preserve">Eric</w:t>
      </w:r>
      <w:r>
        <w:t xml:space="preserve"> </w:t>
      </w:r>
      <w:r>
        <w:t xml:space="preserve">Ward</w:t>
      </w:r>
      <m:oMath>
        <m:sSup>
          <m:e>
            <m:r>
              <m:t>​</m:t>
            </m:r>
          </m:e>
          <m:sup>
            <m:r>
              <m:t>d</m:t>
            </m:r>
            <m:r>
              <m:rPr>
                <m:sty m:val="p"/>
              </m:rPr>
              <m:t>,</m:t>
            </m:r>
            <m:r>
              <m:t>4</m:t>
            </m:r>
          </m:sup>
        </m:sSup>
      </m:oMath>
    </w:p>
    <w:p>
      <w:pPr>
        <w:pStyle w:val="Date"/>
      </w:pPr>
      <w:r>
        <w:t xml:space="preserve">May</w:t>
      </w:r>
      <w:r>
        <w:t xml:space="preserve"> </w:t>
      </w:r>
      <w:r>
        <w:t xml:space="preserve">01,</w:t>
      </w:r>
      <w:r>
        <w:t xml:space="preserve"> </w:t>
      </w:r>
      <w:r>
        <w:t xml:space="preserve">2026</w:t>
      </w:r>
    </w:p>
    <w:p>
      <w:pPr>
        <w:pStyle w:val="FirstParagraph"/>
      </w:pPr>
      <w:r>
        <w:br/>
      </w:r>
      <m:oMath>
        <m:sSup>
          <m:e>
            <m:r>
              <m:t>​</m:t>
            </m:r>
          </m:e>
          <m:sup>
            <m:r>
              <m:t>a</m:t>
            </m:r>
          </m:sup>
        </m:sSup>
      </m:oMath>
      <w:r>
        <w:t xml:space="preserve">NOAA Fisheries, Office of Science and Technology, Silver Spring, MD, USA</w:t>
      </w:r>
      <w:r>
        <w:br/>
      </w:r>
      <m:oMath>
        <m:sSup>
          <m:e>
            <m:r>
              <m:t>​</m:t>
            </m:r>
          </m:e>
          <m:sup>
            <m:r>
              <m:t>b</m:t>
            </m:r>
          </m:sup>
        </m:sSup>
      </m:oMath>
      <w:r>
        <w:t xml:space="preserve">Danish Technical University, Aqua, Kongens Lyngby, Denmark</w:t>
      </w:r>
      <w:r>
        <w:br/>
      </w:r>
      <m:oMath>
        <m:sSup>
          <m:e>
            <m:r>
              <m:t>​</m:t>
            </m:r>
          </m:e>
          <m:sup>
            <m:r>
              <m:t>c</m:t>
            </m:r>
          </m:sup>
        </m:sSup>
      </m:oMath>
      <w:r>
        <w:t xml:space="preserve">Vaughan Analytics, in support of NOAA Fisheries Southeast Fisheries Science Center, Miami, FL, USA</w:t>
      </w:r>
      <w:r>
        <w:br/>
      </w:r>
      <m:oMath>
        <m:sSup>
          <m:e>
            <m:r>
              <m:t>​</m:t>
            </m:r>
          </m:e>
          <m:sup>
            <m:r>
              <m:t>d</m:t>
            </m:r>
          </m:sup>
        </m:sSup>
      </m:oMath>
      <w:r>
        <w:t xml:space="preserve">NOAA Fisheries, Northwest Fisheries Science Center, Seattle, WA, USA</w:t>
      </w:r>
      <w:r>
        <w:br/>
      </w:r>
      <w:r>
        <w:br/>
      </w:r>
      <w:r>
        <w:br/>
      </w:r>
      <m:oMath>
        <m:sSup>
          <m:e>
            <m:r>
              <m:t>​</m:t>
            </m:r>
          </m:e>
          <m:sup>
            <m:r>
              <m:rPr>
                <m:sty m:val="p"/>
              </m:rPr>
              <m:t>*</m:t>
            </m:r>
          </m:sup>
        </m:sSup>
      </m:oMath>
      <w:r>
        <w:rPr>
          <w:bCs/>
          <w:b/>
        </w:rPr>
        <w:t xml:space="preserve">Corresponding author at:</w:t>
      </w:r>
      <w:r>
        <w:br/>
      </w:r>
      <w:r>
        <w:t xml:space="preserve">NOAA Fisheries, Office of Science and Technology, 1315 East-West Highway, 12th Floor, Silver Spring, MD, 20190, USA</w:t>
      </w:r>
      <w:r>
        <w:br/>
      </w:r>
      <w:r>
        <w:t xml:space="preserve">Email address:</w:t>
      </w:r>
      <w:r>
        <w:t xml:space="preserve"> </w:t>
      </w:r>
      <w:hyperlink r:id="rId20">
        <w:r>
          <w:rPr>
            <w:rStyle w:val="Hyperlink"/>
          </w:rPr>
          <w:t xml:space="preserve">andrea.havron@noaa.gov</w:t>
        </w:r>
      </w:hyperlink>
      <w:r>
        <w:br/>
      </w:r>
      <w:r>
        <w:br/>
      </w:r>
      <w:r>
        <w:br/>
      </w:r>
      <w:r>
        <w:t xml:space="preserve">ORCID ID:</w:t>
      </w:r>
      <w:r>
        <w:br/>
      </w:r>
      <w:r>
        <w:t xml:space="preserve">Andrea Havron: 0000-0002-4080-448X</w:t>
      </w:r>
      <w:r>
        <w:br/>
      </w:r>
      <w:r>
        <w:t xml:space="preserve">Anders Nielsen: 0000-0001-9683-9262</w:t>
      </w:r>
      <w:r>
        <w:br/>
      </w:r>
      <w:r>
        <w:t xml:space="preserve">Nathan Vaughan: 0009-0000-3054-6950</w:t>
      </w:r>
      <w:r>
        <w:br/>
      </w:r>
      <w:r>
        <w:t xml:space="preserve">Eric Ward: 0000-0002-4359-0296</w:t>
      </w:r>
    </w:p>
    <w:p>
      <w:r>
        <w:br w:type="page"/>
      </w:r>
    </w:p>
    <w:bookmarkStart w:id="21" w:name="abstract"/>
    <w:p>
      <w:pPr>
        <w:pStyle w:val="Heading1"/>
      </w:pPr>
      <w:r>
        <w:t xml:space="preserve">Abstract</w:t>
      </w:r>
    </w:p>
    <w:p>
      <w:pPr>
        <w:pStyle w:val="FirstParagraph"/>
      </w:pPr>
      <w:r>
        <w:rPr>
          <w:bCs/>
          <w:b/>
        </w:rPr>
        <w:t xml:space="preserve">[250 word limit]:</w:t>
      </w:r>
      <w:r>
        <w:br/>
      </w:r>
      <w:r>
        <w:t xml:space="preserve">Many stock assessment models in the U.S. were developed in ADMB using a hierarchical approach for time-varying processes. Mean parameter values</w:t>
      </w:r>
      <w:r>
        <w:t xml:space="preserve"> </w:t>
      </w:r>
      <m:oMath>
        <m:acc>
          <m:accPr>
            <m:chr m:val="‾"/>
          </m:accPr>
          <m:e>
            <m:r>
              <m:t>θ</m:t>
            </m:r>
          </m:e>
        </m:acc>
      </m:oMath>
      <w:r>
        <w:t xml:space="preserve"> </w:t>
      </w:r>
      <w:r>
        <w:t xml:space="preserve">and fixed effect annual deviation values</w:t>
      </w:r>
      <w:r>
        <w:t xml:space="preserve"> </w:t>
      </w:r>
      <m:oMath>
        <m:r>
          <m:t>d</m:t>
        </m:r>
        <m:r>
          <m:t>e</m:t>
        </m:r>
        <m:sSub>
          <m:e>
            <m:r>
              <m:t>v</m:t>
            </m:r>
          </m:e>
          <m:sub>
            <m:r>
              <m:t>y</m:t>
            </m:r>
          </m:sub>
        </m:sSub>
      </m:oMath>
      <w:r>
        <w:t xml:space="preserve"> </w:t>
      </w:r>
      <w:r>
        <w:t xml:space="preserve">are estimated and combined to produce annual parameter estimates</w:t>
      </w:r>
      <w:r>
        <w:t xml:space="preserve"> </w:t>
      </w:r>
      <m:oMath>
        <m:sSub>
          <m:e>
            <m:acc>
              <m:accPr>
                <m:chr m:val="̂"/>
              </m:accPr>
              <m:e>
                <m:r>
                  <m:t>θ</m:t>
                </m:r>
              </m:e>
            </m:acc>
          </m:e>
          <m:sub>
            <m:r>
              <m:t>y</m:t>
            </m:r>
          </m:sub>
        </m:sSub>
        <m:r>
          <m:rPr>
            <m:sty m:val="p"/>
          </m:rPr>
          <m:t>=</m:t>
        </m:r>
        <m:acc>
          <m:accPr>
            <m:chr m:val="‾"/>
          </m:accPr>
          <m:e>
            <m:r>
              <m:t>θ</m:t>
            </m:r>
          </m:e>
        </m:acc>
        <m:r>
          <m:rPr>
            <m:sty m:val="p"/>
          </m:rPr>
          <m:t>*</m:t>
        </m:r>
        <m:r>
          <m:t>d</m:t>
        </m:r>
        <m:r>
          <m:t>e</m:t>
        </m:r>
        <m:sSub>
          <m:e>
            <m:r>
              <m:t>v</m:t>
            </m:r>
          </m:e>
          <m:sub>
            <m:r>
              <m:t>y</m:t>
            </m:r>
          </m:sub>
        </m:sSub>
      </m:oMath>
      <w:r>
        <w:t xml:space="preserve">. This structure was intuitive and enabled parameter means to be estimated in earlier phases than deviations, which improved convergence. Following statistical best practices, several next generation stock assessment models have incorporated the use of random effects through TMB to model process variability in time-varying parameters. This approach does not require parameter phasing but does require the calculation of up to third-order partial derivatives and Hessian inversion at each optimization step to integrate out random effect uncertainty using the Laplace approximation. While simple to interpret and implement, the deviations approach results in a dense covariance matrix of correlations</w:t>
      </w:r>
      <w:r>
        <w:t xml:space="preserve"> </w:t>
      </w:r>
      <w:r>
        <w:t xml:space="preserve">between the mean</w:t>
      </w:r>
      <w:r>
        <w:t xml:space="preserve"> </w:t>
      </w:r>
      <m:oMath>
        <m:acc>
          <m:accPr>
            <m:chr m:val="‾"/>
          </m:accPr>
          <m:e>
            <m:r>
              <m:t>θ</m:t>
            </m:r>
          </m:e>
        </m:acc>
      </m:oMath>
      <w:r>
        <w:t xml:space="preserve"> </w:t>
      </w:r>
      <w:r>
        <w:t xml:space="preserve">and each annual deviation</w:t>
      </w:r>
      <w:r>
        <w:t xml:space="preserve"> </w:t>
      </w:r>
      <m:oMath>
        <m:r>
          <m:t>d</m:t>
        </m:r>
        <m:r>
          <m:t>e</m:t>
        </m:r>
        <m:sSub>
          <m:e>
            <m:r>
              <m:t>v</m:t>
            </m:r>
          </m:e>
          <m:sub>
            <m:r>
              <m:t>y</m:t>
            </m:r>
          </m:sub>
        </m:sSub>
      </m:oMath>
      <w:r>
        <w:t xml:space="preserve"> </w:t>
      </w:r>
      <w:r>
        <w:t xml:space="preserve">estimate. Due to this difference, the deviations approach in a random effects model has a much larger computational penalty than in historic fixed effects modeling platforms. We test an alternate configuration of directly estimating annual recruitment values as random effects. This structure has a sparse covariance matrix and reduces model estimation time. Optimization time and parameter estimates from stock assessment models under these equivalent sparse versus dense parameterizations are compared to confirm equivalency and performance improvement of the new structure. These results inform development in next generation stock assessment models.</w:t>
      </w:r>
    </w:p>
    <w:bookmarkEnd w:id="21"/>
    <w:bookmarkStart w:id="22" w:name="keywords"/>
    <w:p>
      <w:pPr>
        <w:pStyle w:val="Heading1"/>
      </w:pPr>
      <w:r>
        <w:t xml:space="preserve">Keywords</w:t>
      </w:r>
    </w:p>
    <w:p>
      <w:pPr>
        <w:pStyle w:val="FirstParagraph"/>
      </w:pPr>
      <w:r>
        <w:t xml:space="preserve">You are required to provide 1 to 7 keywords for indexing purposes. Keywords should be written in English. Please try to avoid keywords consisting of multiple words (using</w:t>
      </w:r>
      <w:r>
        <w:t xml:space="preserve"> </w:t>
      </w:r>
      <w:r>
        <w:t xml:space="preserve">“</w:t>
      </w:r>
      <w:r>
        <w:t xml:space="preserve">and</w:t>
      </w:r>
      <w:r>
        <w:t xml:space="preserve">”</w:t>
      </w:r>
      <w:r>
        <w:t xml:space="preserve"> </w:t>
      </w:r>
      <w:r>
        <w:t xml:space="preserve">or</w:t>
      </w:r>
      <w:r>
        <w:t xml:space="preserve"> </w:t>
      </w:r>
      <w:r>
        <w:t xml:space="preserve">“</w:t>
      </w:r>
      <w:r>
        <w:t xml:space="preserve">of</w:t>
      </w:r>
      <w:r>
        <w:t xml:space="preserve">”</w:t>
      </w:r>
      <w:r>
        <w:t xml:space="preserve">).</w:t>
      </w:r>
    </w:p>
    <w:p>
      <w:pPr>
        <w:pStyle w:val="BodyText"/>
      </w:pPr>
      <w:r>
        <w:t xml:space="preserve">We recommend that you only use abbreviations in keywords if they are firmly established in the field.</w:t>
      </w:r>
    </w:p>
    <w:bookmarkEnd w:id="22"/>
    <w:bookmarkStart w:id="23" w:name="highlights"/>
    <w:p>
      <w:pPr>
        <w:pStyle w:val="Heading1"/>
      </w:pPr>
      <w:r>
        <w:t xml:space="preserve">Highlights</w:t>
      </w:r>
    </w:p>
    <w:p>
      <w:pPr>
        <w:pStyle w:val="FirstParagraph"/>
      </w:pPr>
      <w:r>
        <w:t xml:space="preserve">You are required to provide article highlights at submission.</w:t>
      </w:r>
    </w:p>
    <w:p>
      <w:pPr>
        <w:pStyle w:val="BodyText"/>
      </w:pPr>
      <w:r>
        <w:t xml:space="preserve">Highlights are a short collection of bullet points that should capture the novel results of your research as well as any new methods used during your study. Highlights will help increase the discoverability of your article via search engines. Some guidelines:</w:t>
      </w:r>
    </w:p>
    <w:p>
      <w:pPr>
        <w:numPr>
          <w:ilvl w:val="0"/>
          <w:numId w:val="1001"/>
        </w:numPr>
      </w:pPr>
      <w:r>
        <w:t xml:space="preserve">Submit highlights as a separate editable file in the online submission system with the word</w:t>
      </w:r>
      <w:r>
        <w:t xml:space="preserve"> </w:t>
      </w:r>
      <w:r>
        <w:t xml:space="preserve">“</w:t>
      </w:r>
      <w:r>
        <w:t xml:space="preserve">highlights</w:t>
      </w:r>
      <w:r>
        <w:t xml:space="preserve">”</w:t>
      </w:r>
      <w:r>
        <w:t xml:space="preserve"> </w:t>
      </w:r>
      <w:r>
        <w:t xml:space="preserve">included in the file name.</w:t>
      </w:r>
    </w:p>
    <w:p>
      <w:pPr>
        <w:numPr>
          <w:ilvl w:val="0"/>
          <w:numId w:val="1001"/>
        </w:numPr>
      </w:pPr>
      <w:r>
        <w:t xml:space="preserve">Highlights should consist of 3 to 5 bullet points, each a maximum of 85 characters, including spaces.</w:t>
      </w:r>
    </w:p>
    <w:p>
      <w:r>
        <w:br w:type="page"/>
      </w:r>
    </w:p>
    <w:bookmarkEnd w:id="23"/>
    <w:bookmarkStart w:id="24" w:name="notes-for-manuscript-development"/>
    <w:p>
      <w:pPr>
        <w:pStyle w:val="Heading1"/>
      </w:pPr>
      <w:r>
        <w:rPr>
          <w:rStyle w:val="SectionNumber"/>
        </w:rPr>
        <w:t xml:space="preserve">1</w:t>
      </w:r>
      <w:r>
        <w:tab/>
      </w:r>
      <w:r>
        <w:t xml:space="preserve">Notes for Manuscript Development</w:t>
      </w:r>
    </w:p>
    <w:p>
      <w:pPr>
        <w:pStyle w:val="FirstParagraph"/>
      </w:pPr>
      <w:r>
        <w:t xml:space="preserve">Key points:</w:t>
      </w:r>
    </w:p>
    <w:p>
      <w:pPr>
        <w:numPr>
          <w:ilvl w:val="0"/>
          <w:numId w:val="1002"/>
        </w:numPr>
      </w:pPr>
      <w:r>
        <w:t xml:space="preserve">Lots of variable implementations of random effects for recruitment - deviations vs recruitment, often chosen for convenience</w:t>
      </w:r>
    </w:p>
    <w:p>
      <w:pPr>
        <w:numPr>
          <w:ilvl w:val="0"/>
          <w:numId w:val="1002"/>
        </w:numPr>
      </w:pPr>
      <w:r>
        <w:t xml:space="preserve">Unclear whether ML results will translate to Bayesian estimation</w:t>
      </w:r>
    </w:p>
    <w:p>
      <w:pPr>
        <w:numPr>
          <w:ilvl w:val="1"/>
          <w:numId w:val="1003"/>
        </w:numPr>
      </w:pPr>
      <w:r>
        <w:t xml:space="preserve">lots of history in comparing centered vs non-centered REs</w:t>
      </w:r>
    </w:p>
    <w:p>
      <w:pPr>
        <w:numPr>
          <w:ilvl w:val="1"/>
          <w:numId w:val="1003"/>
        </w:numPr>
      </w:pPr>
      <w:r>
        <w:t xml:space="preserve">best practices in creating sparsity pretty well understood in TMB, less clear what this means for MCMC</w:t>
      </w:r>
    </w:p>
    <w:p>
      <w:pPr>
        <w:pStyle w:val="FirstParagraph"/>
      </w:pPr>
      <w:r>
        <w:t xml:space="preserve">Gap / objective - tools such as tmbstan now allow TMB/RTMB models to be</w:t>
      </w:r>
      <w:r>
        <w:t xml:space="preserve"> </w:t>
      </w:r>
      <w:r>
        <w:t xml:space="preserve">passed directly to Stan</w:t>
      </w:r>
    </w:p>
    <w:p>
      <w:pPr>
        <w:numPr>
          <w:ilvl w:val="0"/>
          <w:numId w:val="1004"/>
        </w:numPr>
      </w:pPr>
      <w:r>
        <w:t xml:space="preserve">meaningful comparisons require verifying that the RTMB and Stan implementations encode the same posterior</w:t>
      </w:r>
    </w:p>
    <w:p>
      <w:pPr>
        <w:numPr>
          <w:ilvl w:val="0"/>
          <w:numId w:val="1004"/>
        </w:numPr>
      </w:pPr>
      <w:r>
        <w:t xml:space="preserve">we systematically compare sampling efficiency, convergence, and effective sample size across five combinations of MA(1) and AR(1) recruitment models, using both RTMB-tmbstan and Stan</w:t>
      </w:r>
    </w:p>
    <w:p>
      <w:pPr>
        <w:numPr>
          <w:ilvl w:val="1"/>
          <w:numId w:val="1005"/>
        </w:numPr>
        <w:pStyle w:val="Compact"/>
      </w:pPr>
      <w:r>
        <w:t xml:space="preserve">Is treating recruitment deviations or recruitment more efficient?</w:t>
      </w:r>
    </w:p>
    <w:p>
      <w:pPr>
        <w:numPr>
          <w:ilvl w:val="1"/>
          <w:numId w:val="1005"/>
        </w:numPr>
        <w:pStyle w:val="Compact"/>
      </w:pPr>
      <w:r>
        <w:t xml:space="preserve">What is the impact of RTMB’s dautoreg function?</w:t>
      </w:r>
    </w:p>
    <w:p>
      <w:pPr>
        <w:numPr>
          <w:ilvl w:val="0"/>
          <w:numId w:val="1004"/>
        </w:numPr>
      </w:pPr>
      <w:r>
        <w:t xml:space="preserve">other?</w:t>
      </w:r>
    </w:p>
    <w:bookmarkEnd w:id="24"/>
    <w:bookmarkStart w:id="25" w:name="introduction"/>
    <w:p>
      <w:pPr>
        <w:pStyle w:val="Heading1"/>
      </w:pPr>
      <w:r>
        <w:rPr>
          <w:rStyle w:val="SectionNumber"/>
        </w:rPr>
        <w:t xml:space="preserve">2</w:t>
      </w:r>
      <w:r>
        <w:tab/>
      </w:r>
      <w:r>
        <w:t xml:space="preserve">Introduction</w:t>
      </w:r>
    </w:p>
    <w:p>
      <w:pPr>
        <w:pStyle w:val="FirstParagraph"/>
      </w:pPr>
      <w:r>
        <w:t xml:space="preserve">Fishery stock assessment models in the United States provide options for modeling biological processes, such as recruitment, natural mortality, selectivity, and recruitment as time-varying. When models are based in ADMB, the common structural form of the time-varying process is hierarchical, where a vector of log-deviations typically follow a normal distribution with a fixed standard deviation value. These values are then exponentiated and multiplied by the mean of the process, which can either be a single mean parameter or an output from a functional form (e.g. Beverton Holt recruitment), resulting in a vector of parameters that are unique for each time step. Models utilizing this approach have predominantly implemented log-deviations as estimated fixed effects and .</w:t>
      </w:r>
    </w:p>
    <w:bookmarkEnd w:id="25"/>
    <w:bookmarkStart w:id="30" w:name="methods"/>
    <w:p>
      <w:pPr>
        <w:pStyle w:val="Heading1"/>
      </w:pPr>
      <w:r>
        <w:rPr>
          <w:rStyle w:val="SectionNumber"/>
        </w:rPr>
        <w:t xml:space="preserve">3</w:t>
      </w:r>
      <w:r>
        <w:tab/>
      </w:r>
      <w:r>
        <w:t xml:space="preserve">Methods</w:t>
      </w:r>
    </w:p>
    <w:bookmarkStart w:id="26" w:name="simulation-models"/>
    <w:p>
      <w:pPr>
        <w:pStyle w:val="Heading2"/>
      </w:pPr>
      <w:r>
        <w:rPr>
          <w:rStyle w:val="SectionNumber"/>
        </w:rPr>
        <w:t xml:space="preserve">3.1</w:t>
      </w:r>
      <w:r>
        <w:tab/>
      </w:r>
      <w:r>
        <w:t xml:space="preserve">Simulation models</w:t>
      </w:r>
    </w:p>
    <w:p>
      <w:pPr>
        <w:pStyle w:val="FirstParagraph"/>
      </w:pPr>
      <w:r>
        <w:t xml:space="preserve">We used an age-structured model based on the</w:t>
      </w:r>
      <w:r>
        <w:t xml:space="preserve"> </w:t>
      </w:r>
      <w:r>
        <w:rPr>
          <w:rStyle w:val="VerbatimChar"/>
        </w:rPr>
        <w:t xml:space="preserve">simplefsa</w:t>
      </w:r>
      <w:r>
        <w:t xml:space="preserve"> </w:t>
      </w:r>
      <w:r>
        <w:t xml:space="preserve">fisheries</w:t>
      </w:r>
      <w:r>
        <w:t xml:space="preserve"> </w:t>
      </w:r>
      <w:r>
        <w:t xml:space="preserve">dataset [more detail from Anders]. The model tracks log-numbers-at-age</w:t>
      </w:r>
      <w:r>
        <w:t xml:space="preserve"> </w:t>
      </w:r>
      <w:r>
        <w:t xml:space="preserve">(</w:t>
      </w:r>
      <m:oMath>
        <m:r>
          <m:rPr>
            <m:sty m:val="p"/>
          </m:rPr>
          <m:t>log</m:t>
        </m:r>
        <m:sSub>
          <m:e>
            <m:r>
              <m:t>N</m:t>
            </m:r>
          </m:e>
          <m:sub>
            <m:r>
              <m:t>a</m:t>
            </m:r>
            <m:r>
              <m:rPr>
                <m:sty m:val="p"/>
              </m:rPr>
              <m:t>,</m:t>
            </m:r>
            <m:r>
              <m:t>y</m:t>
            </m:r>
          </m:sub>
        </m:sSub>
      </m:oMath>
      <w:r>
        <w:t xml:space="preserve">) over age classes</w:t>
      </w:r>
      <w:r>
        <w:t xml:space="preserve"> </w:t>
      </w:r>
      <m:oMath>
        <m:r>
          <m:t>a</m:t>
        </m:r>
        <m:r>
          <m:rPr>
            <m:sty m:val="p"/>
          </m:rPr>
          <m:t>=</m:t>
        </m:r>
        <m:r>
          <m:t>1</m:t>
        </m:r>
        <m:r>
          <m:rPr>
            <m:sty m:val="p"/>
          </m:rPr>
          <m:t>,</m:t>
        </m:r>
        <m:r>
          <m:rPr>
            <m:sty m:val="p"/>
          </m:rPr>
          <m:t>…</m:t>
        </m:r>
        <m:r>
          <m:rPr>
            <m:sty m:val="p"/>
          </m:rPr>
          <m:t>,</m:t>
        </m:r>
        <m:r>
          <m:t>A</m:t>
        </m:r>
      </m:oMath>
      <w:r>
        <w:t xml:space="preserve"> </w:t>
      </w:r>
      <w:r>
        <w:t xml:space="preserve">and years</w:t>
      </w:r>
      <w:r>
        <w:t xml:space="preserve"> </w:t>
      </w:r>
      <m:oMath>
        <m:r>
          <m:t>y</m:t>
        </m:r>
        <m:r>
          <m:rPr>
            <m:sty m:val="p"/>
          </m:rPr>
          <m:t>=</m:t>
        </m:r>
        <m:r>
          <m:t>1</m:t>
        </m:r>
        <m:r>
          <m:rPr>
            <m:sty m:val="p"/>
          </m:rPr>
          <m:t>,</m:t>
        </m:r>
        <m:r>
          <m:rPr>
            <m:sty m:val="p"/>
          </m:rPr>
          <m:t>…</m:t>
        </m:r>
        <m:r>
          <m:rPr>
            <m:sty m:val="p"/>
          </m:rPr>
          <m:t>,</m:t>
        </m:r>
        <m:r>
          <m:t>T</m:t>
        </m:r>
      </m:oMath>
      <w:r>
        <w:t xml:space="preserve">. Fishing mortality is modeled as a separable age-year</w:t>
      </w:r>
      <w:r>
        <w:t xml:space="preserve"> </w:t>
      </w:r>
      <w:r>
        <w:t xml:space="preserve">product</w:t>
      </w:r>
      <w:r>
        <w:t xml:space="preserve"> </w:t>
      </w:r>
      <m:oMath>
        <m:sSub>
          <m:e>
            <m:r>
              <m:t>F</m:t>
            </m:r>
          </m:e>
          <m:sub>
            <m:r>
              <m:t>a</m:t>
            </m:r>
            <m:r>
              <m:rPr>
                <m:sty m:val="p"/>
              </m:rPr>
              <m:t>,</m:t>
            </m:r>
            <m:r>
              <m:t>y</m:t>
            </m:r>
          </m:sub>
        </m:sSub>
        <m:r>
          <m:rPr>
            <m:sty m:val="p"/>
          </m:rPr>
          <m:t>=</m:t>
        </m:r>
        <m:r>
          <m:rPr>
            <m:sty m:val="p"/>
          </m:rPr>
          <m:t>exp</m:t>
        </m:r>
        <m:d>
          <m:dPr>
            <m:begChr m:val="("/>
            <m:endChr m:val=")"/>
            <m:sepChr m:val=""/>
            <m:grow/>
          </m:dPr>
          <m:e>
            <m:r>
              <m:rPr>
                <m:sty m:val="p"/>
              </m:rPr>
              <m:t>log</m:t>
            </m:r>
            <m:sSub>
              <m:e>
                <m:r>
                  <m:t>F</m:t>
                </m:r>
              </m:e>
              <m:sub>
                <m:r>
                  <m:t>a</m:t>
                </m:r>
              </m:sub>
            </m:sSub>
            <m:r>
              <m:rPr>
                <m:sty m:val="p"/>
              </m:rPr>
              <m:t>+</m:t>
            </m:r>
            <m:r>
              <m:rPr>
                <m:sty m:val="p"/>
              </m:rPr>
              <m:t>log</m:t>
            </m:r>
            <m:sSub>
              <m:e>
                <m:r>
                  <m:t>F</m:t>
                </m:r>
              </m:e>
              <m:sub>
                <m:r>
                  <m:t>y</m:t>
                </m:r>
              </m:sub>
            </m:sSub>
          </m:e>
        </m:d>
      </m:oMath>
      <w:r>
        <w:t xml:space="preserve">. The population is</w:t>
      </w:r>
      <w:r>
        <w:t xml:space="preserve"> </w:t>
      </w:r>
      <w:r>
        <w:t xml:space="preserve">propagated forward by</w:t>
      </w:r>
    </w:p>
    <w:p>
      <w:pPr>
        <w:pStyle w:val="BodyText"/>
      </w:pPr>
      <m:oMathPara>
        <m:oMathParaPr>
          <m:jc m:val="center"/>
        </m:oMathParaPr>
        <m:oMath>
          <m:r>
            <m:rPr>
              <m:sty m:val="p"/>
            </m:rPr>
            <m:t>log</m:t>
          </m:r>
          <m:sSub>
            <m:e>
              <m:r>
                <m:t>N</m:t>
              </m:r>
            </m:e>
            <m:sub>
              <m:r>
                <m:t>a</m:t>
              </m:r>
              <m:r>
                <m:rPr>
                  <m:sty m:val="p"/>
                </m:rPr>
                <m:t>,</m:t>
              </m:r>
              <m:r>
                <m:t>y</m:t>
              </m:r>
            </m:sub>
          </m:sSub>
          <m:r>
            <m:rPr>
              <m:sty m:val="p"/>
            </m:rPr>
            <m:t>=</m:t>
          </m:r>
          <m:r>
            <m:rPr>
              <m:sty m:val="p"/>
            </m:rPr>
            <m:t>log</m:t>
          </m:r>
          <m:sSub>
            <m:e>
              <m:r>
                <m:t>N</m:t>
              </m:r>
            </m:e>
            <m:sub>
              <m:r>
                <m:t>a</m:t>
              </m:r>
              <m:r>
                <m:rPr>
                  <m:sty m:val="p"/>
                </m:rPr>
                <m:t>−</m:t>
              </m:r>
              <m:r>
                <m:t>1</m:t>
              </m:r>
              <m:r>
                <m:rPr>
                  <m:sty m:val="p"/>
                </m:rPr>
                <m:t>,</m:t>
              </m:r>
              <m:r>
                <m:t>y</m:t>
              </m:r>
              <m:r>
                <m:rPr>
                  <m:sty m:val="p"/>
                </m:rPr>
                <m:t>−</m:t>
              </m:r>
              <m:r>
                <m:t>1</m:t>
              </m:r>
            </m:sub>
          </m:sSub>
          <m:r>
            <m:rPr>
              <m:sty m:val="p"/>
            </m:rPr>
            <m:t>−</m:t>
          </m:r>
          <m:sSub>
            <m:e>
              <m:r>
                <m:t>F</m:t>
              </m:r>
            </m:e>
            <m:sub>
              <m:r>
                <m:t>a</m:t>
              </m:r>
              <m:r>
                <m:rPr>
                  <m:sty m:val="p"/>
                </m:rPr>
                <m:t>−</m:t>
              </m:r>
              <m:r>
                <m:t>1</m:t>
              </m:r>
              <m:r>
                <m:rPr>
                  <m:sty m:val="p"/>
                </m:rPr>
                <m:t>,</m:t>
              </m:r>
              <m:r>
                <m:t>y</m:t>
              </m:r>
              <m:r>
                <m:rPr>
                  <m:sty m:val="p"/>
                </m:rPr>
                <m:t>−</m:t>
              </m:r>
              <m:r>
                <m:t>1</m:t>
              </m:r>
            </m:sub>
          </m:sSub>
          <m:r>
            <m:rPr>
              <m:sty m:val="p"/>
            </m:rPr>
            <m:t>−</m:t>
          </m:r>
          <m:sSub>
            <m:e>
              <m:r>
                <m:t>M</m:t>
              </m:r>
            </m:e>
            <m:sub>
              <m:r>
                <m:t>a</m:t>
              </m:r>
              <m:r>
                <m:rPr>
                  <m:sty m:val="p"/>
                </m:rPr>
                <m:t>−</m:t>
              </m:r>
              <m:r>
                <m:t>1</m:t>
              </m:r>
              <m:r>
                <m:rPr>
                  <m:sty m:val="p"/>
                </m:rPr>
                <m:t>,</m:t>
              </m:r>
              <m:r>
                <m:t>y</m:t>
              </m:r>
              <m:r>
                <m:rPr>
                  <m:sty m:val="p"/>
                </m:rPr>
                <m:t>−</m:t>
              </m:r>
              <m:r>
                <m:t>1</m:t>
              </m:r>
            </m:sub>
          </m:sSub>
        </m:oMath>
      </m:oMathPara>
    </w:p>
    <w:p>
      <w:pPr>
        <w:pStyle w:val="FirstParagraph"/>
      </w:pPr>
      <w:r>
        <w:t xml:space="preserve">where</w:t>
      </w:r>
      <w:r>
        <w:t xml:space="preserve"> </w:t>
      </w:r>
      <m:oMath>
        <m:sSub>
          <m:e>
            <m:r>
              <m:t>M</m:t>
            </m:r>
          </m:e>
          <m:sub>
            <m:r>
              <m:t>a</m:t>
            </m:r>
            <m:r>
              <m:rPr>
                <m:sty m:val="p"/>
              </m:rPr>
              <m:t>,</m:t>
            </m:r>
            <m:r>
              <m:t>y</m:t>
            </m:r>
          </m:sub>
        </m:sSub>
      </m:oMath>
      <w:r>
        <w:t xml:space="preserve"> </w:t>
      </w:r>
      <w:r>
        <w:t xml:space="preserve">is natural mortality supplied as data. Observations</w:t>
      </w:r>
      <w:r>
        <w:t xml:space="preserve"> </w:t>
      </w:r>
      <w:r>
        <w:t xml:space="preserve">consist of commercial catch-at-age (fleet 1) and survey indices (fleet</w:t>
      </w:r>
      <w:r>
        <w:t xml:space="preserve"> </w:t>
      </w:r>
      <w:r>
        <w:t xml:space="preserve">2, ages 1–5), both modeled with lognormal observation error.</w:t>
      </w:r>
    </w:p>
    <w:p>
      <w:pPr>
        <w:pStyle w:val="BodyText"/>
      </w:pPr>
      <w:r>
        <w:t xml:space="preserve">We implemented two formulations of recruitment dynamics, not in the same</w:t>
      </w:r>
      <w:r>
        <w:t xml:space="preserve"> </w:t>
      </w:r>
      <w:r>
        <w:t xml:space="preserve">model. First, we modeled annual recruitment deviations</w:t>
      </w:r>
      <w:r>
        <w:t xml:space="preserve"> </w:t>
      </w:r>
      <m:oMath>
        <m:sSub>
          <m:e>
            <m:r>
              <m:t>ε</m:t>
            </m:r>
          </m:e>
          <m:sub>
            <m:r>
              <m:t>y</m:t>
            </m:r>
          </m:sub>
        </m:sSub>
      </m:oMath>
      <w:r>
        <w:t xml:space="preserve"> </w:t>
      </w:r>
      <w:r>
        <w:t xml:space="preserve">as a first-order moving-average process (MA(1)),</w:t>
      </w:r>
    </w:p>
    <w:p>
      <w:pPr>
        <w:pStyle w:val="BodyText"/>
      </w:pPr>
      <m:oMathPara>
        <m:oMathParaPr>
          <m:jc m:val="center"/>
        </m:oMathParaPr>
        <m:oMath>
          <m:r>
            <m:rPr>
              <m:sty m:val="p"/>
            </m:rPr>
            <m:t>log</m:t>
          </m:r>
          <m:sSub>
            <m:e>
              <m:r>
                <m:t>N</m:t>
              </m:r>
            </m:e>
            <m:sub>
              <m:r>
                <m:t>1</m:t>
              </m:r>
              <m:r>
                <m:rPr>
                  <m:sty m:val="p"/>
                </m:rPr>
                <m:t>,</m:t>
              </m:r>
              <m:r>
                <m:t>y</m:t>
              </m:r>
            </m:sub>
          </m:sSub>
          <m:r>
            <m:rPr>
              <m:sty m:val="p"/>
            </m:rPr>
            <m:t>=</m:t>
          </m:r>
          <m:sSub>
            <m:e>
              <m:r>
                <m:t>μ</m:t>
              </m:r>
            </m:e>
            <m:sub>
              <m:r>
                <m:t>R</m:t>
              </m:r>
            </m:sub>
          </m:sSub>
          <m:r>
            <m:rPr>
              <m:sty m:val="p"/>
            </m:rPr>
            <m:t>+</m:t>
          </m:r>
          <m:sSub>
            <m:e>
              <m:r>
                <m:t>ε</m:t>
              </m:r>
            </m:e>
            <m:sub>
              <m:r>
                <m:t>y</m:t>
              </m:r>
            </m:sub>
          </m:sSub>
          <m:r>
            <m:rPr>
              <m:sty m:val="p"/>
            </m:rPr>
            <m:t>+</m:t>
          </m:r>
          <m:r>
            <m:t>θ</m:t>
          </m:r>
          <m:sSub>
            <m:e>
              <m:r>
                <m:t>ε</m:t>
              </m:r>
            </m:e>
            <m:sub>
              <m:r>
                <m:t>y</m:t>
              </m:r>
              <m:r>
                <m:rPr>
                  <m:sty m:val="p"/>
                </m:rPr>
                <m:t>−</m:t>
              </m:r>
              <m:r>
                <m:t>1</m:t>
              </m:r>
            </m:sub>
          </m:sSub>
          <m:r>
            <m:rPr>
              <m:sty m:val="p"/>
            </m:rPr>
            <m:t>,</m:t>
          </m:r>
          <m:r>
            <m:t> </m:t>
          </m:r>
          <m:sSub>
            <m:e>
              <m:r>
                <m:t>ε</m:t>
              </m:r>
            </m:e>
            <m:sub>
              <m:r>
                <m:t>y</m:t>
              </m:r>
            </m:sub>
          </m:sSub>
          <m:r>
            <m:rPr>
              <m:sty m:val="p"/>
            </m:rPr>
            <m:t>∼</m:t>
          </m:r>
          <m:r>
            <m:t>N</m:t>
          </m:r>
          <m:d>
            <m:dPr>
              <m:begChr m:val="("/>
              <m:endChr m:val=")"/>
              <m:sepChr m:val=""/>
              <m:grow/>
            </m:dPr>
            <m:e>
              <m:r>
                <m:t>0</m:t>
              </m:r>
              <m:r>
                <m:rPr>
                  <m:sty m:val="p"/>
                </m:rPr>
                <m:t>,</m:t>
              </m:r>
              <m:sSub>
                <m:e>
                  <m:r>
                    <m:t>σ</m:t>
                  </m:r>
                </m:e>
                <m:sub>
                  <m:r>
                    <m:t>R</m:t>
                  </m:r>
                </m:sub>
              </m:sSub>
            </m:e>
          </m:d>
        </m:oMath>
      </m:oMathPara>
    </w:p>
    <w:p>
      <w:pPr>
        <w:pStyle w:val="FirstParagraph"/>
      </w:pPr>
      <w:r>
        <w:t xml:space="preserve">where</w:t>
      </w:r>
      <w:r>
        <w:t xml:space="preserve"> </w:t>
      </w:r>
      <m:oMath>
        <m:r>
          <m:t>θ</m:t>
        </m:r>
        <m:r>
          <m:rPr>
            <m:sty m:val="p"/>
          </m:rPr>
          <m:t>=</m:t>
        </m:r>
        <m:r>
          <m:t>2</m:t>
        </m:r>
        <m:r>
          <m:t> </m:t>
        </m:r>
        <m:sSup>
          <m:e>
            <m:r>
              <m:rPr>
                <m:nor/>
                <m:sty m:val="p"/>
              </m:rPr>
              <m:t>logit</m:t>
            </m:r>
          </m:e>
          <m:sup>
            <m:r>
              <m:rPr>
                <m:sty m:val="p"/>
              </m:rPr>
              <m:t>−</m:t>
            </m:r>
            <m:r>
              <m:t>1</m:t>
            </m:r>
          </m:sup>
        </m:sSup>
        <m:d>
          <m:dPr>
            <m:begChr m:val="("/>
            <m:endChr m:val=")"/>
            <m:sepChr m:val=""/>
            <m:grow/>
          </m:dPr>
          <m:e>
            <m:sSub>
              <m:e>
                <m:acc>
                  <m:accPr>
                    <m:chr m:val="̃"/>
                  </m:accPr>
                  <m:e>
                    <m:r>
                      <m:t>θ</m:t>
                    </m:r>
                  </m:e>
                </m:acc>
              </m:e>
              <m:sub>
                <m:r>
                  <m:t>R</m:t>
                </m:r>
              </m:sub>
            </m:sSub>
          </m:e>
        </m:d>
        <m:r>
          <m:rPr>
            <m:sty m:val="p"/>
          </m:rPr>
          <m:t>−</m:t>
        </m:r>
        <m:r>
          <m:t>1</m:t>
        </m:r>
      </m:oMath>
      <w:r>
        <w:t xml:space="preserve">.</w:t>
      </w:r>
    </w:p>
    <w:p>
      <w:pPr>
        <w:pStyle w:val="BodyText"/>
      </w:pPr>
      <w:r>
        <w:t xml:space="preserve">Our second formulation simulated annual recruitment as a first order</w:t>
      </w:r>
      <w:r>
        <w:t xml:space="preserve"> </w:t>
      </w:r>
      <w:r>
        <w:t xml:space="preserve">autoregressive process,</w:t>
      </w:r>
    </w:p>
    <w:p>
      <w:pPr>
        <w:pStyle w:val="BodyText"/>
      </w:pPr>
      <m:oMathPara>
        <m:oMathParaPr>
          <m:jc m:val="center"/>
        </m:oMathParaPr>
        <m:oMath>
          <m:r>
            <m:rPr>
              <m:sty m:val="p"/>
            </m:rPr>
            <m:t>log</m:t>
          </m:r>
          <m:sSub>
            <m:e>
              <m:r>
                <m:t>N</m:t>
              </m:r>
            </m:e>
            <m:sub>
              <m:r>
                <m:t>1</m:t>
              </m:r>
              <m:r>
                <m:rPr>
                  <m:sty m:val="p"/>
                </m:rPr>
                <m:t>,</m:t>
              </m:r>
              <m:r>
                <m:t>y</m:t>
              </m:r>
            </m:sub>
          </m:sSub>
          <m:r>
            <m:rPr>
              <m:sty m:val="p"/>
            </m:rPr>
            <m:t>=</m:t>
          </m:r>
          <m:r>
            <m:t>ϕ</m:t>
          </m:r>
          <m:r>
            <m:rPr>
              <m:sty m:val="p"/>
            </m:rPr>
            <m:t>log</m:t>
          </m:r>
          <m:sSub>
            <m:e>
              <m:r>
                <m:t>N</m:t>
              </m:r>
            </m:e>
            <m:sub>
              <m:r>
                <m:t>1</m:t>
              </m:r>
              <m:r>
                <m:rPr>
                  <m:sty m:val="p"/>
                </m:rPr>
                <m:t>,</m:t>
              </m:r>
              <m:r>
                <m:t>y</m:t>
              </m:r>
              <m:r>
                <m:rPr>
                  <m:sty m:val="p"/>
                </m:rPr>
                <m:t>−</m:t>
              </m:r>
              <m:r>
                <m:t>1</m:t>
              </m:r>
            </m:sub>
          </m:sSub>
          <m:r>
            <m:rPr>
              <m:sty m:val="p"/>
            </m:rPr>
            <m:t>+</m:t>
          </m:r>
          <m:sSub>
            <m:e>
              <m:r>
                <m:t>μ</m:t>
              </m:r>
            </m:e>
            <m:sub>
              <m:r>
                <m:t>R</m:t>
              </m:r>
            </m:sub>
          </m:sSub>
          <m:d>
            <m:dPr>
              <m:begChr m:val="("/>
              <m:endChr m:val=")"/>
              <m:sepChr m:val=""/>
              <m:grow/>
            </m:dPr>
            <m:e>
              <m:r>
                <m:t>1</m:t>
              </m:r>
              <m:r>
                <m:rPr>
                  <m:sty m:val="p"/>
                </m:rPr>
                <m:t>−</m:t>
              </m:r>
              <m:r>
                <m:t>ϕ</m:t>
              </m:r>
            </m:e>
          </m:d>
          <m:r>
            <m:rPr>
              <m:sty m:val="p"/>
            </m:rPr>
            <m:t>+</m:t>
          </m:r>
          <m:sSub>
            <m:e>
              <m:r>
                <m:t>σ</m:t>
              </m:r>
            </m:e>
            <m:sub>
              <m:r>
                <m:t>R</m:t>
              </m:r>
            </m:sub>
          </m:sSub>
          <m:sSub>
            <m:e>
              <m:r>
                <m:t>z</m:t>
              </m:r>
            </m:e>
            <m:sub>
              <m:r>
                <m:t>y</m:t>
              </m:r>
            </m:sub>
          </m:sSub>
          <m:r>
            <m:rPr>
              <m:sty m:val="p"/>
            </m:rPr>
            <m:t>,</m:t>
          </m:r>
          <m:r>
            <m:t> </m:t>
          </m:r>
          <m:sSub>
            <m:e>
              <m:r>
                <m:t>z</m:t>
              </m:r>
            </m:e>
            <m:sub>
              <m:r>
                <m:t>y</m:t>
              </m:r>
            </m:sub>
          </m:sSub>
          <m:r>
            <m:rPr>
              <m:sty m:val="p"/>
            </m:rPr>
            <m:t>∼</m:t>
          </m:r>
          <m:r>
            <m:t>N</m:t>
          </m:r>
          <m:d>
            <m:dPr>
              <m:begChr m:val="("/>
              <m:endChr m:val=")"/>
              <m:sepChr m:val=""/>
              <m:grow/>
            </m:dPr>
            <m:e>
              <m:r>
                <m:t>0</m:t>
              </m:r>
              <m:r>
                <m:rPr>
                  <m:sty m:val="p"/>
                </m:rPr>
                <m:t>,</m:t>
              </m:r>
              <m:r>
                <m:t>1</m:t>
              </m:r>
            </m:e>
          </m:d>
        </m:oMath>
      </m:oMathPara>
    </w:p>
    <w:p>
      <w:pPr>
        <w:pStyle w:val="FirstParagraph"/>
      </w:pPr>
      <w:r>
        <w:t xml:space="preserve">where the AR parameter</w:t>
      </w:r>
      <w:r>
        <w:t xml:space="preserve"> </w:t>
      </w:r>
      <m:oMath>
        <m:r>
          <m:t>ϕ</m:t>
        </m:r>
        <m:r>
          <m:rPr>
            <m:sty m:val="p"/>
          </m:rPr>
          <m:t>=</m:t>
        </m:r>
        <m:r>
          <m:t>2</m:t>
        </m:r>
        <m:r>
          <m:t> </m:t>
        </m:r>
        <m:sSup>
          <m:e>
            <m:r>
              <m:rPr>
                <m:nor/>
                <m:sty m:val="p"/>
              </m:rPr>
              <m:t>logit</m:t>
            </m:r>
          </m:e>
          <m:sup>
            <m:r>
              <m:rPr>
                <m:sty m:val="p"/>
              </m:rPr>
              <m:t>−</m:t>
            </m:r>
            <m:r>
              <m:t>1</m:t>
            </m:r>
          </m:sup>
        </m:sSup>
        <m:d>
          <m:dPr>
            <m:begChr m:val="("/>
            <m:endChr m:val=")"/>
            <m:sepChr m:val=""/>
            <m:grow/>
          </m:dPr>
          <m:e>
            <m:sSub>
              <m:e>
                <m:acc>
                  <m:accPr>
                    <m:chr m:val="̃"/>
                  </m:accPr>
                  <m:e>
                    <m:r>
                      <m:t>ϕ</m:t>
                    </m:r>
                  </m:e>
                </m:acc>
              </m:e>
              <m:sub>
                <m:r>
                  <m:t>R</m:t>
                </m:r>
              </m:sub>
            </m:sSub>
          </m:e>
        </m:d>
        <m:r>
          <m:rPr>
            <m:sty m:val="p"/>
          </m:rPr>
          <m:t>−</m:t>
        </m:r>
        <m:r>
          <m:t>1</m:t>
        </m:r>
      </m:oMath>
      <w:r>
        <w:t xml:space="preserve">.</w:t>
      </w:r>
    </w:p>
    <w:bookmarkEnd w:id="26"/>
    <w:bookmarkStart w:id="28" w:name="estimation"/>
    <w:p>
      <w:pPr>
        <w:pStyle w:val="Heading2"/>
      </w:pPr>
      <w:r>
        <w:rPr>
          <w:rStyle w:val="SectionNumber"/>
        </w:rPr>
        <w:t xml:space="preserve">3.2</w:t>
      </w:r>
      <w:r>
        <w:tab/>
      </w:r>
      <w:r>
        <w:t xml:space="preserve">Estimation</w:t>
      </w:r>
    </w:p>
    <w:p>
      <w:pPr>
        <w:pStyle w:val="FirstParagraph"/>
      </w:pPr>
      <w:r>
        <w:t xml:space="preserve">We compared five model implementations across the two recruitment</w:t>
      </w:r>
      <w:r>
        <w:t xml:space="preserve"> </w:t>
      </w:r>
      <w:r>
        <w:t xml:space="preserve">dynamics formulations (MA(1) and AR(1)), varying in the choice of random</w:t>
      </w:r>
      <w:r>
        <w:t xml:space="preserve"> </w:t>
      </w:r>
      <w:r>
        <w:t xml:space="preserve">effect and the resulting Hessian sparsity structure (Table</w:t>
      </w:r>
      <w:r>
        <w:t xml:space="preserve"> </w:t>
      </w:r>
      <w:r>
        <w:t xml:space="preserve">3.1</w:t>
      </w:r>
      <w:r>
        <w:t xml:space="preserve">). For the</w:t>
      </w:r>
      <w:r>
        <w:t xml:space="preserve"> </w:t>
      </w:r>
      <w:r>
        <w:t xml:space="preserve">MA(1) models, we compared treating the innovations</w:t>
      </w:r>
      <w:r>
        <w:t xml:space="preserve"> </w:t>
      </w:r>
      <m:oMath>
        <m:sSub>
          <m:e>
            <m:r>
              <m:t>ε</m:t>
            </m:r>
          </m:e>
          <m:sub>
            <m:r>
              <m:t>y</m:t>
            </m:r>
          </m:sub>
        </m:sSub>
      </m:oMath>
      <w:r>
        <w:t xml:space="preserve"> </w:t>
      </w:r>
      <w:r>
        <w:t xml:space="preserve">or</w:t>
      </w:r>
      <w:r>
        <w:t xml:space="preserve"> </w:t>
      </w:r>
      <w:r>
        <w:t xml:space="preserve">recruitment</w:t>
      </w:r>
      <w:r>
        <w:t xml:space="preserve"> </w:t>
      </w:r>
      <m:oMath>
        <m:r>
          <m:rPr>
            <m:sty m:val="p"/>
          </m:rPr>
          <m:t>log</m:t>
        </m:r>
        <m:sSub>
          <m:e>
            <m:r>
              <m:t>N</m:t>
            </m:r>
          </m:e>
          <m:sub>
            <m:r>
              <m:t>1</m:t>
            </m:r>
            <m:r>
              <m:rPr>
                <m:sty m:val="p"/>
              </m:rPr>
              <m:t>,</m:t>
            </m:r>
            <m:r>
              <m:t>y</m:t>
            </m:r>
          </m:sub>
        </m:sSub>
      </m:oMath>
      <w:r>
        <w:t xml:space="preserve"> </w:t>
      </w:r>
      <w:r>
        <w:t xml:space="preserve">directly as the random effect. When</w:t>
      </w:r>
      <w:r>
        <w:t xml:space="preserve"> </w:t>
      </w:r>
      <w:r>
        <w:t xml:space="preserve">innovations</w:t>
      </w:r>
      <w:r>
        <w:t xml:space="preserve"> </w:t>
      </w:r>
      <m:oMath>
        <m:sSub>
          <m:e>
            <m:r>
              <m:t>ε</m:t>
            </m:r>
          </m:e>
          <m:sub>
            <m:r>
              <m:t>y</m:t>
            </m:r>
          </m:sub>
        </m:sSub>
      </m:oMath>
      <w:r>
        <w:t xml:space="preserve"> </w:t>
      </w:r>
      <w:r>
        <w:t xml:space="preserve">are a random effect,</w:t>
      </w:r>
      <w:r>
        <w:t xml:space="preserve"> </w:t>
      </w:r>
      <m:oMath>
        <m:r>
          <m:rPr>
            <m:sty m:val="p"/>
          </m:rPr>
          <m:t>log</m:t>
        </m:r>
        <m:sSub>
          <m:e>
            <m:r>
              <m:t>N</m:t>
            </m:r>
          </m:e>
          <m:sub>
            <m:r>
              <m:t>1</m:t>
            </m:r>
            <m:r>
              <m:rPr>
                <m:sty m:val="p"/>
              </m:rPr>
              <m:t>,</m:t>
            </m:r>
            <m:r>
              <m:t>y</m:t>
            </m:r>
          </m:sub>
        </m:sSub>
      </m:oMath>
      <w:r>
        <w:t xml:space="preserve"> </w:t>
      </w:r>
      <w:r>
        <w:t xml:space="preserve">is</w:t>
      </w:r>
      <w:r>
        <w:t xml:space="preserve"> </w:t>
      </w:r>
      <w:r>
        <w:t xml:space="preserve">computed deterministically MA(1) process, yielding a sparse banded</w:t>
      </w:r>
      <w:r>
        <w:t xml:space="preserve"> </w:t>
      </w:r>
      <w:r>
        <w:t xml:space="preserve">Hessian because each</w:t>
      </w:r>
      <w:r>
        <w:t xml:space="preserve"> </w:t>
      </w:r>
      <m:oMath>
        <m:sSub>
          <m:e>
            <m:r>
              <m:t>ε</m:t>
            </m:r>
          </m:e>
          <m:sub>
            <m:r>
              <m:t>y</m:t>
            </m:r>
          </m:sub>
        </m:sSub>
      </m:oMath>
      <w:r>
        <w:t xml:space="preserve"> </w:t>
      </w:r>
      <w:r>
        <w:t xml:space="preserve">connects only to its immediate</w:t>
      </w:r>
      <w:r>
        <w:t xml:space="preserve"> </w:t>
      </w:r>
      <w:r>
        <w:t xml:space="preserve">neighbors. In our second MA(1) estimation model with</w:t>
      </w:r>
      <w:r>
        <w:t xml:space="preserve"> </w:t>
      </w:r>
      <m:oMath>
        <m:r>
          <m:rPr>
            <m:sty m:val="p"/>
          </m:rPr>
          <m:t>log</m:t>
        </m:r>
        <m:sSub>
          <m:e>
            <m:r>
              <m:t>N</m:t>
            </m:r>
          </m:e>
          <m:sub>
            <m:r>
              <m:t>1</m:t>
            </m:r>
            <m:r>
              <m:rPr>
                <m:sty m:val="p"/>
              </m:rPr>
              <m:t>,</m:t>
            </m:r>
            <m:r>
              <m:t>y</m:t>
            </m:r>
          </m:sub>
        </m:sSub>
      </m:oMath>
      <w:r>
        <w:t xml:space="preserve"> </w:t>
      </w:r>
      <w:r>
        <w:t xml:space="preserve">as</w:t>
      </w:r>
      <w:r>
        <w:t xml:space="preserve"> </w:t>
      </w:r>
      <w:r>
        <w:t xml:space="preserve">random effects, the</w:t>
      </w:r>
      <w:r>
        <w:t xml:space="preserve"> </w:t>
      </w:r>
      <m:oMath>
        <m:sSub>
          <m:e>
            <m:r>
              <m:t>ε</m:t>
            </m:r>
          </m:e>
          <m:sub>
            <m:r>
              <m:t>y</m:t>
            </m:r>
          </m:sub>
        </m:sSub>
      </m:oMath>
      <w:r>
        <w:t xml:space="preserve"> </w:t>
      </w:r>
      <w:r>
        <w:t xml:space="preserve">become derived quantities, with a</w:t>
      </w:r>
      <w:r>
        <w:t xml:space="preserve"> </w:t>
      </w:r>
      <w:r>
        <w:t xml:space="preserve">dense Hessian because each</w:t>
      </w:r>
      <w:r>
        <w:t xml:space="preserve"> </w:t>
      </w:r>
      <m:oMath>
        <m:r>
          <m:rPr>
            <m:sty m:val="p"/>
          </m:rPr>
          <m:t>log</m:t>
        </m:r>
        <m:sSub>
          <m:e>
            <m:r>
              <m:t>N</m:t>
            </m:r>
          </m:e>
          <m:sub>
            <m:r>
              <m:t>1</m:t>
            </m:r>
            <m:r>
              <m:rPr>
                <m:sty m:val="p"/>
              </m:rPr>
              <m:t>,</m:t>
            </m:r>
            <m:r>
              <m:t>y</m:t>
            </m:r>
          </m:sub>
        </m:sSub>
      </m:oMath>
      <w:r>
        <w:t xml:space="preserve"> </w:t>
      </w:r>
      <w:r>
        <w:t xml:space="preserve">propagates through all future</w:t>
      </w:r>
      <w:r>
        <w:t xml:space="preserve"> </w:t>
      </w:r>
      <w:r>
        <w:t xml:space="preserve">time steps. [cite Kristensen 2016? Rue and Held?, other?]</w:t>
      </w:r>
    </w:p>
    <w:p>
      <w:pPr>
        <w:pStyle w:val="BodyText"/>
      </w:pPr>
      <w:r>
        <w:t xml:space="preserve">For the AR(1) models, we implemented three estimation model variants.</w:t>
      </w:r>
      <w:r>
        <w:t xml:space="preserve"> </w:t>
      </w:r>
      <w:r>
        <w:t xml:space="preserve">RTMB includes a</w:t>
      </w:r>
      <w:r>
        <w:t xml:space="preserve"> </w:t>
      </w:r>
      <w:r>
        <w:rPr>
          <w:rStyle w:val="VerbatimChar"/>
        </w:rPr>
        <w:t xml:space="preserve">dautoreg</w:t>
      </w:r>
      <w:r>
        <w:t xml:space="preserve"> </w:t>
      </w:r>
      <w:r>
        <w:t xml:space="preserve">function, which uses the banded precision</w:t>
      </w:r>
      <w:r>
        <w:t xml:space="preserve"> </w:t>
      </w:r>
      <w:r>
        <w:t xml:space="preserve">matrix of the AR(1) process for sparse Hessian evaluation. Our first</w:t>
      </w:r>
      <w:r>
        <w:t xml:space="preserve"> </w:t>
      </w:r>
      <w:r>
        <w:t xml:space="preserve">estimation approach treated the</w:t>
      </w:r>
      <w:r>
        <w:t xml:space="preserve"> </w:t>
      </w:r>
      <m:oMath>
        <m:r>
          <m:rPr>
            <m:sty m:val="p"/>
          </m:rPr>
          <m:t>log</m:t>
        </m:r>
        <m:sSub>
          <m:e>
            <m:r>
              <m:t>N</m:t>
            </m:r>
          </m:e>
          <m:sub>
            <m:r>
              <m:t>1</m:t>
            </m:r>
            <m:r>
              <m:rPr>
                <m:sty m:val="p"/>
              </m:rPr>
              <m:t>,</m:t>
            </m:r>
            <m:r>
              <m:t>y</m:t>
            </m:r>
          </m:sub>
        </m:sSub>
      </m:oMath>
      <w:r>
        <w:t xml:space="preserve"> </w:t>
      </w:r>
      <w:r>
        <w:t xml:space="preserve">as random effects, and</w:t>
      </w:r>
      <w:r>
        <w:t xml:space="preserve"> </w:t>
      </w:r>
      <w:r>
        <w:t xml:space="preserve">utilized the</w:t>
      </w:r>
      <w:r>
        <w:t xml:space="preserve"> </w:t>
      </w:r>
      <w:r>
        <w:rPr>
          <w:rStyle w:val="VerbatimChar"/>
        </w:rPr>
        <w:t xml:space="preserve">dautoreg</w:t>
      </w:r>
      <w:r>
        <w:t xml:space="preserve"> </w:t>
      </w:r>
      <w:r>
        <w:t xml:space="preserve">approach. To isolate the effect of this</w:t>
      </w:r>
      <w:r>
        <w:t xml:space="preserve"> </w:t>
      </w:r>
      <w:r>
        <w:t xml:space="preserve">function, our second approach involved an identical model, but we</w:t>
      </w:r>
      <w:r>
        <w:t xml:space="preserve"> </w:t>
      </w:r>
      <w:r>
        <w:t xml:space="preserve">replaced</w:t>
      </w:r>
      <w:r>
        <w:t xml:space="preserve"> </w:t>
      </w:r>
      <w:r>
        <w:rPr>
          <w:rStyle w:val="VerbatimChar"/>
        </w:rPr>
        <w:t xml:space="preserve">dautoreg</w:t>
      </w:r>
      <w:r>
        <w:t xml:space="preserve"> </w:t>
      </w:r>
      <w:r>
        <w:t xml:space="preserve">with a loop, resulting in a dense Hessian from the</w:t>
      </w:r>
      <w:r>
        <w:t xml:space="preserve"> </w:t>
      </w:r>
      <w:r>
        <w:t xml:space="preserve">same statistical model. Parallel to our MA(1) comparison, we were also</w:t>
      </w:r>
      <w:r>
        <w:t xml:space="preserve"> </w:t>
      </w:r>
      <w:r>
        <w:t xml:space="preserve">interested in effects of treating the deviations as random effects; our</w:t>
      </w:r>
      <w:r>
        <w:t xml:space="preserve"> </w:t>
      </w:r>
      <w:r>
        <w:t xml:space="preserve">third estimation model treated the AR(1) deviations</w:t>
      </w:r>
      <w:r>
        <w:t xml:space="preserve"> </w:t>
      </w:r>
      <m:oMath>
        <m:sSub>
          <m:e>
            <m:r>
              <m:t>ε</m:t>
            </m:r>
          </m:e>
          <m:sub>
            <m:r>
              <m:t>y</m:t>
            </m:r>
          </m:sub>
        </m:sSub>
        <m:r>
          <m:rPr>
            <m:sty m:val="p"/>
          </m:rPr>
          <m:t>∼</m:t>
        </m:r>
        <m:r>
          <m:t>N</m:t>
        </m:r>
        <m:d>
          <m:dPr>
            <m:begChr m:val="("/>
            <m:endChr m:val=")"/>
            <m:sepChr m:val=""/>
            <m:grow/>
          </m:dPr>
          <m:e>
            <m:r>
              <m:t>0</m:t>
            </m:r>
            <m:r>
              <m:rPr>
                <m:sty m:val="p"/>
              </m:rPr>
              <m:t>,</m:t>
            </m:r>
            <m:r>
              <m:t> </m:t>
            </m:r>
            <m:sSub>
              <m:e>
                <m:r>
                  <m:t>σ</m:t>
                </m:r>
              </m:e>
              <m:sub>
                <m:r>
                  <m:t>R</m:t>
                </m:r>
              </m:sub>
            </m:sSub>
            <m:rad>
              <m:radPr>
                <m:degHide m:val="on"/>
              </m:radPr>
              <m:deg/>
              <m:e>
                <m:r>
                  <m:t>1</m:t>
                </m:r>
                <m:r>
                  <m:rPr>
                    <m:sty m:val="p"/>
                  </m:rPr>
                  <m:t>−</m:t>
                </m:r>
                <m:sSup>
                  <m:e>
                    <m:r>
                      <m:t>ϕ</m:t>
                    </m:r>
                  </m:e>
                  <m:sup>
                    <m:r>
                      <m:t>2</m:t>
                    </m:r>
                  </m:sup>
                </m:sSup>
              </m:e>
            </m:rad>
          </m:e>
        </m:d>
      </m:oMath>
      <w:r>
        <w:t xml:space="preserve"> </w:t>
      </w:r>
      <w:r>
        <w:t xml:space="preserve">as random effects,</w:t>
      </w:r>
      <w:r>
        <w:t xml:space="preserve"> </w:t>
      </w:r>
      <w:r>
        <w:t xml:space="preserve">with</w:t>
      </w:r>
      <w:r>
        <w:t xml:space="preserve"> </w:t>
      </w:r>
      <m:oMath>
        <m:r>
          <m:rPr>
            <m:sty m:val="p"/>
          </m:rPr>
          <m:t>log</m:t>
        </m:r>
        <m:sSub>
          <m:e>
            <m:r>
              <m:t>N</m:t>
            </m:r>
          </m:e>
          <m:sub>
            <m:r>
              <m:t>1</m:t>
            </m:r>
            <m:r>
              <m:rPr>
                <m:sty m:val="p"/>
              </m:rPr>
              <m:t>,</m:t>
            </m:r>
            <m:r>
              <m:t>y</m:t>
            </m:r>
          </m:sub>
        </m:sSub>
      </m:oMath>
      <w:r>
        <w:t xml:space="preserve"> </w:t>
      </w:r>
      <w:r>
        <w:t xml:space="preserve">as derived quantities, also yielding a sparse</w:t>
      </w:r>
      <w:r>
        <w:t xml:space="preserve"> </w:t>
      </w:r>
      <w:r>
        <w:t xml:space="preserve">Hessian. Collectively these implementations allow us to disentangle the</w:t>
      </w:r>
      <w:r>
        <w:t xml:space="preserve"> </w:t>
      </w:r>
      <w:r>
        <w:t xml:space="preserve">effects of random effect choice and Hessian sparsity on sampling</w:t>
      </w:r>
      <w:r>
        <w:t xml:space="preserve"> </w:t>
      </w:r>
      <w:r>
        <w:t xml:space="preserve">efficiency.</w:t>
      </w:r>
    </w:p>
    <w:p>
      <w:pPr>
        <w:pStyle w:val="BodyText"/>
      </w:pPr>
      <w:r>
        <w:t xml:space="preserve">We performed estimation using maximum likelihood and Bayesian approaches</w:t>
      </w:r>
      <w:r>
        <w:t xml:space="preserve"> </w:t>
      </w:r>
      <w:r>
        <w:t xml:space="preserve">(MCMC). Models were coded in RTMB (cite), and fitted model objects were</w:t>
      </w:r>
      <w:r>
        <w:t xml:space="preserve"> </w:t>
      </w:r>
      <w:r>
        <w:t xml:space="preserve">then passed directly to Stan via the</w:t>
      </w:r>
      <w:r>
        <w:t xml:space="preserve"> </w:t>
      </w:r>
      <w:r>
        <w:rPr>
          <w:rStyle w:val="VerbatimChar"/>
        </w:rPr>
        <w:t xml:space="preserve">tmbstan</w:t>
      </w:r>
      <w:r>
        <w:t xml:space="preserve"> </w:t>
      </w:r>
      <w:r>
        <w:t xml:space="preserve">package (cite Monahan et</w:t>
      </w:r>
      <w:r>
        <w:t xml:space="preserve"> </w:t>
      </w:r>
      <w:r>
        <w:t xml:space="preserve">al.). For comparison purposes, we then re-coded estimation models</w:t>
      </w:r>
      <w:r>
        <w:t xml:space="preserve"> </w:t>
      </w:r>
      <w:r>
        <w:t xml:space="preserve">directly in Stan, and re-estimated parameters. Both MCMC approaches used</w:t>
      </w:r>
      <w:r>
        <w:t xml:space="preserve"> </w:t>
      </w:r>
      <w:r>
        <w:t xml:space="preserve">4 chains, with 4000 iterations each (retaining the last 2000). We</w:t>
      </w:r>
      <w:r>
        <w:t xml:space="preserve"> </w:t>
      </w:r>
      <w:r>
        <w:t xml:space="preserve">specified the target acceptance probability of the NUTS sampler to be</w:t>
      </w:r>
      <w:r>
        <w:t xml:space="preserve"> </w:t>
      </w:r>
      <w:r>
        <w:t xml:space="preserve">0.99 (</w:t>
      </w:r>
      <w:r>
        <w:rPr>
          <w:rStyle w:val="VerbatimChar"/>
        </w:rPr>
        <w:t xml:space="preserve">adapt_delta</w:t>
      </w:r>
      <w:r>
        <w:t xml:space="preserve">). For Bayesian estimation (and RTMB equivalence),</w:t>
      </w:r>
      <w:r>
        <w:t xml:space="preserve"> </w:t>
      </w:r>
      <w:r>
        <w:t xml:space="preserve">all standard deviation parameters were given</w:t>
      </w:r>
      <w:r>
        <w:t xml:space="preserve"> </w:t>
      </w:r>
      <m:oMath>
        <m:r>
          <m:t>N</m:t>
        </m:r>
        <m:d>
          <m:dPr>
            <m:begChr m:val="("/>
            <m:endChr m:val=")"/>
            <m:sepChr m:val=""/>
            <m:grow/>
          </m:dPr>
          <m:e>
            <m:r>
              <m:t>0</m:t>
            </m:r>
            <m:r>
              <m:rPr>
                <m:sty m:val="p"/>
              </m:rPr>
              <m:t>,</m:t>
            </m:r>
            <m:r>
              <m:t>1</m:t>
            </m:r>
          </m:e>
        </m:d>
      </m:oMath>
      <w:r>
        <w:t xml:space="preserve"> </w:t>
      </w:r>
      <w:r>
        <w:t xml:space="preserve">priors on the log</w:t>
      </w:r>
      <w:r>
        <w:t xml:space="preserve"> </w:t>
      </w:r>
      <w:r>
        <w:t xml:space="preserve">scale, and all other parameters were given Stan’s default flat priors.</w:t>
      </w:r>
    </w:p>
    <w:p>
      <w:pPr>
        <w:pStyle w:val="TableCaption"/>
      </w:pPr>
      <w:bookmarkStart w:id="27" w:name="tab:table1"/>
      <w:bookmarkEnd w:id="27"/>
      <w:r>
        <w:t xml:space="preserve">Table 3.1: Summary of model implementations.</w:t>
      </w:r>
    </w:p>
    <w:tbl>
      <w:tblPr>
        <w:tblStyle w:val="Table"/>
        <w:tblW w:type="auto" w:w="0"/>
        <w:tblLook w:firstRow="1" w:lastRow="0" w:firstColumn="0" w:lastColumn="0" w:noHBand="0" w:noVBand="0" w:val="0020"/>
        <w:jc w:val="start"/>
        <w:tblCaption w:val="Table 3.1: Summary of model implementations."/>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Random effect</w:t>
            </w:r>
          </w:p>
        </w:tc>
        <w:tc>
          <w:tcPr/>
          <w:p>
            <w:pPr>
              <w:pStyle w:val="Compact"/>
              <w:jc w:val="center"/>
            </w:pPr>
            <w:r>
              <w:t xml:space="preserve">Hessian</w:t>
            </w:r>
          </w:p>
        </w:tc>
      </w:tr>
      <w:tr>
        <w:tc>
          <w:tcPr/>
          <w:p>
            <w:pPr>
              <w:pStyle w:val="Compact"/>
              <w:jc w:val="left"/>
            </w:pPr>
            <w:r>
              <w:t xml:space="preserve">MA</w:t>
            </w:r>
          </w:p>
        </w:tc>
        <w:tc>
          <w:tcPr/>
          <w:p>
            <w:pPr>
              <w:pStyle w:val="Compact"/>
              <w:jc w:val="left"/>
            </w:pPr>
            <m:oMath>
              <m:r>
                <m:t>ε</m:t>
              </m:r>
            </m:oMath>
          </w:p>
        </w:tc>
        <w:tc>
          <w:tcPr/>
          <w:p>
            <w:pPr>
              <w:pStyle w:val="Compact"/>
              <w:jc w:val="center"/>
            </w:pPr>
            <w:r>
              <w:t xml:space="preserve">Sparse</w:t>
            </w:r>
          </w:p>
        </w:tc>
      </w:tr>
      <w:tr>
        <w:tc>
          <w:tcPr/>
          <w:p>
            <w:pPr>
              <w:pStyle w:val="Compact"/>
              <w:jc w:val="left"/>
            </w:pPr>
            <w:r>
              <w:t xml:space="preserve">MA</w:t>
            </w:r>
          </w:p>
        </w:tc>
        <w:tc>
          <w:tcPr/>
          <w:p>
            <w:pPr>
              <w:pStyle w:val="Compact"/>
              <w:jc w:val="left"/>
            </w:pPr>
            <m:oMath>
              <m:r>
                <m:rPr>
                  <m:sty m:val="p"/>
                </m:rPr>
                <m:t>log</m:t>
              </m:r>
              <m:sSub>
                <m:e>
                  <m:r>
                    <m:t>N</m:t>
                  </m:r>
                </m:e>
                <m:sub>
                  <m:r>
                    <m:t>1</m:t>
                  </m:r>
                  <m:r>
                    <m:rPr>
                      <m:sty m:val="p"/>
                    </m:rPr>
                    <m:t>,</m:t>
                  </m:r>
                  <m:r>
                    <m:t>y</m:t>
                  </m:r>
                </m:sub>
              </m:sSub>
            </m:oMath>
          </w:p>
        </w:tc>
        <w:tc>
          <w:tcPr/>
          <w:p>
            <w:pPr>
              <w:pStyle w:val="Compact"/>
              <w:jc w:val="center"/>
            </w:pPr>
            <w:r>
              <w:t xml:space="preserve">Dense</w:t>
            </w:r>
          </w:p>
        </w:tc>
      </w:tr>
      <w:tr>
        <w:tc>
          <w:tcPr/>
          <w:p>
            <w:pPr>
              <w:pStyle w:val="Compact"/>
              <w:jc w:val="left"/>
            </w:pPr>
            <w:r>
              <w:t xml:space="preserve">AR</w:t>
            </w:r>
          </w:p>
        </w:tc>
        <w:tc>
          <w:tcPr/>
          <w:p>
            <w:pPr>
              <w:pStyle w:val="Compact"/>
              <w:jc w:val="left"/>
            </w:pPr>
            <m:oMath>
              <m:r>
                <m:rPr>
                  <m:sty m:val="p"/>
                </m:rPr>
                <m:t>log</m:t>
              </m:r>
              <m:sSub>
                <m:e>
                  <m:r>
                    <m:t>N</m:t>
                  </m:r>
                </m:e>
                <m:sub>
                  <m:r>
                    <m:t>1</m:t>
                  </m:r>
                  <m:r>
                    <m:rPr>
                      <m:sty m:val="p"/>
                    </m:rPr>
                    <m:t>,</m:t>
                  </m:r>
                  <m:r>
                    <m:t>y</m:t>
                  </m:r>
                </m:sub>
              </m:sSub>
            </m:oMath>
            <w:r>
              <w:t xml:space="preserve"> </w:t>
            </w:r>
            <w:r>
              <w:t xml:space="preserve">(dautoreg)</w:t>
            </w:r>
          </w:p>
        </w:tc>
        <w:tc>
          <w:tcPr/>
          <w:p>
            <w:pPr>
              <w:pStyle w:val="Compact"/>
              <w:jc w:val="center"/>
            </w:pPr>
            <w:r>
              <w:t xml:space="preserve">Sparse</w:t>
            </w:r>
          </w:p>
        </w:tc>
      </w:tr>
      <w:tr>
        <w:tc>
          <w:tcPr/>
          <w:p>
            <w:pPr>
              <w:pStyle w:val="Compact"/>
              <w:jc w:val="left"/>
            </w:pPr>
            <w:r>
              <w:t xml:space="preserve">AR</w:t>
            </w:r>
          </w:p>
        </w:tc>
        <w:tc>
          <w:tcPr/>
          <w:p>
            <w:pPr>
              <w:pStyle w:val="Compact"/>
              <w:jc w:val="left"/>
            </w:pPr>
            <m:oMath>
              <m:r>
                <m:rPr>
                  <m:sty m:val="p"/>
                </m:rPr>
                <m:t>log</m:t>
              </m:r>
              <m:sSub>
                <m:e>
                  <m:r>
                    <m:t>N</m:t>
                  </m:r>
                </m:e>
                <m:sub>
                  <m:r>
                    <m:t>1</m:t>
                  </m:r>
                  <m:r>
                    <m:rPr>
                      <m:sty m:val="p"/>
                    </m:rPr>
                    <m:t>,</m:t>
                  </m:r>
                  <m:r>
                    <m:t>y</m:t>
                  </m:r>
                </m:sub>
              </m:sSub>
            </m:oMath>
            <w:r>
              <w:t xml:space="preserve"> </w:t>
            </w:r>
            <w:r>
              <w:t xml:space="preserve">(loop)</w:t>
            </w:r>
          </w:p>
        </w:tc>
        <w:tc>
          <w:tcPr/>
          <w:p>
            <w:pPr>
              <w:pStyle w:val="Compact"/>
              <w:jc w:val="center"/>
            </w:pPr>
            <w:r>
              <w:t xml:space="preserve">Dense</w:t>
            </w:r>
          </w:p>
        </w:tc>
      </w:tr>
      <w:tr>
        <w:tc>
          <w:tcPr/>
          <w:p>
            <w:pPr>
              <w:pStyle w:val="Compact"/>
              <w:jc w:val="left"/>
            </w:pPr>
            <w:r>
              <w:t xml:space="preserve">AR</w:t>
            </w:r>
          </w:p>
        </w:tc>
        <w:tc>
          <w:tcPr/>
          <w:p>
            <w:pPr>
              <w:pStyle w:val="Compact"/>
              <w:jc w:val="left"/>
            </w:pPr>
            <m:oMath>
              <m:r>
                <m:t>ε</m:t>
              </m:r>
            </m:oMath>
          </w:p>
        </w:tc>
        <w:tc>
          <w:tcPr/>
          <w:p>
            <w:pPr>
              <w:pStyle w:val="Compact"/>
              <w:jc w:val="center"/>
            </w:pPr>
            <w:r>
              <w:t xml:space="preserve">Sparse</w:t>
            </w:r>
          </w:p>
        </w:tc>
      </w:tr>
    </w:tbl>
    <w:bookmarkEnd w:id="28"/>
    <w:bookmarkStart w:id="29" w:name="summary-statistics"/>
    <w:p>
      <w:pPr>
        <w:pStyle w:val="Heading2"/>
      </w:pPr>
      <w:r>
        <w:rPr>
          <w:rStyle w:val="SectionNumber"/>
        </w:rPr>
        <w:t xml:space="preserve">3.3</w:t>
      </w:r>
      <w:r>
        <w:tab/>
      </w:r>
      <w:r>
        <w:t xml:space="preserve">Summary statistics</w:t>
      </w:r>
    </w:p>
    <w:p>
      <w:pPr>
        <w:pStyle w:val="FirstParagraph"/>
      </w:pPr>
      <w:r>
        <w:t xml:space="preserve">For each combination of estimation model and implementation (RTMB, tmbstan, Stan) we summarized across the 100 replicates: mean sampling time</w:t>
      </w:r>
      <w:r>
        <w:t xml:space="preserve"> </w:t>
      </w:r>
      <w:r>
        <w:t xml:space="preserve">(seconds), mean and maximum</w:t>
      </w:r>
      <w:r>
        <w:t xml:space="preserve"> </w:t>
      </w:r>
      <m:oMath>
        <m:acc>
          <m:accPr>
            <m:chr m:val="̂"/>
          </m:accPr>
          <m:e>
            <m:r>
              <m:t>R</m:t>
            </m:r>
          </m:e>
        </m:acc>
      </m:oMath>
      <w:r>
        <w:t xml:space="preserve">, mean effective sample size (ESS),</w:t>
      </w:r>
      <w:r>
        <w:t xml:space="preserve"> </w:t>
      </w:r>
      <w:r>
        <w:t xml:space="preserve">and the number of parameters with</w:t>
      </w:r>
      <w:r>
        <w:t xml:space="preserve"> </w:t>
      </w:r>
      <m:oMath>
        <m:acc>
          <m:accPr>
            <m:chr m:val="̂"/>
          </m:accPr>
          <m:e>
            <m:r>
              <m:t>R</m:t>
            </m:r>
          </m:e>
        </m:acc>
        <m:r>
          <m:rPr>
            <m:sty m:val="p"/>
          </m:rPr>
          <m:t>&gt;</m:t>
        </m:r>
        <m:r>
          <m:t>1.15</m:t>
        </m:r>
      </m:oMath>
      <w:r>
        <w:t xml:space="preserve">. Results are</w:t>
      </w:r>
      <w:r>
        <w:t xml:space="preserve"> </w:t>
      </w:r>
      <w:r>
        <w:t xml:space="preserve">presented as mean (SD) across replicates.</w:t>
      </w:r>
    </w:p>
    <w:bookmarkEnd w:id="29"/>
    <w:bookmarkEnd w:id="30"/>
    <w:bookmarkStart w:id="38" w:name="results"/>
    <w:p>
      <w:pPr>
        <w:pStyle w:val="Heading1"/>
      </w:pPr>
      <w:r>
        <w:rPr>
          <w:rStyle w:val="SectionNumber"/>
        </w:rPr>
        <w:t xml:space="preserve">4</w:t>
      </w:r>
      <w:r>
        <w:tab/>
      </w:r>
      <w:r>
        <w:t xml:space="preserve">Results</w:t>
      </w:r>
    </w:p>
    <w:bookmarkStart w:id="33" w:name="ma1-models"/>
    <w:p>
      <w:pPr>
        <w:pStyle w:val="Heading3"/>
      </w:pPr>
      <w:r>
        <w:rPr>
          <w:rStyle w:val="SectionNumber"/>
        </w:rPr>
        <w:t xml:space="preserve">4.0.1</w:t>
      </w:r>
      <w:r>
        <w:tab/>
      </w:r>
      <w:r>
        <w:t xml:space="preserve">MA(1) models</w:t>
      </w:r>
    </w:p>
    <w:p>
      <w:pPr>
        <w:pStyle w:val="FirstParagraph"/>
      </w:pPr>
      <w:r>
        <w:t xml:space="preserve">For the MA(1) models, we found little difference in speed between models</w:t>
      </w:r>
      <w:r>
        <w:t xml:space="preserve"> </w:t>
      </w:r>
      <w:r>
        <w:t xml:space="preserve">that treated the innovations (deviates) as random effects versus</w:t>
      </w:r>
      <w:r>
        <w:t xml:space="preserve"> </w:t>
      </w:r>
      <w:r>
        <w:t xml:space="preserve">recruitment. Implementations in RTMB showed that the</w:t>
      </w:r>
      <w:r>
        <w:t xml:space="preserve"> </w:t>
      </w:r>
      <w:r>
        <w:t xml:space="preserve">‘</w:t>
      </w:r>
      <w:r>
        <w:t xml:space="preserve">bad</w:t>
      </w:r>
      <w:r>
        <w:t xml:space="preserve">’</w:t>
      </w:r>
      <w:r>
        <w:t xml:space="preserve"> </w:t>
      </w:r>
      <w:r>
        <w:t xml:space="preserve">model</w:t>
      </w:r>
      <w:r>
        <w:t xml:space="preserve"> </w:t>
      </w:r>
      <w:r>
        <w:t xml:space="preserve">(recruitment as random effects, Table</w:t>
      </w:r>
      <w:r>
        <w:t xml:space="preserve"> </w:t>
      </w:r>
      <w:r>
        <w:t xml:space="preserve">4.2</w:t>
      </w:r>
      <w:r>
        <w:t xml:space="preserve">) were</w:t>
      </w:r>
      <w:r>
        <w:t xml:space="preserve"> </w:t>
      </w:r>
      <w:r>
        <w:t xml:space="preserve">3.21</w:t>
      </w:r>
      <w:r>
        <w:t xml:space="preserve"> </w:t>
      </w:r>
      <w:r>
        <w:t xml:space="preserve">times slower than the</w:t>
      </w:r>
      <w:r>
        <w:t xml:space="preserve"> </w:t>
      </w:r>
      <w:r>
        <w:t xml:space="preserve">‘</w:t>
      </w:r>
      <w:r>
        <w:t xml:space="preserve">good</w:t>
      </w:r>
      <w:r>
        <w:t xml:space="preserve">’</w:t>
      </w:r>
      <w:r>
        <w:t xml:space="preserve"> </w:t>
      </w:r>
      <w:r>
        <w:t xml:space="preserve">model (innovations as random effects, Table</w:t>
      </w:r>
      <w:r>
        <w:t xml:space="preserve"> </w:t>
      </w:r>
      <w:r>
        <w:t xml:space="preserve">4.1</w:t>
      </w:r>
      <w:r>
        <w:t xml:space="preserve">). The</w:t>
      </w:r>
      <w:r>
        <w:t xml:space="preserve"> </w:t>
      </w:r>
      <w:r>
        <w:t xml:space="preserve">Stan and tmbstan implementations had similar speeds between random</w:t>
      </w:r>
      <w:r>
        <w:t xml:space="preserve"> </w:t>
      </w:r>
      <w:r>
        <w:t xml:space="preserve">effect implementations (good vs bad). The largest differences in our</w:t>
      </w:r>
      <w:r>
        <w:t xml:space="preserve"> </w:t>
      </w:r>
      <w:r>
        <w:t xml:space="preserve">comparison were between Stan and tmbstan; Stan models finished in less</w:t>
      </w:r>
      <w:r>
        <w:t xml:space="preserve"> </w:t>
      </w:r>
      <w:r>
        <w:t xml:space="preserve">than half the time</w:t>
      </w:r>
      <w:r>
        <w:t xml:space="preserve"> </w:t>
      </w:r>
      <w:r>
        <w:t xml:space="preserve">(2.19</w:t>
      </w:r>
      <w:r>
        <w:t xml:space="preserve"> </w:t>
      </w:r>
      <w:r>
        <w:t xml:space="preserve">times for the bad model,</w:t>
      </w:r>
      <w:r>
        <w:t xml:space="preserve"> </w:t>
      </w:r>
      <w:r>
        <w:t xml:space="preserve">2.3</w:t>
      </w:r>
      <w:r>
        <w:t xml:space="preserve"> </w:t>
      </w:r>
      <w:r>
        <w:t xml:space="preserve">for the good model), and had a much higher effective sample size. The</w:t>
      </w:r>
      <w:r>
        <w:t xml:space="preserve"> </w:t>
      </w:r>
      <w:r>
        <w:t xml:space="preserve">choice of random effects had no impact on the number of models converged</w:t>
      </w:r>
      <w:r>
        <w:t xml:space="preserve"> </w:t>
      </w:r>
      <w:r>
        <w:t xml:space="preserve">in Stan (n = 93) but modeling recruitment as random effects resulted in</w:t>
      </w:r>
      <w:r>
        <w:t xml:space="preserve"> </w:t>
      </w:r>
      <w:r>
        <w:t xml:space="preserve">more models converging (n = 97 v 89).</w:t>
      </w:r>
    </w:p>
    <w:p>
      <w:pPr>
        <w:pStyle w:val="TableCaption"/>
      </w:pPr>
      <w:bookmarkStart w:id="31" w:name="tab:table-ma-good"/>
      <w:bookmarkEnd w:id="31"/>
      <w:r>
        <w:t xml:space="preserve">Table 4.1: MA(1) implementation, with deviations as random effects. Mean (SD) across 100 replicates.</w:t>
      </w:r>
    </w:p>
    <w:tbl>
      <w:tblPr>
        <w:tblStyle w:val="Table"/>
        <w:tblW w:type="auto" w:w="0"/>
        <w:tblLook w:firstRow="1" w:lastRow="0" w:firstColumn="0" w:lastColumn="0" w:noHBand="0" w:noVBand="0" w:val="0020"/>
        <w:jc w:val="start"/>
        <w:tblCaption w:val="Table 4.1: MA(1) implementation, with deviations as random effects. Mean (SD) across 100 replicates."/>
      </w:tblPr>
      <w:tblGrid>
        <w:gridCol w:w="1980"/>
        <w:gridCol w:w="1980"/>
        <w:gridCol w:w="1980"/>
        <w:gridCol w:w="1980"/>
      </w:tblGrid>
      <w:tr>
        <w:trPr>
          <w:tblHeader w:val="true"/>
        </w:trPr>
        <w:tc>
          <w:tcPr/>
          <w:p>
            <w:pPr>
              <w:pStyle w:val="Compact"/>
              <w:jc w:val="left"/>
            </w:pPr>
            <w:r>
              <w:t xml:space="preserve">Metric</w:t>
            </w:r>
          </w:p>
        </w:tc>
        <w:tc>
          <w:tcPr/>
          <w:p>
            <w:pPr>
              <w:pStyle w:val="Compact"/>
              <w:jc w:val="right"/>
            </w:pPr>
            <w:r>
              <w:t xml:space="preserve">tmb</w:t>
            </w:r>
          </w:p>
        </w:tc>
        <w:tc>
          <w:tcPr/>
          <w:p>
            <w:pPr>
              <w:pStyle w:val="Compact"/>
              <w:jc w:val="right"/>
            </w:pPr>
            <w:r>
              <w:t xml:space="preserve">tmbstan</w:t>
            </w:r>
          </w:p>
        </w:tc>
        <w:tc>
          <w:tcPr/>
          <w:p>
            <w:pPr>
              <w:pStyle w:val="Compact"/>
              <w:jc w:val="right"/>
            </w:pPr>
            <w:r>
              <w:t xml:space="preserve">stan</w:t>
            </w:r>
          </w:p>
        </w:tc>
      </w:tr>
      <w:tr>
        <w:tc>
          <w:tcPr/>
          <w:p>
            <w:pPr>
              <w:pStyle w:val="Compact"/>
              <w:jc w:val="left"/>
            </w:pPr>
            <w:r>
              <w:t xml:space="preserve">Sampling time (s)</w:t>
            </w:r>
          </w:p>
        </w:tc>
        <w:tc>
          <w:tcPr/>
          <w:p>
            <w:pPr>
              <w:pStyle w:val="Compact"/>
              <w:jc w:val="right"/>
            </w:pPr>
            <w:r>
              <w:t xml:space="preserve">0.04 (0.00)</w:t>
            </w:r>
          </w:p>
        </w:tc>
        <w:tc>
          <w:tcPr/>
          <w:p>
            <w:pPr>
              <w:pStyle w:val="Compact"/>
              <w:jc w:val="right"/>
            </w:pPr>
            <w:r>
              <w:t xml:space="preserve">75.13 (16.44)</w:t>
            </w:r>
          </w:p>
        </w:tc>
        <w:tc>
          <w:tcPr/>
          <w:p>
            <w:pPr>
              <w:pStyle w:val="Compact"/>
              <w:jc w:val="right"/>
            </w:pPr>
            <w:r>
              <w:t xml:space="preserve">35.46 (18.22)</w:t>
            </w:r>
          </w:p>
        </w:tc>
      </w:tr>
      <w:tr>
        <w:tc>
          <w:tcPr/>
          <w:p>
            <w:pPr>
              <w:pStyle w:val="Compact"/>
              <w:jc w:val="left"/>
            </w:pPr>
            <w:r>
              <w:t xml:space="preserve">Mean ESS</w:t>
            </w:r>
          </w:p>
        </w:tc>
        <w:tc>
          <w:tcPr/>
          <w:p>
            <w:pPr>
              <w:pStyle w:val="Compact"/>
              <w:jc w:val="right"/>
            </w:pPr>
            <w:r>
              <w:t xml:space="preserve">NaN (NA)</w:t>
            </w:r>
          </w:p>
        </w:tc>
        <w:tc>
          <w:tcPr/>
          <w:p>
            <w:pPr>
              <w:pStyle w:val="Compact"/>
              <w:jc w:val="right"/>
            </w:pPr>
            <w:r>
              <w:t xml:space="preserve">2200.63 (395.97)</w:t>
            </w:r>
          </w:p>
        </w:tc>
        <w:tc>
          <w:tcPr/>
          <w:p>
            <w:pPr>
              <w:pStyle w:val="Compact"/>
              <w:jc w:val="right"/>
            </w:pPr>
            <w:r>
              <w:t xml:space="preserve">6247.65 (800.88)</w:t>
            </w:r>
          </w:p>
        </w:tc>
      </w:tr>
      <w:tr>
        <w:tc>
          <w:tcPr/>
          <w:p>
            <w:pPr>
              <w:pStyle w:val="Compact"/>
              <w:jc w:val="left"/>
            </w:pPr>
            <w:r>
              <w:t xml:space="preserve">N pars Rhat &gt; 1.15</w:t>
            </w:r>
          </w:p>
        </w:tc>
        <w:tc>
          <w:tcPr/>
          <w:p>
            <w:pPr>
              <w:pStyle w:val="Compact"/>
              <w:jc w:val="right"/>
            </w:pPr>
            <w:r>
              <w:t xml:space="preserve">NaN (NA)</w:t>
            </w:r>
          </w:p>
        </w:tc>
        <w:tc>
          <w:tcPr/>
          <w:p>
            <w:pPr>
              <w:pStyle w:val="Compact"/>
              <w:jc w:val="right"/>
            </w:pPr>
            <w:r>
              <w:t xml:space="preserve">1.12 (4.79)</w:t>
            </w:r>
          </w:p>
        </w:tc>
        <w:tc>
          <w:tcPr/>
          <w:p>
            <w:pPr>
              <w:pStyle w:val="Compact"/>
              <w:jc w:val="right"/>
            </w:pPr>
            <w:r>
              <w:t xml:space="preserve">1.24 (5.09)</w:t>
            </w:r>
          </w:p>
        </w:tc>
      </w:tr>
      <w:tr>
        <w:tc>
          <w:tcPr/>
          <w:p>
            <w:pPr>
              <w:pStyle w:val="Compact"/>
              <w:jc w:val="left"/>
            </w:pPr>
            <w:r>
              <w:t xml:space="preserve">All Rhat &lt; 1.15</w:t>
            </w:r>
          </w:p>
        </w:tc>
        <w:tc>
          <w:tcPr/>
          <w:p>
            <w:pPr>
              <w:pStyle w:val="Compact"/>
              <w:jc w:val="right"/>
            </w:pPr>
            <w:r>
              <w:t xml:space="preserve">NA</w:t>
            </w:r>
          </w:p>
        </w:tc>
        <w:tc>
          <w:tcPr/>
          <w:p>
            <w:pPr>
              <w:pStyle w:val="Compact"/>
              <w:jc w:val="right"/>
            </w:pPr>
            <w:r>
              <w:t xml:space="preserve">92</w:t>
            </w:r>
          </w:p>
        </w:tc>
        <w:tc>
          <w:tcPr/>
          <w:p>
            <w:pPr>
              <w:pStyle w:val="Compact"/>
              <w:jc w:val="right"/>
            </w:pPr>
            <w:r>
              <w:t xml:space="preserve">91</w:t>
            </w:r>
          </w:p>
        </w:tc>
      </w:tr>
    </w:tbl>
    <w:p/>
    <w:p>
      <w:pPr>
        <w:pStyle w:val="TableCaption"/>
      </w:pPr>
      <w:bookmarkStart w:id="32" w:name="tab:table-ma-bad"/>
      <w:bookmarkEnd w:id="32"/>
      <w:r>
        <w:t xml:space="preserve">Table 4.2: MA(1) implementation, with log-recruitment as random effects. Mean (SD) across 100 replicates.</w:t>
      </w:r>
    </w:p>
    <w:tbl>
      <w:tblPr>
        <w:tblStyle w:val="Table"/>
        <w:tblW w:type="auto" w:w="0"/>
        <w:tblLook w:firstRow="1" w:lastRow="0" w:firstColumn="0" w:lastColumn="0" w:noHBand="0" w:noVBand="0" w:val="0020"/>
        <w:jc w:val="start"/>
        <w:tblCaption w:val="Table 4.2: MA(1) implementation, with log-recruitment as random effects. Mean (SD) across 100 replicates."/>
      </w:tblPr>
      <w:tblGrid>
        <w:gridCol w:w="1980"/>
        <w:gridCol w:w="1980"/>
        <w:gridCol w:w="1980"/>
        <w:gridCol w:w="1980"/>
      </w:tblGrid>
      <w:tr>
        <w:trPr>
          <w:tblHeader w:val="true"/>
        </w:trPr>
        <w:tc>
          <w:tcPr/>
          <w:p>
            <w:pPr>
              <w:pStyle w:val="Compact"/>
              <w:jc w:val="left"/>
            </w:pPr>
            <w:r>
              <w:t xml:space="preserve">Metric</w:t>
            </w:r>
          </w:p>
        </w:tc>
        <w:tc>
          <w:tcPr/>
          <w:p>
            <w:pPr>
              <w:pStyle w:val="Compact"/>
              <w:jc w:val="right"/>
            </w:pPr>
            <w:r>
              <w:t xml:space="preserve">tmb</w:t>
            </w:r>
          </w:p>
        </w:tc>
        <w:tc>
          <w:tcPr/>
          <w:p>
            <w:pPr>
              <w:pStyle w:val="Compact"/>
              <w:jc w:val="right"/>
            </w:pPr>
            <w:r>
              <w:t xml:space="preserve">tmbstan</w:t>
            </w:r>
          </w:p>
        </w:tc>
        <w:tc>
          <w:tcPr/>
          <w:p>
            <w:pPr>
              <w:pStyle w:val="Compact"/>
              <w:jc w:val="right"/>
            </w:pPr>
            <w:r>
              <w:t xml:space="preserve">stan</w:t>
            </w:r>
          </w:p>
        </w:tc>
      </w:tr>
      <w:tr>
        <w:tc>
          <w:tcPr/>
          <w:p>
            <w:pPr>
              <w:pStyle w:val="Compact"/>
              <w:jc w:val="left"/>
            </w:pPr>
            <w:r>
              <w:t xml:space="preserve">Sampling time (s)</w:t>
            </w:r>
          </w:p>
        </w:tc>
        <w:tc>
          <w:tcPr/>
          <w:p>
            <w:pPr>
              <w:pStyle w:val="Compact"/>
              <w:jc w:val="right"/>
            </w:pPr>
            <w:r>
              <w:t xml:space="preserve">0.13 (0.03)</w:t>
            </w:r>
          </w:p>
        </w:tc>
        <w:tc>
          <w:tcPr/>
          <w:p>
            <w:pPr>
              <w:pStyle w:val="Compact"/>
              <w:jc w:val="right"/>
            </w:pPr>
            <w:r>
              <w:t xml:space="preserve">68.64 (19.39)</w:t>
            </w:r>
          </w:p>
        </w:tc>
        <w:tc>
          <w:tcPr/>
          <w:p>
            <w:pPr>
              <w:pStyle w:val="Compact"/>
              <w:jc w:val="right"/>
            </w:pPr>
            <w:r>
              <w:t xml:space="preserve">32.32 (13.29)</w:t>
            </w:r>
          </w:p>
        </w:tc>
      </w:tr>
      <w:tr>
        <w:tc>
          <w:tcPr/>
          <w:p>
            <w:pPr>
              <w:pStyle w:val="Compact"/>
              <w:jc w:val="left"/>
            </w:pPr>
            <w:r>
              <w:t xml:space="preserve">Mean ESS</w:t>
            </w:r>
          </w:p>
        </w:tc>
        <w:tc>
          <w:tcPr/>
          <w:p>
            <w:pPr>
              <w:pStyle w:val="Compact"/>
              <w:jc w:val="right"/>
            </w:pPr>
            <w:r>
              <w:t xml:space="preserve">NaN (NA)</w:t>
            </w:r>
          </w:p>
        </w:tc>
        <w:tc>
          <w:tcPr/>
          <w:p>
            <w:pPr>
              <w:pStyle w:val="Compact"/>
              <w:jc w:val="right"/>
            </w:pPr>
            <w:r>
              <w:t xml:space="preserve">1765.39 (333.67)</w:t>
            </w:r>
          </w:p>
        </w:tc>
        <w:tc>
          <w:tcPr/>
          <w:p>
            <w:pPr>
              <w:pStyle w:val="Compact"/>
              <w:jc w:val="right"/>
            </w:pPr>
            <w:r>
              <w:t xml:space="preserve">5781.42 (695.14)</w:t>
            </w:r>
          </w:p>
        </w:tc>
      </w:tr>
      <w:tr>
        <w:tc>
          <w:tcPr/>
          <w:p>
            <w:pPr>
              <w:pStyle w:val="Compact"/>
              <w:jc w:val="left"/>
            </w:pPr>
            <w:r>
              <w:t xml:space="preserve">N pars Rhat &gt; 1.15</w:t>
            </w:r>
          </w:p>
        </w:tc>
        <w:tc>
          <w:tcPr/>
          <w:p>
            <w:pPr>
              <w:pStyle w:val="Compact"/>
              <w:jc w:val="right"/>
            </w:pPr>
            <w:r>
              <w:t xml:space="preserve">NaN (NA)</w:t>
            </w:r>
          </w:p>
        </w:tc>
        <w:tc>
          <w:tcPr/>
          <w:p>
            <w:pPr>
              <w:pStyle w:val="Compact"/>
              <w:jc w:val="right"/>
            </w:pPr>
            <w:r>
              <w:t xml:space="preserve">0.35 (2.81)</w:t>
            </w:r>
          </w:p>
        </w:tc>
        <w:tc>
          <w:tcPr/>
          <w:p>
            <w:pPr>
              <w:pStyle w:val="Compact"/>
              <w:jc w:val="right"/>
            </w:pPr>
            <w:r>
              <w:t xml:space="preserve">0.69 (3.71)</w:t>
            </w:r>
          </w:p>
        </w:tc>
      </w:tr>
      <w:tr>
        <w:tc>
          <w:tcPr/>
          <w:p>
            <w:pPr>
              <w:pStyle w:val="Compact"/>
              <w:jc w:val="left"/>
            </w:pPr>
            <w:r>
              <w:t xml:space="preserve">All Rhat &lt; 1.15</w:t>
            </w:r>
          </w:p>
        </w:tc>
        <w:tc>
          <w:tcPr/>
          <w:p>
            <w:pPr>
              <w:pStyle w:val="Compact"/>
              <w:jc w:val="right"/>
            </w:pPr>
            <w:r>
              <w:t xml:space="preserve">NA</w:t>
            </w:r>
          </w:p>
        </w:tc>
        <w:tc>
          <w:tcPr/>
          <w:p>
            <w:pPr>
              <w:pStyle w:val="Compact"/>
              <w:jc w:val="right"/>
            </w:pPr>
            <w:r>
              <w:t xml:space="preserve">93</w:t>
            </w:r>
          </w:p>
        </w:tc>
        <w:tc>
          <w:tcPr/>
          <w:p>
            <w:pPr>
              <w:pStyle w:val="Compact"/>
              <w:jc w:val="right"/>
            </w:pPr>
            <w:r>
              <w:t xml:space="preserve">94</w:t>
            </w:r>
          </w:p>
        </w:tc>
      </w:tr>
    </w:tbl>
    <w:bookmarkEnd w:id="33"/>
    <w:bookmarkStart w:id="37" w:name="ar1-models"/>
    <w:p>
      <w:pPr>
        <w:pStyle w:val="Heading2"/>
      </w:pPr>
      <w:r>
        <w:rPr>
          <w:rStyle w:val="SectionNumber"/>
        </w:rPr>
        <w:t xml:space="preserve">4.1</w:t>
      </w:r>
      <w:r>
        <w:tab/>
      </w:r>
      <w:r>
        <w:t xml:space="preserve">AR(1) models</w:t>
      </w:r>
    </w:p>
    <w:p>
      <w:pPr>
        <w:pStyle w:val="FirstParagraph"/>
      </w:pPr>
      <w:r>
        <w:t xml:space="preserve">As our first comparison, we can examine the effect of using</w:t>
      </w:r>
      <w:r>
        <w:t xml:space="preserve"> </w:t>
      </w:r>
      <w:r>
        <w:rPr>
          <w:rStyle w:val="VerbatimChar"/>
        </w:rPr>
        <w:t xml:space="preserve">dautoreg</w:t>
      </w:r>
      <w:r>
        <w:t xml:space="preserve"> </w:t>
      </w:r>
      <w:r>
        <w:t xml:space="preserve">on speed and estimated (Table</w:t>
      </w:r>
      <w:r>
        <w:t xml:space="preserve"> </w:t>
      </w:r>
      <w:r>
        <w:t xml:space="preserve">4.3</w:t>
      </w:r>
      <w:r>
        <w:t xml:space="preserve"> </w:t>
      </w:r>
      <w:r>
        <w:t xml:space="preserve">vs Table</w:t>
      </w:r>
      <w:r>
        <w:t xml:space="preserve"> </w:t>
      </w:r>
      <w:r>
        <w:t xml:space="preserve">4.4</w:t>
      </w:r>
      <w:r>
        <w:t xml:space="preserve">). We see no effect of speed</w:t>
      </w:r>
      <w:r>
        <w:t xml:space="preserve"> </w:t>
      </w:r>
      <w:r>
        <w:t xml:space="preserve">– either in RTMB, or with MCMC. Again, the largest difference is the</w:t>
      </w:r>
      <w:r>
        <w:t xml:space="preserve"> </w:t>
      </w:r>
      <w:r>
        <w:t xml:space="preserve">effect of sampling in Stan, which is faster than tmbstan and more</w:t>
      </w:r>
      <w:r>
        <w:t xml:space="preserve"> </w:t>
      </w:r>
      <w:r>
        <w:t xml:space="preserve">efficient (resulting in higher ESS). In comparing the effects of random effects in recruitment deviations versus recruitment (Table</w:t>
      </w:r>
      <w:r>
        <w:t xml:space="preserve"> </w:t>
      </w:r>
      <w:r>
        <w:t xml:space="preserve">4.4</w:t>
      </w:r>
      <w:r>
        <w:t xml:space="preserve"> </w:t>
      </w:r>
      <w:r>
        <w:t xml:space="preserve">vs Table</w:t>
      </w:r>
      <w:r>
        <w:t xml:space="preserve"> </w:t>
      </w:r>
      <w:r>
        <w:t xml:space="preserve">4.5</w:t>
      </w:r>
      <w:r>
        <w:t xml:space="preserve">), we see a slight speed up in RTMB when estimating random effects in recruitment. Like the MA(1) comparisons, Stan samples approximately 2x as fast compared to RTMB:tmbstan, and is more efficient (higher ESS); there’s little difference in ESS or speed between Stan implementations of the random effects, but the largest difference occurs for tmbstan.</w:t>
      </w:r>
    </w:p>
    <w:p>
      <w:pPr>
        <w:pStyle w:val="TableCaption"/>
      </w:pPr>
      <w:bookmarkStart w:id="34" w:name="tab:table-ar-dautoreg"/>
      <w:bookmarkEnd w:id="34"/>
      <w:r>
        <w:t xml:space="preserve">Table 4.3: AR(1) implementation with dautoreg, and log-recruitment as random effects. Mean (SD) across 100 replicates. Because Stan doesn’t have a dautoreg function, we compare against the Stan code without dautoreg.</w:t>
      </w:r>
    </w:p>
    <w:tbl>
      <w:tblPr>
        <w:tblStyle w:val="Table"/>
        <w:tblW w:type="auto" w:w="0"/>
        <w:tblLook w:firstRow="1" w:lastRow="0" w:firstColumn="0" w:lastColumn="0" w:noHBand="0" w:noVBand="0" w:val="0020"/>
        <w:jc w:val="start"/>
        <w:tblCaption w:val="Table 4.3: AR(1) implementation with dautoreg, and log-recruitment as random effects. Mean (SD) across 100 replicates. Because Stan doesn’t have a dautoreg function, we compare against the Stan code without dautoreg."/>
      </w:tblPr>
      <w:tblGrid>
        <w:gridCol w:w="1980"/>
        <w:gridCol w:w="1980"/>
        <w:gridCol w:w="1980"/>
        <w:gridCol w:w="1980"/>
      </w:tblGrid>
      <w:tr>
        <w:trPr>
          <w:tblHeader w:val="true"/>
        </w:trPr>
        <w:tc>
          <w:tcPr/>
          <w:p>
            <w:pPr>
              <w:pStyle w:val="Compact"/>
              <w:jc w:val="left"/>
            </w:pPr>
            <w:r>
              <w:t xml:space="preserve">Metric</w:t>
            </w:r>
          </w:p>
        </w:tc>
        <w:tc>
          <w:tcPr/>
          <w:p>
            <w:pPr>
              <w:pStyle w:val="Compact"/>
              <w:jc w:val="right"/>
            </w:pPr>
            <w:r>
              <w:t xml:space="preserve">tmb</w:t>
            </w:r>
          </w:p>
        </w:tc>
        <w:tc>
          <w:tcPr/>
          <w:p>
            <w:pPr>
              <w:pStyle w:val="Compact"/>
              <w:jc w:val="right"/>
            </w:pPr>
            <w:r>
              <w:t xml:space="preserve">tmbstan</w:t>
            </w:r>
          </w:p>
        </w:tc>
        <w:tc>
          <w:tcPr/>
          <w:p>
            <w:pPr>
              <w:pStyle w:val="Compact"/>
              <w:jc w:val="right"/>
            </w:pPr>
            <w:r>
              <w:t xml:space="preserve">stan</w:t>
            </w:r>
          </w:p>
        </w:tc>
      </w:tr>
      <w:tr>
        <w:tc>
          <w:tcPr/>
          <w:p>
            <w:pPr>
              <w:pStyle w:val="Compact"/>
              <w:jc w:val="left"/>
            </w:pPr>
            <w:r>
              <w:t xml:space="preserve">Sampling time (s)</w:t>
            </w:r>
          </w:p>
        </w:tc>
        <w:tc>
          <w:tcPr/>
          <w:p>
            <w:pPr>
              <w:pStyle w:val="Compact"/>
              <w:jc w:val="right"/>
            </w:pPr>
            <w:r>
              <w:t xml:space="preserve">0.11 (0.01)</w:t>
            </w:r>
          </w:p>
        </w:tc>
        <w:tc>
          <w:tcPr/>
          <w:p>
            <w:pPr>
              <w:pStyle w:val="Compact"/>
              <w:jc w:val="right"/>
            </w:pPr>
            <w:r>
              <w:t xml:space="preserve">55.85 (7.02)</w:t>
            </w:r>
          </w:p>
        </w:tc>
        <w:tc>
          <w:tcPr/>
          <w:p>
            <w:pPr>
              <w:pStyle w:val="Compact"/>
              <w:jc w:val="right"/>
            </w:pPr>
            <w:r>
              <w:t xml:space="preserve">26.38 (3.83)</w:t>
            </w:r>
          </w:p>
        </w:tc>
      </w:tr>
      <w:tr>
        <w:tc>
          <w:tcPr/>
          <w:p>
            <w:pPr>
              <w:pStyle w:val="Compact"/>
              <w:jc w:val="left"/>
            </w:pPr>
            <w:r>
              <w:t xml:space="preserve">Mean ESS</w:t>
            </w:r>
          </w:p>
        </w:tc>
        <w:tc>
          <w:tcPr/>
          <w:p>
            <w:pPr>
              <w:pStyle w:val="Compact"/>
              <w:jc w:val="right"/>
            </w:pPr>
            <w:r>
              <w:t xml:space="preserve">NaN (NA)</w:t>
            </w:r>
          </w:p>
        </w:tc>
        <w:tc>
          <w:tcPr/>
          <w:p>
            <w:pPr>
              <w:pStyle w:val="Compact"/>
              <w:jc w:val="right"/>
            </w:pPr>
            <w:r>
              <w:t xml:space="preserve">5074.15 (666.92)</w:t>
            </w:r>
          </w:p>
        </w:tc>
        <w:tc>
          <w:tcPr/>
          <w:p>
            <w:pPr>
              <w:pStyle w:val="Compact"/>
              <w:jc w:val="right"/>
            </w:pPr>
            <w:r>
              <w:t xml:space="preserve">6525.88 (748.28)</w:t>
            </w:r>
          </w:p>
        </w:tc>
      </w:tr>
      <w:tr>
        <w:tc>
          <w:tcPr/>
          <w:p>
            <w:pPr>
              <w:pStyle w:val="Compact"/>
              <w:jc w:val="left"/>
            </w:pPr>
            <w:r>
              <w:t xml:space="preserve">N pars Rhat &gt; 1.15</w:t>
            </w:r>
          </w:p>
        </w:tc>
        <w:tc>
          <w:tcPr/>
          <w:p>
            <w:pPr>
              <w:pStyle w:val="Compact"/>
              <w:jc w:val="right"/>
            </w:pPr>
            <w:r>
              <w:t xml:space="preserve">NaN (NA)</w:t>
            </w:r>
          </w:p>
        </w:tc>
        <w:tc>
          <w:tcPr/>
          <w:p>
            <w:pPr>
              <w:pStyle w:val="Compact"/>
              <w:jc w:val="right"/>
            </w:pPr>
            <w:r>
              <w:t xml:space="preserve">0.00 (0.00)</w:t>
            </w:r>
          </w:p>
        </w:tc>
        <w:tc>
          <w:tcPr/>
          <w:p>
            <w:pPr>
              <w:pStyle w:val="Compact"/>
              <w:jc w:val="right"/>
            </w:pPr>
            <w:r>
              <w:t xml:space="preserve">0.00 (0.00)</w:t>
            </w:r>
          </w:p>
        </w:tc>
      </w:tr>
      <w:tr>
        <w:tc>
          <w:tcPr/>
          <w:p>
            <w:pPr>
              <w:pStyle w:val="Compact"/>
              <w:jc w:val="left"/>
            </w:pPr>
            <w:r>
              <w:t xml:space="preserve">All Rhat &lt; 1.15</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100</w:t>
            </w:r>
          </w:p>
        </w:tc>
      </w:tr>
    </w:tbl>
    <w:p/>
    <w:p>
      <w:pPr>
        <w:pStyle w:val="TableCaption"/>
      </w:pPr>
      <w:bookmarkStart w:id="35" w:name="tab:table-ar-nodautoreg"/>
      <w:bookmarkEnd w:id="35"/>
      <w:r>
        <w:t xml:space="preserve">Table 4.4: AR(1) implementation without dautoreg, and log-recruitment as random effects. Mean (SD) across 100 replicates.</w:t>
      </w:r>
    </w:p>
    <w:tbl>
      <w:tblPr>
        <w:tblStyle w:val="Table"/>
        <w:tblW w:type="auto" w:w="0"/>
        <w:tblLook w:firstRow="1" w:lastRow="0" w:firstColumn="0" w:lastColumn="0" w:noHBand="0" w:noVBand="0" w:val="0020"/>
        <w:jc w:val="start"/>
        <w:tblCaption w:val="Table 4.4: AR(1) implementation without dautoreg, and log-recruitment as random effects. Mean (SD) across 100 replicates."/>
      </w:tblPr>
      <w:tblGrid>
        <w:gridCol w:w="1980"/>
        <w:gridCol w:w="1980"/>
        <w:gridCol w:w="1980"/>
        <w:gridCol w:w="1980"/>
      </w:tblGrid>
      <w:tr>
        <w:trPr>
          <w:tblHeader w:val="true"/>
        </w:trPr>
        <w:tc>
          <w:tcPr/>
          <w:p>
            <w:pPr>
              <w:pStyle w:val="Compact"/>
              <w:jc w:val="left"/>
            </w:pPr>
            <w:r>
              <w:t xml:space="preserve">Metric</w:t>
            </w:r>
          </w:p>
        </w:tc>
        <w:tc>
          <w:tcPr/>
          <w:p>
            <w:pPr>
              <w:pStyle w:val="Compact"/>
              <w:jc w:val="right"/>
            </w:pPr>
            <w:r>
              <w:t xml:space="preserve">tmb</w:t>
            </w:r>
          </w:p>
        </w:tc>
        <w:tc>
          <w:tcPr/>
          <w:p>
            <w:pPr>
              <w:pStyle w:val="Compact"/>
              <w:jc w:val="right"/>
            </w:pPr>
            <w:r>
              <w:t xml:space="preserve">tmbstan</w:t>
            </w:r>
          </w:p>
        </w:tc>
        <w:tc>
          <w:tcPr/>
          <w:p>
            <w:pPr>
              <w:pStyle w:val="Compact"/>
              <w:jc w:val="right"/>
            </w:pPr>
            <w:r>
              <w:t xml:space="preserve">stan</w:t>
            </w:r>
          </w:p>
        </w:tc>
      </w:tr>
      <w:tr>
        <w:tc>
          <w:tcPr/>
          <w:p>
            <w:pPr>
              <w:pStyle w:val="Compact"/>
              <w:jc w:val="left"/>
            </w:pPr>
            <w:r>
              <w:t xml:space="preserve">Sampling time (s)</w:t>
            </w:r>
          </w:p>
        </w:tc>
        <w:tc>
          <w:tcPr/>
          <w:p>
            <w:pPr>
              <w:pStyle w:val="Compact"/>
              <w:jc w:val="right"/>
            </w:pPr>
            <w:r>
              <w:t xml:space="preserve">0.11 (0.01)</w:t>
            </w:r>
          </w:p>
        </w:tc>
        <w:tc>
          <w:tcPr/>
          <w:p>
            <w:pPr>
              <w:pStyle w:val="Compact"/>
              <w:jc w:val="right"/>
            </w:pPr>
            <w:r>
              <w:t xml:space="preserve">53.87 (5.81)</w:t>
            </w:r>
          </w:p>
        </w:tc>
        <w:tc>
          <w:tcPr/>
          <w:p>
            <w:pPr>
              <w:pStyle w:val="Compact"/>
              <w:jc w:val="right"/>
            </w:pPr>
            <w:r>
              <w:t xml:space="preserve">26.90 (3.32)</w:t>
            </w:r>
          </w:p>
        </w:tc>
      </w:tr>
      <w:tr>
        <w:tc>
          <w:tcPr/>
          <w:p>
            <w:pPr>
              <w:pStyle w:val="Compact"/>
              <w:jc w:val="left"/>
            </w:pPr>
            <w:r>
              <w:t xml:space="preserve">Mean ESS</w:t>
            </w:r>
          </w:p>
        </w:tc>
        <w:tc>
          <w:tcPr/>
          <w:p>
            <w:pPr>
              <w:pStyle w:val="Compact"/>
              <w:jc w:val="right"/>
            </w:pPr>
            <w:r>
              <w:t xml:space="preserve">NaN (NA)</w:t>
            </w:r>
          </w:p>
        </w:tc>
        <w:tc>
          <w:tcPr/>
          <w:p>
            <w:pPr>
              <w:pStyle w:val="Compact"/>
              <w:jc w:val="right"/>
            </w:pPr>
            <w:r>
              <w:t xml:space="preserve">5065.16 (775.10)</w:t>
            </w:r>
          </w:p>
        </w:tc>
        <w:tc>
          <w:tcPr/>
          <w:p>
            <w:pPr>
              <w:pStyle w:val="Compact"/>
              <w:jc w:val="right"/>
            </w:pPr>
            <w:r>
              <w:t xml:space="preserve">6509.01 (739.18)</w:t>
            </w:r>
          </w:p>
        </w:tc>
      </w:tr>
      <w:tr>
        <w:tc>
          <w:tcPr/>
          <w:p>
            <w:pPr>
              <w:pStyle w:val="Compact"/>
              <w:jc w:val="left"/>
            </w:pPr>
            <w:r>
              <w:t xml:space="preserve">N pars Rhat &gt; 1.15</w:t>
            </w:r>
          </w:p>
        </w:tc>
        <w:tc>
          <w:tcPr/>
          <w:p>
            <w:pPr>
              <w:pStyle w:val="Compact"/>
              <w:jc w:val="right"/>
            </w:pPr>
            <w:r>
              <w:t xml:space="preserve">NaN (NA)</w:t>
            </w:r>
          </w:p>
        </w:tc>
        <w:tc>
          <w:tcPr/>
          <w:p>
            <w:pPr>
              <w:pStyle w:val="Compact"/>
              <w:jc w:val="right"/>
            </w:pPr>
            <w:r>
              <w:t xml:space="preserve">0.01 (0.10)</w:t>
            </w:r>
          </w:p>
        </w:tc>
        <w:tc>
          <w:tcPr/>
          <w:p>
            <w:pPr>
              <w:pStyle w:val="Compact"/>
              <w:jc w:val="right"/>
            </w:pPr>
            <w:r>
              <w:t xml:space="preserve">0.00 (0.00)</w:t>
            </w:r>
          </w:p>
        </w:tc>
      </w:tr>
      <w:tr>
        <w:tc>
          <w:tcPr/>
          <w:p>
            <w:pPr>
              <w:pStyle w:val="Compact"/>
              <w:jc w:val="left"/>
            </w:pPr>
            <w:r>
              <w:t xml:space="preserve">All Rhat &lt; 1.15</w:t>
            </w:r>
          </w:p>
        </w:tc>
        <w:tc>
          <w:tcPr/>
          <w:p>
            <w:pPr>
              <w:pStyle w:val="Compact"/>
              <w:jc w:val="right"/>
            </w:pPr>
            <w:r>
              <w:t xml:space="preserve">NA</w:t>
            </w:r>
          </w:p>
        </w:tc>
        <w:tc>
          <w:tcPr/>
          <w:p>
            <w:pPr>
              <w:pStyle w:val="Compact"/>
              <w:jc w:val="right"/>
            </w:pPr>
            <w:r>
              <w:t xml:space="preserve">99</w:t>
            </w:r>
          </w:p>
        </w:tc>
        <w:tc>
          <w:tcPr/>
          <w:p>
            <w:pPr>
              <w:pStyle w:val="Compact"/>
              <w:jc w:val="right"/>
            </w:pPr>
            <w:r>
              <w:t xml:space="preserve">100</w:t>
            </w:r>
          </w:p>
        </w:tc>
      </w:tr>
    </w:tbl>
    <w:p/>
    <w:p>
      <w:pPr>
        <w:pStyle w:val="TableCaption"/>
      </w:pPr>
      <w:bookmarkStart w:id="36" w:name="tab:table-ar-deviations"/>
      <w:bookmarkEnd w:id="36"/>
      <w:r>
        <w:t xml:space="preserve">Table 4.5: AR(1) implementation without dautoreg, and deviations as random effects. Mean (SD) across 100 replicates.</w:t>
      </w:r>
    </w:p>
    <w:tbl>
      <w:tblPr>
        <w:tblStyle w:val="Table"/>
        <w:tblW w:type="auto" w:w="0"/>
        <w:tblLook w:firstRow="1" w:lastRow="0" w:firstColumn="0" w:lastColumn="0" w:noHBand="0" w:noVBand="0" w:val="0020"/>
        <w:jc w:val="start"/>
        <w:tblCaption w:val="Table 4.5: AR(1) implementation without dautoreg, and deviations as random effects. Mean (SD) across 100 replicates."/>
      </w:tblPr>
      <w:tblGrid>
        <w:gridCol w:w="1980"/>
        <w:gridCol w:w="1980"/>
        <w:gridCol w:w="1980"/>
        <w:gridCol w:w="1980"/>
      </w:tblGrid>
      <w:tr>
        <w:trPr>
          <w:tblHeader w:val="true"/>
        </w:trPr>
        <w:tc>
          <w:tcPr/>
          <w:p>
            <w:pPr>
              <w:pStyle w:val="Compact"/>
              <w:jc w:val="left"/>
            </w:pPr>
            <w:r>
              <w:t xml:space="preserve">Metric</w:t>
            </w:r>
          </w:p>
        </w:tc>
        <w:tc>
          <w:tcPr/>
          <w:p>
            <w:pPr>
              <w:pStyle w:val="Compact"/>
              <w:jc w:val="right"/>
            </w:pPr>
            <w:r>
              <w:t xml:space="preserve">tmb</w:t>
            </w:r>
          </w:p>
        </w:tc>
        <w:tc>
          <w:tcPr/>
          <w:p>
            <w:pPr>
              <w:pStyle w:val="Compact"/>
              <w:jc w:val="right"/>
            </w:pPr>
            <w:r>
              <w:t xml:space="preserve">tmbstan</w:t>
            </w:r>
          </w:p>
        </w:tc>
        <w:tc>
          <w:tcPr/>
          <w:p>
            <w:pPr>
              <w:pStyle w:val="Compact"/>
              <w:jc w:val="right"/>
            </w:pPr>
            <w:r>
              <w:t xml:space="preserve">stan</w:t>
            </w:r>
          </w:p>
        </w:tc>
      </w:tr>
      <w:tr>
        <w:tc>
          <w:tcPr/>
          <w:p>
            <w:pPr>
              <w:pStyle w:val="Compact"/>
              <w:jc w:val="left"/>
            </w:pPr>
            <w:r>
              <w:t xml:space="preserve">Sampling time (s)</w:t>
            </w:r>
          </w:p>
        </w:tc>
        <w:tc>
          <w:tcPr/>
          <w:p>
            <w:pPr>
              <w:pStyle w:val="Compact"/>
              <w:jc w:val="right"/>
            </w:pPr>
            <w:r>
              <w:t xml:space="preserve">0.14 (0.01)</w:t>
            </w:r>
          </w:p>
        </w:tc>
        <w:tc>
          <w:tcPr/>
          <w:p>
            <w:pPr>
              <w:pStyle w:val="Compact"/>
              <w:jc w:val="right"/>
            </w:pPr>
            <w:r>
              <w:t xml:space="preserve">272.02 (72.15)</w:t>
            </w:r>
          </w:p>
        </w:tc>
        <w:tc>
          <w:tcPr/>
          <w:p>
            <w:pPr>
              <w:pStyle w:val="Compact"/>
              <w:jc w:val="right"/>
            </w:pPr>
            <w:r>
              <w:t xml:space="preserve">111.90 (30.10)</w:t>
            </w:r>
          </w:p>
        </w:tc>
      </w:tr>
      <w:tr>
        <w:tc>
          <w:tcPr/>
          <w:p>
            <w:pPr>
              <w:pStyle w:val="Compact"/>
              <w:jc w:val="left"/>
            </w:pPr>
            <w:r>
              <w:t xml:space="preserve">Mean ESS</w:t>
            </w:r>
          </w:p>
        </w:tc>
        <w:tc>
          <w:tcPr/>
          <w:p>
            <w:pPr>
              <w:pStyle w:val="Compact"/>
              <w:jc w:val="right"/>
            </w:pPr>
            <w:r>
              <w:t xml:space="preserve">NaN (NA)</w:t>
            </w:r>
          </w:p>
        </w:tc>
        <w:tc>
          <w:tcPr/>
          <w:p>
            <w:pPr>
              <w:pStyle w:val="Compact"/>
              <w:jc w:val="right"/>
            </w:pPr>
            <w:r>
              <w:t xml:space="preserve">2193.21 (370.59)</w:t>
            </w:r>
          </w:p>
        </w:tc>
        <w:tc>
          <w:tcPr/>
          <w:p>
            <w:pPr>
              <w:pStyle w:val="Compact"/>
              <w:jc w:val="right"/>
            </w:pPr>
            <w:r>
              <w:t xml:space="preserve">6315.67 (903.40)</w:t>
            </w:r>
          </w:p>
        </w:tc>
      </w:tr>
      <w:tr>
        <w:tc>
          <w:tcPr/>
          <w:p>
            <w:pPr>
              <w:pStyle w:val="Compact"/>
              <w:jc w:val="left"/>
            </w:pPr>
            <w:r>
              <w:t xml:space="preserve">N pars Rhat &gt; 1.15</w:t>
            </w:r>
          </w:p>
        </w:tc>
        <w:tc>
          <w:tcPr/>
          <w:p>
            <w:pPr>
              <w:pStyle w:val="Compact"/>
              <w:jc w:val="right"/>
            </w:pPr>
            <w:r>
              <w:t xml:space="preserve">NaN (NA)</w:t>
            </w:r>
          </w:p>
        </w:tc>
        <w:tc>
          <w:tcPr/>
          <w:p>
            <w:pPr>
              <w:pStyle w:val="Compact"/>
              <w:jc w:val="right"/>
            </w:pPr>
            <w:r>
              <w:t xml:space="preserve">0.00 (0.00)</w:t>
            </w:r>
          </w:p>
        </w:tc>
        <w:tc>
          <w:tcPr/>
          <w:p>
            <w:pPr>
              <w:pStyle w:val="Compact"/>
              <w:jc w:val="right"/>
            </w:pPr>
            <w:r>
              <w:t xml:space="preserve">0.00 (0.00)</w:t>
            </w:r>
          </w:p>
        </w:tc>
      </w:tr>
      <w:tr>
        <w:tc>
          <w:tcPr/>
          <w:p>
            <w:pPr>
              <w:pStyle w:val="Compact"/>
              <w:jc w:val="left"/>
            </w:pPr>
            <w:r>
              <w:t xml:space="preserve">All Rhat &lt; 1.15</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100</w:t>
            </w:r>
          </w:p>
        </w:tc>
      </w:tr>
    </w:tbl>
    <w:bookmarkEnd w:id="37"/>
    <w:bookmarkEnd w:id="38"/>
    <w:bookmarkStart w:id="39" w:name="discussion"/>
    <w:p>
      <w:pPr>
        <w:pStyle w:val="Heading1"/>
      </w:pPr>
      <w:r>
        <w:rPr>
          <w:rStyle w:val="SectionNumber"/>
        </w:rPr>
        <w:t xml:space="preserve">5</w:t>
      </w:r>
      <w:r>
        <w:tab/>
      </w:r>
      <w:r>
        <w:t xml:space="preserve">Discussion</w:t>
      </w:r>
    </w:p>
    <w:p>
      <w:pPr>
        <w:numPr>
          <w:ilvl w:val="0"/>
          <w:numId w:val="1006"/>
        </w:numPr>
      </w:pPr>
      <w:r>
        <w:t xml:space="preserve">For MA(1) models, we recommend modelling deviations as random effects (good parameterisation). The RTMB implementation was much faster, and treating recruitment as random effects led to really poor estimation for some Bayesian models (Stan)</w:t>
      </w:r>
    </w:p>
    <w:p>
      <w:pPr>
        <w:numPr>
          <w:ilvl w:val="0"/>
          <w:numId w:val="1006"/>
        </w:numPr>
      </w:pPr>
      <w:r>
        <w:t xml:space="preserve">For AR(1) models, we recommend using recruitment as random effects. This was much faster than the deviations parameterization</w:t>
      </w:r>
    </w:p>
    <w:p>
      <w:pPr>
        <w:numPr>
          <w:ilvl w:val="0"/>
          <w:numId w:val="1006"/>
        </w:numPr>
      </w:pPr>
      <w:r>
        <w:t xml:space="preserve">RTMB’s</w:t>
      </w:r>
      <w:r>
        <w:t xml:space="preserve"> </w:t>
      </w:r>
      <w:r>
        <w:t xml:space="preserve">‘</w:t>
      </w:r>
      <w:r>
        <w:t xml:space="preserve">dautoreg</w:t>
      </w:r>
      <w:r>
        <w:t xml:space="preserve">’</w:t>
      </w:r>
      <w:r>
        <w:t xml:space="preserve"> </w:t>
      </w:r>
      <w:r>
        <w:t xml:space="preserve">function seemed to have little to no impact on MCMC sampling speed or efficiency</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andrea.havron@noaa.gov" TargetMode="External" /></Relationships>
</file>

<file path=word/_rels/footnotes.xml.rels><?xml version="1.0" encoding="UTF-8"?><Relationships xmlns="http://schemas.openxmlformats.org/package/2006/relationships"><Relationship Type="http://schemas.openxmlformats.org/officeDocument/2006/relationships/hyperlink" Id="rId20" Target="mailto:andrea.havron@noa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Title - Sparsity in random effects under different parameterizations in fishery stock assessment models</dc:title>
  <dc:creator>Andrea M Havron^{a,1,*}, Anders Nielsen^{b,2}, Nathan Vaughan^{c,3}, Eric Ward^{d,4}</dc:creator>
  <cp:keywords/>
  <dcterms:created xsi:type="dcterms:W3CDTF">2026-05-02T03:27:02Z</dcterms:created>
  <dcterms:modified xsi:type="dcterms:W3CDTF">2026-05-02T03:27:02Z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01, 2026</vt:lpwstr>
  </property>
  <property fmtid="{D5CDD505-2E9C-101B-9397-08002B2CF9AE}" pid="3" name="editor_options">
    <vt:lpwstr/>
  </property>
  <property fmtid="{D5CDD505-2E9C-101B-9397-08002B2CF9AE}" pid="4" name="output">
    <vt:lpwstr/>
  </property>
</Properties>
</file>