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Navegamos a la página principal y entramos a la sección de ratones.</w:t>
            </w:r>
          </w:p>
        </w:tc>
        <w:tc>
          <w:p>
            <w:r>
              <w:t>Paso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Elegimos un ratón y clickeamos en él.</w:t>
            </w:r>
          </w:p>
        </w:tc>
        <w:tc>
          <w:p>
            <w:r>
              <w:t>Click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Navegamos a la página del producto y lo añadimos al carrito.</w:t>
            </w:r>
          </w:p>
        </w:tc>
        <w:tc>
          <w:p>
            <w:r>
              <w:t>Click al botón addToCart realizado.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El ratón se añadió correctamente</w:t>
            </w:r>
          </w:p>
        </w:tc>
        <w:tc>
          <w:p>
            <w:r>
              <w:t>Producto añadido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2022-12-28T19:02:04Z</dcterms:created>
  <dc:creator>Apache POI</dc:creator>
</cp:coreProperties>
</file>