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40" w:line="276" w:lineRule="auto"/>
        <w:jc w:val="center"/>
      </w:pPr>
      <w:r>
        <w:rPr>
          <w:rFonts w:ascii="Cambria" w:hAnsi="Cambria"/>
          <w:b w:val="0"/>
          <w:i w:val="0"/>
          <w:sz w:val="24"/>
        </w:rPr>
        <w:t>GARAMOND CONSULTING SRL</w:t>
      </w:r>
    </w:p>
    <w:p>
      <w:pPr>
        <w:spacing w:after="160" w:line="276" w:lineRule="auto"/>
        <w:jc w:val="center"/>
        <w:pBdr>
          <w:bottom w:val="single" w:sz="6" w:space="4" w:color="8B2E2E"/>
        </w:pBdr>
      </w:pPr>
      <w:r>
        <w:rPr>
          <w:rFonts w:ascii="Cambria" w:hAnsi="Cambria"/>
          <w:b w:val="0"/>
          <w:i w:val="0"/>
          <w:color w:val="666666"/>
          <w:sz w:val="19"/>
        </w:rPr>
        <w:t>Via Noncello 21 – 33170 Pordenone</w:t>
      </w:r>
    </w:p>
    <w:p/>
    <w:p/>
    <w:p>
      <w:pPr>
        <w:spacing w:after="200" w:line="276" w:lineRule="auto"/>
        <w:jc w:val="center"/>
      </w:pPr>
      <w:r>
        <w:rPr>
          <w:rFonts w:ascii="Cambria" w:hAnsi="Cambria"/>
          <w:b w:val="0"/>
          <w:i w:val="0"/>
          <w:color w:val="8B2E2E"/>
          <w:sz w:val="32"/>
        </w:rPr>
        <w:t>TRASFORMAZIONE DI NEGRO CASA E SERVIZI SNC IN SOCIETÀ IN ACCOMANDITA SEMPLICE</w:t>
      </w:r>
    </w:p>
    <w:p>
      <w:pPr>
        <w:spacing w:after="80" w:line="276" w:lineRule="auto"/>
        <w:jc w:val="center"/>
      </w:pPr>
      <w:r>
        <w:rPr>
          <w:rFonts w:ascii="Cambria" w:hAnsi="Cambria"/>
          <w:b w:val="0"/>
          <w:i w:val="0"/>
          <w:sz w:val="23"/>
        </w:rPr>
        <w:t>Relazione per il notaio: compagine, quote, oggetto sociale, patti e profili fiscali</w:t>
      </w:r>
    </w:p>
    <w:p>
      <w:pPr>
        <w:spacing w:after="480" w:line="276" w:lineRule="auto"/>
        <w:jc w:val="center"/>
      </w:pPr>
      <w:r>
        <w:rPr>
          <w:rFonts w:ascii="Cambria" w:hAnsi="Cambria"/>
          <w:b w:val="0"/>
          <w:i/>
          <w:sz w:val="23"/>
        </w:rPr>
        <w:t>Versione aggiornata: stipula del 22 ottobre 2026, ore 15.30</w:t>
      </w:r>
    </w:p>
    <w:p>
      <w:pPr>
        <w:spacing w:after="40" w:line="276" w:lineRule="auto"/>
        <w:jc w:val="center"/>
      </w:pPr>
      <w:r>
        <w:rPr>
          <w:rFonts w:ascii="Cambria" w:hAnsi="Cambria"/>
          <w:b w:val="0"/>
          <w:i w:val="0"/>
          <w:sz w:val="24"/>
        </w:rPr>
        <w:t>Negro Casa e Servizi Snc di Oliviero Negro &amp; C.</w:t>
      </w:r>
    </w:p>
    <w:p>
      <w:pPr>
        <w:spacing w:after="400" w:line="276" w:lineRule="auto"/>
        <w:jc w:val="center"/>
      </w:pPr>
      <w:r>
        <w:rPr>
          <w:rFonts w:ascii="Cambria" w:hAnsi="Cambria"/>
          <w:b w:val="0"/>
          <w:i w:val="0"/>
          <w:color w:val="666666"/>
          <w:sz w:val="19"/>
        </w:rPr>
        <w:t>Via G. Garibaldi 48 – 31030 Breda di Piave (TV) – C.F. e P.IVA 03489740260</w:t>
      </w:r>
    </w:p>
    <w:p>
      <w:pPr>
        <w:spacing w:after="2400" w:line="276" w:lineRule="auto"/>
        <w:jc w:val="center"/>
      </w:pPr>
      <w:r>
        <w:rPr>
          <w:rFonts w:ascii="Cambria" w:hAnsi="Cambria"/>
          <w:b w:val="0"/>
          <w:i/>
          <w:sz w:val="22"/>
        </w:rPr>
        <w:t>Alla cortese attenzione della dott.ssa Rita Brunzo, notaio in Treviso</w:t>
      </w:r>
    </w:p>
    <w:p>
      <w:pPr>
        <w:spacing w:after="0" w:line="276" w:lineRule="auto"/>
        <w:jc w:val="center"/>
      </w:pPr>
      <w:r>
        <w:rPr>
          <w:rFonts w:ascii="Cambria" w:hAnsi="Cambria"/>
          <w:b w:val="0"/>
          <w:i w:val="0"/>
          <w:color w:val="666666"/>
          <w:sz w:val="19"/>
        </w:rPr>
        <w:t>Pordenone, 17 ottobre 2026 – sostituisce la relazione del 12 ottobre 2026</w:t>
      </w:r>
    </w:p>
    <w:p>
      <w:pPr>
        <w:spacing w:after="0" w:line="276" w:lineRule="auto"/>
        <w:jc w:val="center"/>
      </w:pPr>
      <w:r>
        <w:rPr>
          <w:rFonts w:ascii="Cambria" w:hAnsi="Cambria"/>
          <w:b w:val="0"/>
          <w:i w:val="0"/>
          <w:color w:val="666666"/>
          <w:sz w:val="19"/>
        </w:rPr>
        <w:t>Redatta da dott. Andrea Rossi – Garamond Consulting Srl</w:t>
      </w:r>
    </w:p>
    <w:p>
      <w:r>
        <w:br w:type="page"/>
      </w:r>
    </w:p>
    <w:p>
      <w:pPr>
        <w:keepNext/>
        <w:spacing w:before="280" w:after="160"/>
        <w:pBdr>
          <w:bottom w:val="single" w:sz="6" w:space="4" w:color="8B2E2E"/>
        </w:pBdr>
      </w:pPr>
      <w:r>
        <w:rPr>
          <w:rFonts w:ascii="Cambria" w:hAnsi="Cambria"/>
          <w:b w:val="0"/>
          <w:i w:val="0"/>
          <w:color w:val="8B2E2E"/>
          <w:sz w:val="24"/>
        </w:rPr>
        <w:t>1. PREMESSA E OPERAZIONI DEL 22 OTTOBRE 2026</w:t>
      </w:r>
    </w:p>
    <w:p>
      <w:pPr>
        <w:spacing w:after="120" w:line="276" w:lineRule="auto"/>
        <w:jc w:val="both"/>
      </w:pPr>
      <w:r>
        <w:rPr>
          <w:rFonts w:ascii="Cambria" w:hAnsi="Cambria"/>
          <w:b w:val="0"/>
          <w:i w:val="0"/>
        </w:rPr>
        <w:t>La presente relazione, che sostituisce quella del 12 ottobre 2026, illustra l'operazione che interessa Negro Casa e Servizi Snc di Oliviero Negro &amp; C., i cui patti sociali sono stati da ultimo modificati con atto a rogito della S.V. del 29 dicembre 2025, rep. n. 2.410, racc. n. 2.057, e propone i contenuti da recepire negli atti in programma per il 22 ottobre 2026, alle ore 15.30 (la stipula, inizialmente prevista per il 14 ottobre 2026, è stata rinviata).</w:t>
      </w:r>
    </w:p>
    <w:p>
      <w:pPr>
        <w:spacing w:after="120" w:line="276" w:lineRule="auto"/>
        <w:jc w:val="both"/>
      </w:pPr>
      <w:r>
        <w:rPr>
          <w:rFonts w:ascii="Cambria" w:hAnsi="Cambria"/>
          <w:b w:val="0"/>
          <w:i w:val="0"/>
        </w:rPr>
        <w:t>Nella stessa data sono previste le seguenti operazioni, indicate nell'ordine di esecuzione proposto:</w:t>
      </w:r>
    </w:p>
    <w:p>
      <w:pPr>
        <w:spacing w:after="100" w:line="276" w:lineRule="auto"/>
        <w:ind w:left="567" w:hanging="397"/>
        <w:jc w:val="both"/>
      </w:pPr>
      <w:r>
        <w:rPr>
          <w:rFonts w:ascii="Cambria" w:hAnsi="Cambria"/>
          <w:color w:val="8B2E2E"/>
        </w:rPr>
        <w:t xml:space="preserve">a) </w:t>
      </w:r>
      <w:r>
        <w:rPr>
          <w:rFonts w:ascii="Cambria" w:hAnsi="Cambria"/>
          <w:b w:val="0"/>
          <w:i w:val="0"/>
        </w:rPr>
        <w:t xml:space="preserve">costituzione di Ermitek Srl, che proseguirà, con struttura e organizzazione proprie, l'attività commerciale e impiantistica finora esercitata dalla Snc </w:t>
      </w:r>
      <w:r>
        <w:rPr>
          <w:rFonts w:ascii="Cambria" w:hAnsi="Cambria"/>
          <w:b w:val="0"/>
          <w:i w:val="0"/>
          <w:highlight w:val="yellow"/>
        </w:rPr>
        <w:t>[DA COMPLETARE: soci e capitale sociale di Ermitek Srl]</w:t>
      </w:r>
      <w:r>
        <w:rPr>
          <w:rFonts w:ascii="Cambria" w:hAnsi="Cambria"/>
          <w:b w:val="0"/>
          <w:i w:val="0"/>
        </w:rPr>
        <w:t>;</w:t>
      </w:r>
    </w:p>
    <w:p>
      <w:pPr>
        <w:spacing w:after="100" w:line="276" w:lineRule="auto"/>
        <w:ind w:left="567" w:hanging="397"/>
        <w:jc w:val="both"/>
      </w:pPr>
      <w:r>
        <w:rPr>
          <w:rFonts w:ascii="Cambria" w:hAnsi="Cambria"/>
          <w:color w:val="8B2E2E"/>
        </w:rPr>
        <w:t xml:space="preserve">b) </w:t>
      </w:r>
      <w:r>
        <w:rPr>
          <w:rFonts w:ascii="Cambria" w:hAnsi="Cambria"/>
          <w:b w:val="0"/>
          <w:i w:val="0"/>
        </w:rPr>
        <w:t>trasformazione della Snc in società in accomandita semplice;</w:t>
      </w:r>
    </w:p>
    <w:p>
      <w:pPr>
        <w:spacing w:after="100" w:line="276" w:lineRule="auto"/>
        <w:ind w:left="567" w:hanging="397"/>
        <w:jc w:val="both"/>
      </w:pPr>
      <w:r>
        <w:rPr>
          <w:rFonts w:ascii="Cambria" w:hAnsi="Cambria"/>
          <w:color w:val="8B2E2E"/>
        </w:rPr>
        <w:t xml:space="preserve">c) </w:t>
      </w:r>
      <w:r>
        <w:rPr>
          <w:rFonts w:ascii="Cambria" w:hAnsi="Cambria"/>
          <w:b w:val="0"/>
          <w:i w:val="0"/>
        </w:rPr>
        <w:t>ingresso nella Sas del socio Giosuè Negro, come accomandante, mediante aumento del capitale sociale di euro 70,00, con le stesse modalità già adottate per Elia e Levi Negro, da deliberarsi dopo la trasformazione (capitolo 3, lettera e);</w:t>
      </w:r>
    </w:p>
    <w:p>
      <w:pPr>
        <w:spacing w:after="100" w:line="276" w:lineRule="auto"/>
        <w:ind w:left="567" w:hanging="397"/>
        <w:jc w:val="both"/>
      </w:pPr>
      <w:r>
        <w:rPr>
          <w:rFonts w:ascii="Cambria" w:hAnsi="Cambria"/>
          <w:color w:val="8B2E2E"/>
        </w:rPr>
        <w:t xml:space="preserve">d) </w:t>
      </w:r>
      <w:r>
        <w:rPr>
          <w:rFonts w:ascii="Cambria" w:hAnsi="Cambria"/>
          <w:b w:val="0"/>
          <w:i w:val="0"/>
        </w:rPr>
        <w:t>nuova ripartizione degli utili in parti uguali (20 per cento) fra i cinque soci;</w:t>
      </w:r>
    </w:p>
    <w:p>
      <w:pPr>
        <w:spacing w:after="100" w:line="276" w:lineRule="auto"/>
        <w:ind w:left="567" w:hanging="397"/>
        <w:jc w:val="both"/>
      </w:pPr>
      <w:r>
        <w:rPr>
          <w:rFonts w:ascii="Cambria" w:hAnsi="Cambria"/>
          <w:color w:val="8B2E2E"/>
        </w:rPr>
        <w:t xml:space="preserve">e) </w:t>
      </w:r>
      <w:r>
        <w:rPr>
          <w:rFonts w:ascii="Cambria" w:hAnsi="Cambria"/>
          <w:b w:val="0"/>
          <w:i w:val="0"/>
        </w:rPr>
        <w:t>modifica dell'oggetto sociale, che diviene di gestione del patrimonio immobiliare.</w:t>
      </w:r>
    </w:p>
    <w:p>
      <w:pPr>
        <w:spacing w:after="120" w:line="276" w:lineRule="auto"/>
        <w:jc w:val="both"/>
      </w:pPr>
      <w:r>
        <w:rPr>
          <w:rFonts w:ascii="Cambria" w:hAnsi="Cambria"/>
          <w:b w:val="0"/>
          <w:i w:val="0"/>
        </w:rPr>
        <w:t>La sequenza tiene conto che la trasformazione ha effetto dall'ultimo degli adempimenti pubblicitari (art. 2500 c.c.): si chiede alla S.V. di indicare come coordinare, nello stesso incontro, l'efficacia della trasformazione con l'ingresso di Giosuè Negro (capitolo 3, lettere e ed f).</w:t>
      </w:r>
    </w:p>
    <w:p>
      <w:pPr>
        <w:spacing w:after="120" w:line="276" w:lineRule="auto"/>
        <w:jc w:val="both"/>
      </w:pPr>
      <w:r>
        <w:rPr>
          <w:rFonts w:ascii="Cambria" w:hAnsi="Cambria"/>
          <w:b w:val="0"/>
          <w:i w:val="0"/>
        </w:rPr>
        <w:t>Dopo la stipula la società porterà a termine i lavori tecnici in corso ed effettuerà, per 13 settimane, la vendita di liquidazione per cessazione dell'attività commerciale. Al termine si limiterà alla gestione del proprio patrimonio immobiliare.</w:t>
      </w:r>
    </w:p>
    <w:p>
      <w:pPr>
        <w:spacing w:after="120" w:line="276" w:lineRule="auto"/>
        <w:jc w:val="both"/>
      </w:pPr>
      <w:r>
        <w:rPr>
          <w:rFonts w:ascii="Cambria" w:hAnsi="Cambria"/>
          <w:b w:val="0"/>
          <w:i w:val="0"/>
        </w:rPr>
        <w:t>La trasformazione in accomandita semplice risponde a tre esigenze: limitare la responsabilità dei soci che non amministrano, adeguare la forma sociale a una società di gestione patrimoniale familiare e favorire un passaggio generazionale ordinato, nel rispetto della parità di trattamento fra i tre figli che la famiglia intende garantire.</w:t>
      </w:r>
    </w:p>
    <w:p>
      <w:pPr>
        <w:keepNext/>
        <w:spacing w:before="280" w:after="160"/>
        <w:pBdr>
          <w:bottom w:val="single" w:sz="6" w:space="4" w:color="8B2E2E"/>
        </w:pBdr>
      </w:pPr>
      <w:r>
        <w:rPr>
          <w:rFonts w:ascii="Cambria" w:hAnsi="Cambria"/>
          <w:b w:val="0"/>
          <w:i w:val="0"/>
          <w:color w:val="8B2E2E"/>
          <w:sz w:val="24"/>
        </w:rPr>
        <w:t>2. COMPAGINE SOCIALE E QUOTE</w:t>
      </w:r>
    </w:p>
    <w:p>
      <w:pPr>
        <w:keepNext/>
        <w:spacing w:before="160" w:after="80"/>
      </w:pPr>
      <w:r>
        <w:rPr>
          <w:rFonts w:ascii="Cambria" w:hAnsi="Cambria"/>
          <w:b w:val="0"/>
          <w:i w:val="0"/>
          <w:color w:val="8B2E2E"/>
          <w:sz w:val="23"/>
        </w:rPr>
        <w:t>Situazione attuale (atto 29 dicembre 2025)</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2381"/>
            <w:shd w:val="clear" w:color="auto" w:fill="F3E6E6"/>
          </w:tcPr>
          <w:p>
            <w:pPr>
              <w:keepNext/>
              <w:spacing w:after="40"/>
              <w:jc w:val="left"/>
            </w:pPr>
            <w:r/>
            <w:r>
              <w:rPr>
                <w:rFonts w:ascii="Cambria" w:hAnsi="Cambria"/>
                <w:b w:val="0"/>
                <w:i w:val="0"/>
                <w:color w:val="8B2E2E"/>
                <w:sz w:val="20"/>
              </w:rPr>
              <w:t>Socio</w:t>
            </w:r>
          </w:p>
        </w:tc>
        <w:tc>
          <w:tcPr>
            <w:tcW w:type="dxa" w:w="1928"/>
            <w:shd w:val="clear" w:color="auto" w:fill="F3E6E6"/>
          </w:tcPr>
          <w:p>
            <w:pPr>
              <w:keepNext/>
              <w:spacing w:after="40"/>
              <w:jc w:val="left"/>
            </w:pPr>
            <w:r/>
            <w:r>
              <w:rPr>
                <w:rFonts w:ascii="Cambria" w:hAnsi="Cambria"/>
                <w:b w:val="0"/>
                <w:i w:val="0"/>
                <w:color w:val="8B2E2E"/>
                <w:sz w:val="20"/>
              </w:rPr>
              <w:t>Qualità</w:t>
            </w:r>
          </w:p>
        </w:tc>
        <w:tc>
          <w:tcPr>
            <w:tcW w:type="dxa" w:w="1587"/>
            <w:shd w:val="clear" w:color="auto" w:fill="F3E6E6"/>
          </w:tcPr>
          <w:p>
            <w:pPr>
              <w:keepNext/>
              <w:spacing w:after="40"/>
              <w:jc w:val="right"/>
            </w:pPr>
            <w:r/>
            <w:r>
              <w:rPr>
                <w:rFonts w:ascii="Cambria" w:hAnsi="Cambria"/>
                <w:b w:val="0"/>
                <w:i w:val="0"/>
                <w:color w:val="8B2E2E"/>
                <w:sz w:val="20"/>
              </w:rPr>
              <w:t>Conferimento</w:t>
            </w:r>
          </w:p>
        </w:tc>
        <w:tc>
          <w:tcPr>
            <w:tcW w:type="dxa" w:w="1587"/>
            <w:shd w:val="clear" w:color="auto" w:fill="F3E6E6"/>
          </w:tcPr>
          <w:p>
            <w:pPr>
              <w:keepNext/>
              <w:spacing w:after="40"/>
              <w:jc w:val="right"/>
            </w:pPr>
            <w:r/>
            <w:r>
              <w:rPr>
                <w:rFonts w:ascii="Cambria" w:hAnsi="Cambria"/>
                <w:b w:val="0"/>
                <w:i w:val="0"/>
                <w:color w:val="8B2E2E"/>
                <w:sz w:val="20"/>
              </w:rPr>
              <w:t>Capitale</w:t>
            </w:r>
          </w:p>
        </w:tc>
        <w:tc>
          <w:tcPr>
            <w:tcW w:type="dxa" w:w="1587"/>
            <w:shd w:val="clear" w:color="auto" w:fill="F3E6E6"/>
          </w:tcPr>
          <w:p>
            <w:pPr>
              <w:keepNext/>
              <w:spacing w:after="40"/>
              <w:jc w:val="right"/>
            </w:pPr>
            <w:r/>
            <w:r>
              <w:rPr>
                <w:rFonts w:ascii="Cambria" w:hAnsi="Cambria"/>
                <w:b w:val="0"/>
                <w:i w:val="0"/>
                <w:color w:val="8B2E2E"/>
                <w:sz w:val="20"/>
              </w:rPr>
              <w:t>Utili</w:t>
            </w:r>
          </w:p>
        </w:tc>
      </w:tr>
      <w:tr>
        <w:tc>
          <w:tcPr>
            <w:tcW w:type="dxa" w:w="2381"/>
          </w:tcPr>
          <w:p>
            <w:pPr>
              <w:keepNext/>
              <w:spacing w:after="40"/>
              <w:jc w:val="left"/>
            </w:pPr>
            <w:r/>
            <w:r>
              <w:rPr>
                <w:rFonts w:ascii="Cambria" w:hAnsi="Cambria"/>
                <w:b w:val="0"/>
                <w:i w:val="0"/>
                <w:sz w:val="20"/>
              </w:rPr>
              <w:t>Oliviero Negro</w:t>
            </w:r>
          </w:p>
        </w:tc>
        <w:tc>
          <w:tcPr>
            <w:tcW w:type="dxa" w:w="1928"/>
          </w:tcPr>
          <w:p>
            <w:pPr>
              <w:keepNext/>
              <w:spacing w:after="40"/>
              <w:jc w:val="left"/>
            </w:pPr>
            <w:r/>
            <w:r>
              <w:rPr>
                <w:rFonts w:ascii="Cambria" w:hAnsi="Cambria"/>
                <w:b w:val="0"/>
                <w:i w:val="0"/>
                <w:sz w:val="20"/>
              </w:rPr>
              <w:t>socio Snc</w:t>
            </w:r>
          </w:p>
        </w:tc>
        <w:tc>
          <w:tcPr>
            <w:tcW w:type="dxa" w:w="1587"/>
          </w:tcPr>
          <w:p>
            <w:pPr>
              <w:keepNext/>
              <w:spacing w:after="40"/>
              <w:jc w:val="right"/>
            </w:pPr>
            <w:r/>
            <w:r>
              <w:rPr>
                <w:rFonts w:ascii="Cambria" w:hAnsi="Cambria"/>
                <w:b w:val="0"/>
                <w:i w:val="0"/>
                <w:sz w:val="20"/>
              </w:rPr>
              <w:t>2.450,00</w:t>
            </w:r>
          </w:p>
        </w:tc>
        <w:tc>
          <w:tcPr>
            <w:tcW w:type="dxa" w:w="1587"/>
          </w:tcPr>
          <w:p>
            <w:pPr>
              <w:keepNext/>
              <w:spacing w:after="40"/>
              <w:jc w:val="right"/>
            </w:pPr>
            <w:r/>
            <w:r>
              <w:rPr>
                <w:rFonts w:ascii="Cambria" w:hAnsi="Cambria"/>
                <w:b w:val="0"/>
                <w:i w:val="0"/>
                <w:sz w:val="20"/>
              </w:rPr>
              <w:t>70,00%</w:t>
            </w:r>
          </w:p>
        </w:tc>
        <w:tc>
          <w:tcPr>
            <w:tcW w:type="dxa" w:w="1587"/>
          </w:tcPr>
          <w:p>
            <w:pPr>
              <w:keepNext/>
              <w:spacing w:after="40"/>
              <w:jc w:val="right"/>
            </w:pPr>
            <w:r/>
            <w:r>
              <w:rPr>
                <w:rFonts w:ascii="Cambria" w:hAnsi="Cambria"/>
                <w:b w:val="0"/>
                <w:i w:val="0"/>
                <w:sz w:val="20"/>
              </w:rPr>
              <w:t>28%</w:t>
            </w:r>
          </w:p>
        </w:tc>
      </w:tr>
      <w:tr>
        <w:tc>
          <w:tcPr>
            <w:tcW w:type="dxa" w:w="2381"/>
          </w:tcPr>
          <w:p>
            <w:pPr>
              <w:keepNext/>
              <w:spacing w:after="40"/>
              <w:jc w:val="left"/>
            </w:pPr>
            <w:r/>
            <w:r>
              <w:rPr>
                <w:rFonts w:ascii="Cambria" w:hAnsi="Cambria"/>
                <w:b w:val="0"/>
                <w:i w:val="0"/>
                <w:sz w:val="20"/>
              </w:rPr>
              <w:t>Sonia Maria Biffis</w:t>
            </w:r>
          </w:p>
        </w:tc>
        <w:tc>
          <w:tcPr>
            <w:tcW w:type="dxa" w:w="1928"/>
          </w:tcPr>
          <w:p>
            <w:pPr>
              <w:keepNext/>
              <w:spacing w:after="40"/>
              <w:jc w:val="left"/>
            </w:pPr>
            <w:r/>
            <w:r>
              <w:rPr>
                <w:rFonts w:ascii="Cambria" w:hAnsi="Cambria"/>
                <w:b w:val="0"/>
                <w:i w:val="0"/>
                <w:sz w:val="20"/>
              </w:rPr>
              <w:t>socio Snc</w:t>
            </w:r>
          </w:p>
        </w:tc>
        <w:tc>
          <w:tcPr>
            <w:tcW w:type="dxa" w:w="1587"/>
          </w:tcPr>
          <w:p>
            <w:pPr>
              <w:keepNext/>
              <w:spacing w:after="40"/>
              <w:jc w:val="right"/>
            </w:pPr>
            <w:r/>
            <w:r>
              <w:rPr>
                <w:rFonts w:ascii="Cambria" w:hAnsi="Cambria"/>
                <w:b w:val="0"/>
                <w:i w:val="0"/>
                <w:sz w:val="20"/>
              </w:rPr>
              <w:t>910,00</w:t>
            </w:r>
          </w:p>
        </w:tc>
        <w:tc>
          <w:tcPr>
            <w:tcW w:type="dxa" w:w="1587"/>
          </w:tcPr>
          <w:p>
            <w:pPr>
              <w:keepNext/>
              <w:spacing w:after="40"/>
              <w:jc w:val="right"/>
            </w:pPr>
            <w:r/>
            <w:r>
              <w:rPr>
                <w:rFonts w:ascii="Cambria" w:hAnsi="Cambria"/>
                <w:b w:val="0"/>
                <w:i w:val="0"/>
                <w:sz w:val="20"/>
              </w:rPr>
              <w:t>26,00%</w:t>
            </w:r>
          </w:p>
        </w:tc>
        <w:tc>
          <w:tcPr>
            <w:tcW w:type="dxa" w:w="1587"/>
          </w:tcPr>
          <w:p>
            <w:pPr>
              <w:keepNext/>
              <w:spacing w:after="40"/>
              <w:jc w:val="right"/>
            </w:pPr>
            <w:r/>
            <w:r>
              <w:rPr>
                <w:rFonts w:ascii="Cambria" w:hAnsi="Cambria"/>
                <w:b w:val="0"/>
                <w:i w:val="0"/>
                <w:sz w:val="20"/>
              </w:rPr>
              <w:t>28%</w:t>
            </w:r>
          </w:p>
        </w:tc>
      </w:tr>
      <w:tr>
        <w:tc>
          <w:tcPr>
            <w:tcW w:type="dxa" w:w="2381"/>
          </w:tcPr>
          <w:p>
            <w:pPr>
              <w:keepNext/>
              <w:spacing w:after="40"/>
              <w:jc w:val="left"/>
            </w:pPr>
            <w:r/>
            <w:r>
              <w:rPr>
                <w:rFonts w:ascii="Cambria" w:hAnsi="Cambria"/>
                <w:b w:val="0"/>
                <w:i w:val="0"/>
                <w:sz w:val="20"/>
              </w:rPr>
              <w:t>Elia Negro</w:t>
            </w:r>
          </w:p>
        </w:tc>
        <w:tc>
          <w:tcPr>
            <w:tcW w:type="dxa" w:w="1928"/>
          </w:tcPr>
          <w:p>
            <w:pPr>
              <w:keepNext/>
              <w:spacing w:after="40"/>
              <w:jc w:val="left"/>
            </w:pPr>
            <w:r/>
            <w:r>
              <w:rPr>
                <w:rFonts w:ascii="Cambria" w:hAnsi="Cambria"/>
                <w:b w:val="0"/>
                <w:i w:val="0"/>
                <w:sz w:val="20"/>
              </w:rPr>
              <w:t>socio Snc</w:t>
            </w:r>
          </w:p>
        </w:tc>
        <w:tc>
          <w:tcPr>
            <w:tcW w:type="dxa" w:w="1587"/>
          </w:tcPr>
          <w:p>
            <w:pPr>
              <w:keepNext/>
              <w:spacing w:after="40"/>
              <w:jc w:val="right"/>
            </w:pPr>
            <w:r/>
            <w:r>
              <w:rPr>
                <w:rFonts w:ascii="Cambria" w:hAnsi="Cambria"/>
                <w:b w:val="0"/>
                <w:i w:val="0"/>
                <w:sz w:val="20"/>
              </w:rPr>
              <w:t>70,00</w:t>
            </w:r>
          </w:p>
        </w:tc>
        <w:tc>
          <w:tcPr>
            <w:tcW w:type="dxa" w:w="1587"/>
          </w:tcPr>
          <w:p>
            <w:pPr>
              <w:keepNext/>
              <w:spacing w:after="40"/>
              <w:jc w:val="right"/>
            </w:pPr>
            <w:r/>
            <w:r>
              <w:rPr>
                <w:rFonts w:ascii="Cambria" w:hAnsi="Cambria"/>
                <w:b w:val="0"/>
                <w:i w:val="0"/>
                <w:sz w:val="20"/>
              </w:rPr>
              <w:t>2,00%</w:t>
            </w:r>
          </w:p>
        </w:tc>
        <w:tc>
          <w:tcPr>
            <w:tcW w:type="dxa" w:w="1587"/>
          </w:tcPr>
          <w:p>
            <w:pPr>
              <w:keepNext/>
              <w:spacing w:after="40"/>
              <w:jc w:val="right"/>
            </w:pPr>
            <w:r/>
            <w:r>
              <w:rPr>
                <w:rFonts w:ascii="Cambria" w:hAnsi="Cambria"/>
                <w:b w:val="0"/>
                <w:i w:val="0"/>
                <w:sz w:val="20"/>
              </w:rPr>
              <w:t>22%</w:t>
            </w:r>
          </w:p>
        </w:tc>
      </w:tr>
      <w:tr>
        <w:tc>
          <w:tcPr>
            <w:tcW w:type="dxa" w:w="2381"/>
          </w:tcPr>
          <w:p>
            <w:pPr>
              <w:keepNext/>
              <w:spacing w:after="40"/>
              <w:jc w:val="left"/>
            </w:pPr>
            <w:r/>
            <w:r>
              <w:rPr>
                <w:rFonts w:ascii="Cambria" w:hAnsi="Cambria"/>
                <w:b w:val="0"/>
                <w:i w:val="0"/>
                <w:sz w:val="20"/>
              </w:rPr>
              <w:t>Levi Negro</w:t>
            </w:r>
          </w:p>
        </w:tc>
        <w:tc>
          <w:tcPr>
            <w:tcW w:type="dxa" w:w="1928"/>
          </w:tcPr>
          <w:p>
            <w:pPr>
              <w:keepNext/>
              <w:spacing w:after="40"/>
              <w:jc w:val="left"/>
            </w:pPr>
            <w:r/>
            <w:r>
              <w:rPr>
                <w:rFonts w:ascii="Cambria" w:hAnsi="Cambria"/>
                <w:b w:val="0"/>
                <w:i w:val="0"/>
                <w:sz w:val="20"/>
              </w:rPr>
              <w:t>socio Snc</w:t>
            </w:r>
          </w:p>
        </w:tc>
        <w:tc>
          <w:tcPr>
            <w:tcW w:type="dxa" w:w="1587"/>
          </w:tcPr>
          <w:p>
            <w:pPr>
              <w:keepNext/>
              <w:spacing w:after="40"/>
              <w:jc w:val="right"/>
            </w:pPr>
            <w:r/>
            <w:r>
              <w:rPr>
                <w:rFonts w:ascii="Cambria" w:hAnsi="Cambria"/>
                <w:b w:val="0"/>
                <w:i w:val="0"/>
                <w:sz w:val="20"/>
              </w:rPr>
              <w:t>70,00</w:t>
            </w:r>
          </w:p>
        </w:tc>
        <w:tc>
          <w:tcPr>
            <w:tcW w:type="dxa" w:w="1587"/>
          </w:tcPr>
          <w:p>
            <w:pPr>
              <w:keepNext/>
              <w:spacing w:after="40"/>
              <w:jc w:val="right"/>
            </w:pPr>
            <w:r/>
            <w:r>
              <w:rPr>
                <w:rFonts w:ascii="Cambria" w:hAnsi="Cambria"/>
                <w:b w:val="0"/>
                <w:i w:val="0"/>
                <w:sz w:val="20"/>
              </w:rPr>
              <w:t>2,00%</w:t>
            </w:r>
          </w:p>
        </w:tc>
        <w:tc>
          <w:tcPr>
            <w:tcW w:type="dxa" w:w="1587"/>
          </w:tcPr>
          <w:p>
            <w:pPr>
              <w:keepNext/>
              <w:spacing w:after="40"/>
              <w:jc w:val="right"/>
            </w:pPr>
            <w:r/>
            <w:r>
              <w:rPr>
                <w:rFonts w:ascii="Cambria" w:hAnsi="Cambria"/>
                <w:b w:val="0"/>
                <w:i w:val="0"/>
                <w:sz w:val="20"/>
              </w:rPr>
              <w:t>22%</w:t>
            </w:r>
          </w:p>
        </w:tc>
      </w:tr>
      <w:tr>
        <w:tc>
          <w:tcPr>
            <w:tcW w:type="dxa" w:w="2381"/>
          </w:tcPr>
          <w:p>
            <w:pPr>
              <w:spacing w:after="40"/>
              <w:jc w:val="left"/>
            </w:pPr>
            <w:r/>
            <w:r>
              <w:rPr>
                <w:rFonts w:ascii="Cambria" w:hAnsi="Cambria"/>
                <w:b/>
                <w:i w:val="0"/>
                <w:sz w:val="20"/>
              </w:rPr>
              <w:t>Totale</w:t>
            </w:r>
          </w:p>
        </w:tc>
        <w:tc>
          <w:tcPr>
            <w:tcW w:type="dxa" w:w="1928"/>
          </w:tcPr>
          <w:p>
            <w:pPr>
              <w:spacing w:after="40"/>
              <w:jc w:val="left"/>
            </w:pPr>
            <w:r/>
          </w:p>
        </w:tc>
        <w:tc>
          <w:tcPr>
            <w:tcW w:type="dxa" w:w="1587"/>
          </w:tcPr>
          <w:p>
            <w:pPr>
              <w:spacing w:after="40"/>
              <w:jc w:val="right"/>
            </w:pPr>
            <w:r/>
            <w:r>
              <w:rPr>
                <w:rFonts w:ascii="Cambria" w:hAnsi="Cambria"/>
                <w:b/>
                <w:i w:val="0"/>
                <w:sz w:val="20"/>
              </w:rPr>
              <w:t>3.500,00</w:t>
            </w:r>
          </w:p>
        </w:tc>
        <w:tc>
          <w:tcPr>
            <w:tcW w:type="dxa" w:w="1587"/>
          </w:tcPr>
          <w:p>
            <w:pPr>
              <w:spacing w:after="40"/>
              <w:jc w:val="right"/>
            </w:pPr>
            <w:r/>
            <w:r>
              <w:rPr>
                <w:rFonts w:ascii="Cambria" w:hAnsi="Cambria"/>
                <w:b/>
                <w:i w:val="0"/>
                <w:sz w:val="20"/>
              </w:rPr>
              <w:t>100,00%</w:t>
            </w:r>
          </w:p>
        </w:tc>
        <w:tc>
          <w:tcPr>
            <w:tcW w:type="dxa" w:w="1587"/>
          </w:tcPr>
          <w:p>
            <w:pPr>
              <w:spacing w:after="40"/>
              <w:jc w:val="right"/>
            </w:pPr>
            <w:r/>
            <w:r>
              <w:rPr>
                <w:rFonts w:ascii="Cambria" w:hAnsi="Cambria"/>
                <w:b/>
                <w:i w:val="0"/>
                <w:sz w:val="20"/>
              </w:rPr>
              <w:t>100%</w:t>
            </w:r>
          </w:p>
        </w:tc>
      </w:tr>
    </w:tbl>
    <w:p>
      <w:pPr>
        <w:spacing w:after="40"/>
      </w:pPr>
    </w:p>
    <w:p>
      <w:pPr>
        <w:keepNext/>
        <w:spacing w:before="160" w:after="80"/>
      </w:pPr>
      <w:r>
        <w:rPr>
          <w:rFonts w:ascii="Cambria" w:hAnsi="Cambria"/>
          <w:b w:val="0"/>
          <w:i w:val="0"/>
          <w:color w:val="8B2E2E"/>
          <w:sz w:val="23"/>
        </w:rPr>
        <w:t>Situazione proposta dopo le deliberazioni</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2381"/>
            <w:shd w:val="clear" w:color="auto" w:fill="F3E6E6"/>
          </w:tcPr>
          <w:p>
            <w:pPr>
              <w:keepNext/>
              <w:spacing w:after="40"/>
              <w:jc w:val="left"/>
            </w:pPr>
            <w:r/>
            <w:r>
              <w:rPr>
                <w:rFonts w:ascii="Cambria" w:hAnsi="Cambria"/>
                <w:b w:val="0"/>
                <w:i w:val="0"/>
                <w:color w:val="8B2E2E"/>
                <w:sz w:val="20"/>
              </w:rPr>
              <w:t>Socio</w:t>
            </w:r>
          </w:p>
        </w:tc>
        <w:tc>
          <w:tcPr>
            <w:tcW w:type="dxa" w:w="1928"/>
            <w:shd w:val="clear" w:color="auto" w:fill="F3E6E6"/>
          </w:tcPr>
          <w:p>
            <w:pPr>
              <w:keepNext/>
              <w:spacing w:after="40"/>
              <w:jc w:val="left"/>
            </w:pPr>
            <w:r/>
            <w:r>
              <w:rPr>
                <w:rFonts w:ascii="Cambria" w:hAnsi="Cambria"/>
                <w:b w:val="0"/>
                <w:i w:val="0"/>
                <w:color w:val="8B2E2E"/>
                <w:sz w:val="20"/>
              </w:rPr>
              <w:t>Qualità</w:t>
            </w:r>
          </w:p>
        </w:tc>
        <w:tc>
          <w:tcPr>
            <w:tcW w:type="dxa" w:w="1587"/>
            <w:shd w:val="clear" w:color="auto" w:fill="F3E6E6"/>
          </w:tcPr>
          <w:p>
            <w:pPr>
              <w:keepNext/>
              <w:spacing w:after="40"/>
              <w:jc w:val="right"/>
            </w:pPr>
            <w:r/>
            <w:r>
              <w:rPr>
                <w:rFonts w:ascii="Cambria" w:hAnsi="Cambria"/>
                <w:b w:val="0"/>
                <w:i w:val="0"/>
                <w:color w:val="8B2E2E"/>
                <w:sz w:val="20"/>
              </w:rPr>
              <w:t>Conferimento</w:t>
            </w:r>
          </w:p>
        </w:tc>
        <w:tc>
          <w:tcPr>
            <w:tcW w:type="dxa" w:w="1587"/>
            <w:shd w:val="clear" w:color="auto" w:fill="F3E6E6"/>
          </w:tcPr>
          <w:p>
            <w:pPr>
              <w:keepNext/>
              <w:spacing w:after="40"/>
              <w:jc w:val="right"/>
            </w:pPr>
            <w:r/>
            <w:r>
              <w:rPr>
                <w:rFonts w:ascii="Cambria" w:hAnsi="Cambria"/>
                <w:b w:val="0"/>
                <w:i w:val="0"/>
                <w:color w:val="8B2E2E"/>
                <w:sz w:val="20"/>
              </w:rPr>
              <w:t>Capitale</w:t>
            </w:r>
          </w:p>
        </w:tc>
        <w:tc>
          <w:tcPr>
            <w:tcW w:type="dxa" w:w="1587"/>
            <w:shd w:val="clear" w:color="auto" w:fill="F3E6E6"/>
          </w:tcPr>
          <w:p>
            <w:pPr>
              <w:keepNext/>
              <w:spacing w:after="40"/>
              <w:jc w:val="right"/>
            </w:pPr>
            <w:r/>
            <w:r>
              <w:rPr>
                <w:rFonts w:ascii="Cambria" w:hAnsi="Cambria"/>
                <w:b w:val="0"/>
                <w:i w:val="0"/>
                <w:color w:val="8B2E2E"/>
                <w:sz w:val="20"/>
              </w:rPr>
              <w:t>Utili</w:t>
            </w:r>
          </w:p>
        </w:tc>
      </w:tr>
      <w:tr>
        <w:tc>
          <w:tcPr>
            <w:tcW w:type="dxa" w:w="2381"/>
          </w:tcPr>
          <w:p>
            <w:pPr>
              <w:keepNext/>
              <w:spacing w:after="40"/>
              <w:jc w:val="left"/>
            </w:pPr>
            <w:r/>
            <w:r>
              <w:rPr>
                <w:rFonts w:ascii="Cambria" w:hAnsi="Cambria"/>
                <w:b w:val="0"/>
                <w:i w:val="0"/>
                <w:sz w:val="20"/>
              </w:rPr>
              <w:t>Oliviero Negro</w:t>
            </w:r>
          </w:p>
        </w:tc>
        <w:tc>
          <w:tcPr>
            <w:tcW w:type="dxa" w:w="1928"/>
          </w:tcPr>
          <w:p>
            <w:pPr>
              <w:keepNext/>
              <w:spacing w:after="40"/>
              <w:jc w:val="left"/>
            </w:pPr>
            <w:r/>
            <w:r>
              <w:rPr>
                <w:rFonts w:ascii="Cambria" w:hAnsi="Cambria"/>
                <w:b w:val="0"/>
                <w:i w:val="0"/>
                <w:sz w:val="20"/>
              </w:rPr>
              <w:t>accomandatario</w:t>
            </w:r>
          </w:p>
        </w:tc>
        <w:tc>
          <w:tcPr>
            <w:tcW w:type="dxa" w:w="1587"/>
          </w:tcPr>
          <w:p>
            <w:pPr>
              <w:keepNext/>
              <w:spacing w:after="40"/>
              <w:jc w:val="right"/>
            </w:pPr>
            <w:r/>
            <w:r>
              <w:rPr>
                <w:rFonts w:ascii="Cambria" w:hAnsi="Cambria"/>
                <w:b w:val="0"/>
                <w:i w:val="0"/>
                <w:sz w:val="20"/>
              </w:rPr>
              <w:t>2.450,00</w:t>
            </w:r>
          </w:p>
        </w:tc>
        <w:tc>
          <w:tcPr>
            <w:tcW w:type="dxa" w:w="1587"/>
          </w:tcPr>
          <w:p>
            <w:pPr>
              <w:keepNext/>
              <w:spacing w:after="40"/>
              <w:jc w:val="right"/>
            </w:pPr>
            <w:r/>
            <w:r>
              <w:rPr>
                <w:rFonts w:ascii="Cambria" w:hAnsi="Cambria"/>
                <w:b w:val="0"/>
                <w:i w:val="0"/>
                <w:sz w:val="20"/>
              </w:rPr>
              <w:t>68,63%</w:t>
            </w:r>
          </w:p>
        </w:tc>
        <w:tc>
          <w:tcPr>
            <w:tcW w:type="dxa" w:w="1587"/>
          </w:tcPr>
          <w:p>
            <w:pPr>
              <w:keepNext/>
              <w:spacing w:after="40"/>
              <w:jc w:val="right"/>
            </w:pPr>
            <w:r/>
            <w:r>
              <w:rPr>
                <w:rFonts w:ascii="Cambria" w:hAnsi="Cambria"/>
                <w:b w:val="0"/>
                <w:i w:val="0"/>
                <w:sz w:val="20"/>
              </w:rPr>
              <w:t>20%</w:t>
            </w:r>
          </w:p>
        </w:tc>
      </w:tr>
      <w:tr>
        <w:tc>
          <w:tcPr>
            <w:tcW w:type="dxa" w:w="2381"/>
          </w:tcPr>
          <w:p>
            <w:pPr>
              <w:keepNext/>
              <w:spacing w:after="40"/>
              <w:jc w:val="left"/>
            </w:pPr>
            <w:r/>
            <w:r>
              <w:rPr>
                <w:rFonts w:ascii="Cambria" w:hAnsi="Cambria"/>
                <w:b w:val="0"/>
                <w:i w:val="0"/>
                <w:sz w:val="20"/>
              </w:rPr>
              <w:t>Sonia Maria Biffis</w:t>
            </w:r>
          </w:p>
        </w:tc>
        <w:tc>
          <w:tcPr>
            <w:tcW w:type="dxa" w:w="1928"/>
          </w:tcPr>
          <w:p>
            <w:pPr>
              <w:keepNext/>
              <w:spacing w:after="40"/>
              <w:jc w:val="left"/>
            </w:pPr>
            <w:r/>
            <w:r>
              <w:rPr>
                <w:rFonts w:ascii="Cambria" w:hAnsi="Cambria"/>
                <w:b w:val="0"/>
                <w:i w:val="0"/>
                <w:sz w:val="20"/>
              </w:rPr>
              <w:t>accomandante</w:t>
            </w:r>
          </w:p>
        </w:tc>
        <w:tc>
          <w:tcPr>
            <w:tcW w:type="dxa" w:w="1587"/>
          </w:tcPr>
          <w:p>
            <w:pPr>
              <w:keepNext/>
              <w:spacing w:after="40"/>
              <w:jc w:val="right"/>
            </w:pPr>
            <w:r/>
            <w:r>
              <w:rPr>
                <w:rFonts w:ascii="Cambria" w:hAnsi="Cambria"/>
                <w:b w:val="0"/>
                <w:i w:val="0"/>
                <w:sz w:val="20"/>
              </w:rPr>
              <w:t>910,00</w:t>
            </w:r>
          </w:p>
        </w:tc>
        <w:tc>
          <w:tcPr>
            <w:tcW w:type="dxa" w:w="1587"/>
          </w:tcPr>
          <w:p>
            <w:pPr>
              <w:keepNext/>
              <w:spacing w:after="40"/>
              <w:jc w:val="right"/>
            </w:pPr>
            <w:r/>
            <w:r>
              <w:rPr>
                <w:rFonts w:ascii="Cambria" w:hAnsi="Cambria"/>
                <w:b w:val="0"/>
                <w:i w:val="0"/>
                <w:sz w:val="20"/>
              </w:rPr>
              <w:t>25,49%</w:t>
            </w:r>
          </w:p>
        </w:tc>
        <w:tc>
          <w:tcPr>
            <w:tcW w:type="dxa" w:w="1587"/>
          </w:tcPr>
          <w:p>
            <w:pPr>
              <w:keepNext/>
              <w:spacing w:after="40"/>
              <w:jc w:val="right"/>
            </w:pPr>
            <w:r/>
            <w:r>
              <w:rPr>
                <w:rFonts w:ascii="Cambria" w:hAnsi="Cambria"/>
                <w:b w:val="0"/>
                <w:i w:val="0"/>
                <w:sz w:val="20"/>
              </w:rPr>
              <w:t>20%</w:t>
            </w:r>
          </w:p>
        </w:tc>
      </w:tr>
      <w:tr>
        <w:tc>
          <w:tcPr>
            <w:tcW w:type="dxa" w:w="2381"/>
          </w:tcPr>
          <w:p>
            <w:pPr>
              <w:keepNext/>
              <w:spacing w:after="40"/>
              <w:jc w:val="left"/>
            </w:pPr>
            <w:r/>
            <w:r>
              <w:rPr>
                <w:rFonts w:ascii="Cambria" w:hAnsi="Cambria"/>
                <w:b w:val="0"/>
                <w:i w:val="0"/>
                <w:sz w:val="20"/>
              </w:rPr>
              <w:t>Elia Negro</w:t>
            </w:r>
          </w:p>
        </w:tc>
        <w:tc>
          <w:tcPr>
            <w:tcW w:type="dxa" w:w="1928"/>
          </w:tcPr>
          <w:p>
            <w:pPr>
              <w:keepNext/>
              <w:spacing w:after="40"/>
              <w:jc w:val="left"/>
            </w:pPr>
            <w:r/>
            <w:r>
              <w:rPr>
                <w:rFonts w:ascii="Cambria" w:hAnsi="Cambria"/>
                <w:b w:val="0"/>
                <w:i w:val="0"/>
                <w:sz w:val="20"/>
              </w:rPr>
              <w:t>accomandante</w:t>
            </w:r>
          </w:p>
        </w:tc>
        <w:tc>
          <w:tcPr>
            <w:tcW w:type="dxa" w:w="1587"/>
          </w:tcPr>
          <w:p>
            <w:pPr>
              <w:keepNext/>
              <w:spacing w:after="40"/>
              <w:jc w:val="right"/>
            </w:pPr>
            <w:r/>
            <w:r>
              <w:rPr>
                <w:rFonts w:ascii="Cambria" w:hAnsi="Cambria"/>
                <w:b w:val="0"/>
                <w:i w:val="0"/>
                <w:sz w:val="20"/>
              </w:rPr>
              <w:t>70,00</w:t>
            </w:r>
          </w:p>
        </w:tc>
        <w:tc>
          <w:tcPr>
            <w:tcW w:type="dxa" w:w="1587"/>
          </w:tcPr>
          <w:p>
            <w:pPr>
              <w:keepNext/>
              <w:spacing w:after="40"/>
              <w:jc w:val="right"/>
            </w:pPr>
            <w:r/>
            <w:r>
              <w:rPr>
                <w:rFonts w:ascii="Cambria" w:hAnsi="Cambria"/>
                <w:b w:val="0"/>
                <w:i w:val="0"/>
                <w:sz w:val="20"/>
              </w:rPr>
              <w:t>1,96%</w:t>
            </w:r>
          </w:p>
        </w:tc>
        <w:tc>
          <w:tcPr>
            <w:tcW w:type="dxa" w:w="1587"/>
          </w:tcPr>
          <w:p>
            <w:pPr>
              <w:keepNext/>
              <w:spacing w:after="40"/>
              <w:jc w:val="right"/>
            </w:pPr>
            <w:r/>
            <w:r>
              <w:rPr>
                <w:rFonts w:ascii="Cambria" w:hAnsi="Cambria"/>
                <w:b w:val="0"/>
                <w:i w:val="0"/>
                <w:sz w:val="20"/>
              </w:rPr>
              <w:t>20%</w:t>
            </w:r>
          </w:p>
        </w:tc>
      </w:tr>
      <w:tr>
        <w:tc>
          <w:tcPr>
            <w:tcW w:type="dxa" w:w="2381"/>
          </w:tcPr>
          <w:p>
            <w:pPr>
              <w:keepNext/>
              <w:spacing w:after="40"/>
              <w:jc w:val="left"/>
            </w:pPr>
            <w:r/>
            <w:r>
              <w:rPr>
                <w:rFonts w:ascii="Cambria" w:hAnsi="Cambria"/>
                <w:b w:val="0"/>
                <w:i w:val="0"/>
                <w:sz w:val="20"/>
              </w:rPr>
              <w:t>Levi Negro</w:t>
            </w:r>
          </w:p>
        </w:tc>
        <w:tc>
          <w:tcPr>
            <w:tcW w:type="dxa" w:w="1928"/>
          </w:tcPr>
          <w:p>
            <w:pPr>
              <w:keepNext/>
              <w:spacing w:after="40"/>
              <w:jc w:val="left"/>
            </w:pPr>
            <w:r/>
            <w:r>
              <w:rPr>
                <w:rFonts w:ascii="Cambria" w:hAnsi="Cambria"/>
                <w:b w:val="0"/>
                <w:i w:val="0"/>
                <w:sz w:val="20"/>
              </w:rPr>
              <w:t>accomandante</w:t>
            </w:r>
          </w:p>
        </w:tc>
        <w:tc>
          <w:tcPr>
            <w:tcW w:type="dxa" w:w="1587"/>
          </w:tcPr>
          <w:p>
            <w:pPr>
              <w:keepNext/>
              <w:spacing w:after="40"/>
              <w:jc w:val="right"/>
            </w:pPr>
            <w:r/>
            <w:r>
              <w:rPr>
                <w:rFonts w:ascii="Cambria" w:hAnsi="Cambria"/>
                <w:b w:val="0"/>
                <w:i w:val="0"/>
                <w:sz w:val="20"/>
              </w:rPr>
              <w:t>70,00</w:t>
            </w:r>
          </w:p>
        </w:tc>
        <w:tc>
          <w:tcPr>
            <w:tcW w:type="dxa" w:w="1587"/>
          </w:tcPr>
          <w:p>
            <w:pPr>
              <w:keepNext/>
              <w:spacing w:after="40"/>
              <w:jc w:val="right"/>
            </w:pPr>
            <w:r/>
            <w:r>
              <w:rPr>
                <w:rFonts w:ascii="Cambria" w:hAnsi="Cambria"/>
                <w:b w:val="0"/>
                <w:i w:val="0"/>
                <w:sz w:val="20"/>
              </w:rPr>
              <w:t>1,96%</w:t>
            </w:r>
          </w:p>
        </w:tc>
        <w:tc>
          <w:tcPr>
            <w:tcW w:type="dxa" w:w="1587"/>
          </w:tcPr>
          <w:p>
            <w:pPr>
              <w:keepNext/>
              <w:spacing w:after="40"/>
              <w:jc w:val="right"/>
            </w:pPr>
            <w:r/>
            <w:r>
              <w:rPr>
                <w:rFonts w:ascii="Cambria" w:hAnsi="Cambria"/>
                <w:b w:val="0"/>
                <w:i w:val="0"/>
                <w:sz w:val="20"/>
              </w:rPr>
              <w:t>20%</w:t>
            </w:r>
          </w:p>
        </w:tc>
      </w:tr>
      <w:tr>
        <w:tc>
          <w:tcPr>
            <w:tcW w:type="dxa" w:w="2381"/>
          </w:tcPr>
          <w:p>
            <w:pPr>
              <w:keepNext/>
              <w:spacing w:after="40"/>
              <w:jc w:val="left"/>
            </w:pPr>
            <w:r/>
            <w:r>
              <w:rPr>
                <w:rFonts w:ascii="Cambria" w:hAnsi="Cambria"/>
                <w:b w:val="0"/>
                <w:i w:val="0"/>
                <w:sz w:val="20"/>
              </w:rPr>
              <w:t>Giosuè Negro</w:t>
            </w:r>
          </w:p>
        </w:tc>
        <w:tc>
          <w:tcPr>
            <w:tcW w:type="dxa" w:w="1928"/>
          </w:tcPr>
          <w:p>
            <w:pPr>
              <w:keepNext/>
              <w:spacing w:after="40"/>
              <w:jc w:val="left"/>
            </w:pPr>
            <w:r/>
            <w:r>
              <w:rPr>
                <w:rFonts w:ascii="Cambria" w:hAnsi="Cambria"/>
                <w:b w:val="0"/>
                <w:i w:val="0"/>
                <w:sz w:val="20"/>
              </w:rPr>
              <w:t>accomandante</w:t>
            </w:r>
          </w:p>
        </w:tc>
        <w:tc>
          <w:tcPr>
            <w:tcW w:type="dxa" w:w="1587"/>
          </w:tcPr>
          <w:p>
            <w:pPr>
              <w:keepNext/>
              <w:spacing w:after="40"/>
              <w:jc w:val="right"/>
            </w:pPr>
            <w:r/>
            <w:r>
              <w:rPr>
                <w:rFonts w:ascii="Cambria" w:hAnsi="Cambria"/>
                <w:b w:val="0"/>
                <w:i w:val="0"/>
                <w:sz w:val="20"/>
              </w:rPr>
              <w:t>70,00</w:t>
            </w:r>
          </w:p>
        </w:tc>
        <w:tc>
          <w:tcPr>
            <w:tcW w:type="dxa" w:w="1587"/>
          </w:tcPr>
          <w:p>
            <w:pPr>
              <w:keepNext/>
              <w:spacing w:after="40"/>
              <w:jc w:val="right"/>
            </w:pPr>
            <w:r/>
            <w:r>
              <w:rPr>
                <w:rFonts w:ascii="Cambria" w:hAnsi="Cambria"/>
                <w:b w:val="0"/>
                <w:i w:val="0"/>
                <w:sz w:val="20"/>
              </w:rPr>
              <w:t>1,96%</w:t>
            </w:r>
          </w:p>
        </w:tc>
        <w:tc>
          <w:tcPr>
            <w:tcW w:type="dxa" w:w="1587"/>
          </w:tcPr>
          <w:p>
            <w:pPr>
              <w:keepNext/>
              <w:spacing w:after="40"/>
              <w:jc w:val="right"/>
            </w:pPr>
            <w:r/>
            <w:r>
              <w:rPr>
                <w:rFonts w:ascii="Cambria" w:hAnsi="Cambria"/>
                <w:b w:val="0"/>
                <w:i w:val="0"/>
                <w:sz w:val="20"/>
              </w:rPr>
              <w:t>20%</w:t>
            </w:r>
          </w:p>
        </w:tc>
      </w:tr>
      <w:tr>
        <w:tc>
          <w:tcPr>
            <w:tcW w:type="dxa" w:w="2381"/>
          </w:tcPr>
          <w:p>
            <w:pPr>
              <w:spacing w:after="40"/>
              <w:jc w:val="left"/>
            </w:pPr>
            <w:r/>
            <w:r>
              <w:rPr>
                <w:rFonts w:ascii="Cambria" w:hAnsi="Cambria"/>
                <w:b/>
                <w:i w:val="0"/>
                <w:sz w:val="20"/>
              </w:rPr>
              <w:t>Totale</w:t>
            </w:r>
          </w:p>
        </w:tc>
        <w:tc>
          <w:tcPr>
            <w:tcW w:type="dxa" w:w="1928"/>
          </w:tcPr>
          <w:p>
            <w:pPr>
              <w:spacing w:after="40"/>
              <w:jc w:val="left"/>
            </w:pPr>
            <w:r/>
          </w:p>
        </w:tc>
        <w:tc>
          <w:tcPr>
            <w:tcW w:type="dxa" w:w="1587"/>
          </w:tcPr>
          <w:p>
            <w:pPr>
              <w:spacing w:after="40"/>
              <w:jc w:val="right"/>
            </w:pPr>
            <w:r/>
            <w:r>
              <w:rPr>
                <w:rFonts w:ascii="Cambria" w:hAnsi="Cambria"/>
                <w:b/>
                <w:i w:val="0"/>
                <w:sz w:val="20"/>
              </w:rPr>
              <w:t>3.570,00</w:t>
            </w:r>
          </w:p>
        </w:tc>
        <w:tc>
          <w:tcPr>
            <w:tcW w:type="dxa" w:w="1587"/>
          </w:tcPr>
          <w:p>
            <w:pPr>
              <w:spacing w:after="40"/>
              <w:jc w:val="right"/>
            </w:pPr>
            <w:r/>
            <w:r>
              <w:rPr>
                <w:rFonts w:ascii="Cambria" w:hAnsi="Cambria"/>
                <w:b/>
                <w:i w:val="0"/>
                <w:sz w:val="20"/>
              </w:rPr>
              <w:t>100,00%</w:t>
            </w:r>
          </w:p>
        </w:tc>
        <w:tc>
          <w:tcPr>
            <w:tcW w:type="dxa" w:w="1587"/>
          </w:tcPr>
          <w:p>
            <w:pPr>
              <w:spacing w:after="40"/>
              <w:jc w:val="right"/>
            </w:pPr>
            <w:r/>
            <w:r>
              <w:rPr>
                <w:rFonts w:ascii="Cambria" w:hAnsi="Cambria"/>
                <w:b/>
                <w:i w:val="0"/>
                <w:sz w:val="20"/>
              </w:rPr>
              <w:t>100%</w:t>
            </w:r>
          </w:p>
        </w:tc>
      </w:tr>
    </w:tbl>
    <w:p>
      <w:pPr>
        <w:spacing w:after="40"/>
      </w:pPr>
    </w:p>
    <w:p>
      <w:pPr>
        <w:spacing w:after="120" w:line="276" w:lineRule="auto"/>
        <w:jc w:val="both"/>
      </w:pPr>
      <w:r>
        <w:rPr>
          <w:rFonts w:ascii="Cambria" w:hAnsi="Cambria"/>
          <w:b w:val="0"/>
          <w:i w:val="0"/>
        </w:rPr>
        <w:t>Le percentuali di capitale sono arrotondate al centesimo; i conferimenti sono espressi in euro. L'attribuzione delle qualità di accomandatario e accomandante è la soluzione che si propone; l'alternativa è illustrata al capitolo 3.</w:t>
      </w:r>
    </w:p>
    <w:p>
      <w:pPr>
        <w:spacing w:after="120" w:line="276" w:lineRule="auto"/>
        <w:jc w:val="both"/>
      </w:pPr>
      <w:r>
        <w:rPr>
          <w:rFonts w:ascii="Cambria" w:hAnsi="Cambria"/>
          <w:b w:val="0"/>
          <w:i w:val="0"/>
        </w:rPr>
        <w:t>Si segnalano quattro aspetti.</w:t>
      </w:r>
    </w:p>
    <w:p>
      <w:pPr>
        <w:spacing w:after="100" w:line="276" w:lineRule="auto"/>
        <w:ind w:left="567" w:hanging="397"/>
        <w:jc w:val="both"/>
      </w:pPr>
      <w:r>
        <w:rPr>
          <w:rFonts w:ascii="Cambria" w:hAnsi="Cambria"/>
          <w:color w:val="8B2E2E"/>
        </w:rPr>
        <w:t xml:space="preserve">a) </w:t>
      </w:r>
      <w:r>
        <w:rPr>
          <w:rFonts w:ascii="Cambria" w:hAnsi="Cambria"/>
          <w:b w:val="0"/>
          <w:i w:val="0"/>
        </w:rPr>
        <w:t>Nell'atto del 29 dicembre 2025 la quota di partecipazione agli utili di Oliviero Negro e di Sonia Maria Biffis è indicata in cifre come 28 per cento, ma in lettere come cinquanta per cento. Il valore in cifre è l'unico coerente con il totale (28 + 28 + 22 + 22 = 100; con cinquanta si avrebbe 144). Si chiede di valutare una rettifica o una precisazione nell'atto del 22 ottobre, così che la ripartizione previgente risulti senza ambiguità: è rilevante per l'imputazione del reddito 2026 (capitolo 6).</w:t>
      </w:r>
    </w:p>
    <w:p>
      <w:pPr>
        <w:spacing w:after="100" w:line="276" w:lineRule="auto"/>
        <w:ind w:left="567" w:hanging="397"/>
        <w:jc w:val="both"/>
      </w:pPr>
      <w:r>
        <w:rPr>
          <w:rFonts w:ascii="Cambria" w:hAnsi="Cambria"/>
          <w:color w:val="8B2E2E"/>
        </w:rPr>
        <w:t xml:space="preserve">b) </w:t>
      </w:r>
      <w:r>
        <w:rPr>
          <w:rFonts w:ascii="Cambria" w:hAnsi="Cambria"/>
          <w:b w:val="0"/>
          <w:i w:val="0"/>
        </w:rPr>
        <w:t xml:space="preserve">L'ingresso di Giosuè Negro al valore nominale di euro 70,00, a fronte di un patrimonio netto sociale sensibilmente superiore </w:t>
      </w:r>
      <w:r>
        <w:rPr>
          <w:rFonts w:ascii="Cambria" w:hAnsi="Cambria"/>
          <w:b w:val="0"/>
          <w:i w:val="0"/>
          <w:highlight w:val="yellow"/>
        </w:rPr>
        <w:t>[DA COMPLETARE: valore del patrimonio netto, euro ___]</w:t>
      </w:r>
      <w:r>
        <w:rPr>
          <w:rFonts w:ascii="Cambria" w:hAnsi="Cambria"/>
          <w:b w:val="0"/>
          <w:i w:val="0"/>
        </w:rPr>
        <w:t>, e la sua partecipazione al 20 per cento degli utili costituiscono una liberalità indiretta dei soci preesistenti. Gli utili ceduti sono complessivamente 20 punti (8 + 8 + 2 + 2): Oliviero Negro e Sonia Maria Biffis, genitori, riducono la propria quota da 28 a 20 per cento ciascuno; Elia e Levi Negro, fratelli, da 22 a 20 per cento ciascuno. Per la liberalità dei genitori, in linea retta, opera la franchigia di 1.000.000 di euro per ciascun beneficiario. Per quella dei fratelli, in linea collaterale, la franchigia è di 100.000 euro e l'aliquota del 6 per cento sull'eccedenza: si chiede alla S.V. di confermare la qualificazione e il trattamento. L'operazione replica quella già realizzata per Elia e Levi Negro ed è coerente con la parità di trattamento fra i figli, anche ai fini di collazione e riunione fittizia nella futura successione.</w:t>
      </w:r>
    </w:p>
    <w:p>
      <w:pPr>
        <w:spacing w:after="100" w:line="276" w:lineRule="auto"/>
        <w:ind w:left="567" w:hanging="397"/>
        <w:jc w:val="both"/>
      </w:pPr>
      <w:r>
        <w:rPr>
          <w:rFonts w:ascii="Cambria" w:hAnsi="Cambria"/>
          <w:color w:val="8B2E2E"/>
        </w:rPr>
        <w:t xml:space="preserve">c) </w:t>
      </w:r>
      <w:r>
        <w:rPr>
          <w:rFonts w:ascii="Cambria" w:hAnsi="Cambria"/>
          <w:b w:val="0"/>
          <w:i w:val="0"/>
        </w:rPr>
        <w:t>Le quote di capitale restano fortemente sbilanciate a favore di Oliviero Negro (68,63 per cento), mentre gli utili sono ripartiti in parti uguali. Ove i patti richiamino maggioranze calcolate sul capitale (ad esempio art. 2322, secondo comma, e art. 2319 c.c.), il potere decisionale resterà di fatto in capo ai genitori. Si ritiene che ciò corrisponda all'intenzione delle parti, ma è opportuno che sia una scelta consapevole e dichiarata.</w:t>
      </w:r>
    </w:p>
    <w:p>
      <w:pPr>
        <w:spacing w:after="100" w:line="276" w:lineRule="auto"/>
        <w:ind w:left="567" w:hanging="397"/>
        <w:jc w:val="both"/>
      </w:pPr>
      <w:r>
        <w:rPr>
          <w:rFonts w:ascii="Cambria" w:hAnsi="Cambria"/>
          <w:color w:val="8B2E2E"/>
        </w:rPr>
        <w:t xml:space="preserve">d) </w:t>
      </w:r>
      <w:r>
        <w:rPr>
          <w:rFonts w:ascii="Cambria" w:hAnsi="Cambria"/>
          <w:b w:val="0"/>
          <w:i w:val="0"/>
        </w:rPr>
        <w:t xml:space="preserve">Capacità di Giosuè Negro. </w:t>
      </w:r>
      <w:r>
        <w:rPr>
          <w:rFonts w:ascii="Cambria" w:hAnsi="Cambria"/>
          <w:b w:val="0"/>
          <w:i w:val="0"/>
          <w:highlight w:val="yellow"/>
        </w:rPr>
        <w:t>[DA COMPLETARE: data di nascita; Giosuè Negro è maggiorenne / minorenne]</w:t>
      </w:r>
      <w:r>
        <w:rPr>
          <w:rFonts w:ascii="Cambria" w:hAnsi="Cambria"/>
          <w:b w:val="0"/>
          <w:i w:val="0"/>
        </w:rPr>
        <w:t>. Qualora fosse minorenne, si chiede alla S.V. di indicare le autorizzazioni necessarie (giudice tutelare) e la nomina di un curatore speciale, poiché i genitori sarebbero al tempo stesso donanti e rappresentanti; la responsabilità limitata dell'accomandante non esclude tale valutazione.</w:t>
      </w:r>
    </w:p>
    <w:p>
      <w:pPr>
        <w:keepNext/>
        <w:spacing w:before="280" w:after="160"/>
        <w:pBdr>
          <w:bottom w:val="single" w:sz="6" w:space="4" w:color="8B2E2E"/>
        </w:pBdr>
      </w:pPr>
      <w:r>
        <w:rPr>
          <w:rFonts w:ascii="Cambria" w:hAnsi="Cambria"/>
          <w:b w:val="0"/>
          <w:i w:val="0"/>
          <w:color w:val="8B2E2E"/>
          <w:sz w:val="24"/>
        </w:rPr>
        <w:t>3. LA TRASFORMAZIONE: PROFILI CIVILISTICI</w:t>
      </w:r>
    </w:p>
    <w:p>
      <w:pPr>
        <w:spacing w:after="100" w:line="276" w:lineRule="auto"/>
        <w:ind w:left="567" w:hanging="397"/>
        <w:jc w:val="both"/>
      </w:pPr>
      <w:r>
        <w:rPr>
          <w:rFonts w:ascii="Cambria" w:hAnsi="Cambria"/>
          <w:color w:val="8B2E2E"/>
        </w:rPr>
        <w:t xml:space="preserve">a) </w:t>
      </w:r>
      <w:r>
        <w:rPr>
          <w:rFonts w:ascii="Cambria" w:hAnsi="Cambria"/>
          <w:b w:val="0"/>
          <w:i w:val="0"/>
        </w:rPr>
        <w:t>Decisione. La trasformazione e le altre modifiche dei patti richiedono il consenso di tutti i soci, salvo diversa previsione dell'atto costitutivo (art. 2252 c.c.). Interverranno all'atto tutti i soci, compreso Giosuè Negro.</w:t>
      </w:r>
    </w:p>
    <w:p>
      <w:pPr>
        <w:spacing w:after="100" w:line="276" w:lineRule="auto"/>
        <w:ind w:left="567" w:hanging="397"/>
        <w:jc w:val="both"/>
      </w:pPr>
      <w:r>
        <w:rPr>
          <w:rFonts w:ascii="Cambria" w:hAnsi="Cambria"/>
          <w:color w:val="8B2E2E"/>
        </w:rPr>
        <w:t xml:space="preserve">b) </w:t>
      </w:r>
      <w:r>
        <w:rPr>
          <w:rFonts w:ascii="Cambria" w:hAnsi="Cambria"/>
          <w:b w:val="0"/>
          <w:i w:val="0"/>
        </w:rPr>
        <w:t>Ragione sociale. Ai sensi dell'art. 2314 c.c. la ragione sociale deve contenere il nome di almeno un socio accomandatario e l'indicazione di società in accomandita semplice. La denominazione Negro Casa e Servizi S.a.s. di Oliviero Negro &amp; C. è compatibile con la nomina di Oliviero Negro ad accomandatario. Il cognome Negro coincide con quello dei figli accomandanti: trattandosi del nome dell'accomandatario, non dovrebbe operare l'estensione di responsabilità prevista dal secondo comma dell'art. 2314 c.c., ma si chiede conferma alla S.V.</w:t>
      </w:r>
    </w:p>
    <w:p>
      <w:pPr>
        <w:spacing w:after="100" w:line="276" w:lineRule="auto"/>
        <w:ind w:left="567" w:hanging="397"/>
        <w:jc w:val="both"/>
      </w:pPr>
      <w:r>
        <w:rPr>
          <w:rFonts w:ascii="Cambria" w:hAnsi="Cambria"/>
          <w:color w:val="8B2E2E"/>
        </w:rPr>
        <w:t xml:space="preserve">c) </w:t>
      </w:r>
      <w:r>
        <w:rPr>
          <w:rFonts w:ascii="Cambria" w:hAnsi="Cambria"/>
          <w:b w:val="0"/>
          <w:i w:val="0"/>
        </w:rPr>
        <w:t>Amministrazione. Spetta esclusivamente agli accomandatari (art. 2318 c.c.). Gli accomandanti non possono compiere atti di amministrazione né trattare o concludere affari in nome della società, salvo procura speciale per singoli affari, pena la responsabilità illimitata e solidale per tutte le obbligazioni sociali (art. 2320 c.c.). Il punto è rilevante perché Sonia Maria Biffis sarà amministratore unico di Ermitek Srl, e Elia e Levi Negro vi lavoreranno: nei rapporti fra le due società, compresi i contratti di locazione, la Sas dovrà essere rappresentata esclusivamente dall'accomandatario.</w:t>
      </w:r>
    </w:p>
    <w:p>
      <w:pPr>
        <w:spacing w:after="100" w:line="276" w:lineRule="auto"/>
        <w:ind w:left="567" w:hanging="397"/>
        <w:jc w:val="both"/>
      </w:pPr>
      <w:r>
        <w:rPr>
          <w:rFonts w:ascii="Cambria" w:hAnsi="Cambria"/>
          <w:color w:val="8B2E2E"/>
        </w:rPr>
        <w:t xml:space="preserve">d) </w:t>
      </w:r>
      <w:r>
        <w:rPr>
          <w:rFonts w:ascii="Cambria" w:hAnsi="Cambria"/>
          <w:b w:val="0"/>
          <w:i w:val="0"/>
        </w:rPr>
        <w:t xml:space="preserve">Responsabilità per le obbligazioni anteriori. Secondo Cass. civ., n. 11040/2022, la presunzione di consenso dei creditori prevista dall'art. 2500-quinquies, secondo comma, c.c. non si applica alla trasformazione da Snc in Sas. I soci che diventano accomandanti (Sonia Maria Biffis, Elia e Levi Negro) restano illimitatamente responsabili per le obbligazioni sorte prima della trasformazione, comprese quelle tributarie o di altra natura relative a periodi pregressi ed eventualmente accertate in seguito, salvo consenso espresso dei singoli creditori. Secondo quanto riferito dal legale rappresentante, la società non ha debiti verso la pubblica amministrazione, i fornitori o i dipendenti e le garanzie sugli impianti eseguiti sono coperte da assicurazione. La cessazione dei quattro rapporti di lavoro (capitolo 7, lettera b) comporta la liquidazione di TFR, ferie e permessi residui </w:t>
      </w:r>
      <w:r>
        <w:rPr>
          <w:rFonts w:ascii="Cambria" w:hAnsi="Cambria"/>
          <w:b w:val="0"/>
          <w:i w:val="0"/>
          <w:highlight w:val="yellow"/>
        </w:rPr>
        <w:t>[DA COMPLETARE: importo e copertura, euro ___]</w:t>
      </w:r>
      <w:r>
        <w:rPr>
          <w:rFonts w:ascii="Cambria" w:hAnsi="Cambria"/>
          <w:b w:val="0"/>
          <w:i w:val="0"/>
        </w:rPr>
        <w:t>: tali importi vanno considerati ai fini della dichiarazione di assenza di debiti verso i dipendenti.</w:t>
      </w:r>
    </w:p>
    <w:p>
      <w:pPr>
        <w:spacing w:after="100" w:line="276" w:lineRule="auto"/>
        <w:ind w:left="567" w:hanging="397"/>
        <w:jc w:val="both"/>
      </w:pPr>
      <w:r>
        <w:rPr>
          <w:rFonts w:ascii="Cambria" w:hAnsi="Cambria"/>
          <w:color w:val="8B2E2E"/>
        </w:rPr>
        <w:t xml:space="preserve">e) </w:t>
      </w:r>
      <w:r>
        <w:rPr>
          <w:rFonts w:ascii="Cambria" w:hAnsi="Cambria"/>
          <w:b w:val="0"/>
          <w:i w:val="0"/>
        </w:rPr>
        <w:t>Ordine delle deliberazioni. Se Giosuè Negro entrasse nella Snc prima della trasformazione, risponderebbe illimitatamente anche delle obbligazioni anteriori al suo ingresso (art. 2269 c.c.). Si propone quindi di deliberare prima la trasformazione e poi l'ingresso di Giosuè Negro direttamente come accomandante, con responsabilità limitata alla quota conferita (art. 2313 c.c.). Poiché la trasformazione ha effetto solo dopo l'ultimo adempimento pubblicitario (lettera f), la S.V. valuterà come garantire la sequenza nell'incontro del 22 ottobre, ad esempio con efficacia condizionata o differita dell'ingresso.</w:t>
      </w:r>
    </w:p>
    <w:p>
      <w:pPr>
        <w:spacing w:after="100" w:line="276" w:lineRule="auto"/>
        <w:ind w:left="567" w:hanging="397"/>
        <w:jc w:val="both"/>
      </w:pPr>
      <w:r>
        <w:rPr>
          <w:rFonts w:ascii="Cambria" w:hAnsi="Cambria"/>
          <w:color w:val="8B2E2E"/>
        </w:rPr>
        <w:t xml:space="preserve">f) </w:t>
      </w:r>
      <w:r>
        <w:rPr>
          <w:rFonts w:ascii="Cambria" w:hAnsi="Cambria"/>
          <w:b w:val="0"/>
          <w:i w:val="0"/>
        </w:rPr>
        <w:t>Efficacia. La trasformazione ha effetto dall'ultimo degli adempimenti pubblicitari presso il registro delle imprese (art. 2500, terzo comma, c.c.). La società conserva diritti e obblighi e prosegue in tutti i rapporti anche processuali dell'ente che ha effettuato la trasformazione (art. 2498 c.c.).</w:t>
      </w:r>
    </w:p>
    <w:p>
      <w:pPr>
        <w:spacing w:after="100" w:line="276" w:lineRule="auto"/>
        <w:ind w:left="567" w:hanging="397"/>
        <w:jc w:val="both"/>
      </w:pPr>
      <w:r>
        <w:rPr>
          <w:rFonts w:ascii="Cambria" w:hAnsi="Cambria"/>
          <w:color w:val="8B2E2E"/>
        </w:rPr>
        <w:t xml:space="preserve">g) </w:t>
      </w:r>
      <w:r>
        <w:rPr>
          <w:rFonts w:ascii="Cambria" w:hAnsi="Cambria"/>
          <w:b w:val="0"/>
          <w:i w:val="0"/>
        </w:rPr>
        <w:t>Unico accomandatario. Con un solo accomandatario, se Oliviero Negro venisse meno la società si scioglierebbe qualora entro sei mesi non fosse sostituito; nel frattempo gli accomandanti nominano un amministratore provvisorio per gli atti di ordinaria amministrazione (art. 2323 c.c.). Si propone di disciplinare nei patti la sostituzione (capitolo 4). L'alternativa è nominare accomandataria anche Sonia Maria Biffis: rafforza la continuità, ma la espone a responsabilità illimitata per le obbligazioni future della Sas, che per una società di sola gestione immobiliare sono di norma contenute. In tal caso, essendo amministratore unico di Ermitek Srl, anche nei suoi confronti varrebbe il divieto di concorrenza di cui alla lettera h.</w:t>
      </w:r>
    </w:p>
    <w:p>
      <w:pPr>
        <w:spacing w:after="100" w:line="276" w:lineRule="auto"/>
        <w:ind w:left="567" w:hanging="397"/>
        <w:jc w:val="both"/>
      </w:pPr>
      <w:r>
        <w:rPr>
          <w:rFonts w:ascii="Cambria" w:hAnsi="Cambria"/>
          <w:color w:val="8B2E2E"/>
        </w:rPr>
        <w:t xml:space="preserve">h) </w:t>
      </w:r>
      <w:r>
        <w:rPr>
          <w:rFonts w:ascii="Cambria" w:hAnsi="Cambria"/>
          <w:b w:val="0"/>
          <w:i w:val="0"/>
        </w:rPr>
        <w:t>Divieto di concorrenza. Nelle 13 settimane di vendita di liquidazione la Sas continuerà a esercitare un'attività commerciale analoga a quella di Ermitek Srl, presso la quale Oliviero Negro sarà dipendente e responsabile tecnico. L'art. 2301 c.c., applicabile all'accomandatario, vieta l'esercizio di attività concorrente senza il consenso degli altri soci. Si propone di inserire nell'atto il consenso espresso di tutti i soci, riferito a Oliviero Negro e, ove nominata accomandataria, anche a Sonia Maria Biffis.</w:t>
      </w:r>
    </w:p>
    <w:p>
      <w:pPr>
        <w:keepNext/>
        <w:spacing w:before="280" w:after="160"/>
        <w:pBdr>
          <w:bottom w:val="single" w:sz="6" w:space="4" w:color="8B2E2E"/>
        </w:pBdr>
      </w:pPr>
      <w:r>
        <w:rPr>
          <w:rFonts w:ascii="Cambria" w:hAnsi="Cambria"/>
          <w:b w:val="0"/>
          <w:i w:val="0"/>
          <w:color w:val="8B2E2E"/>
          <w:sz w:val="24"/>
        </w:rPr>
        <w:t>4. PATTI SOCIALI DA INSERIRE</w:t>
      </w:r>
    </w:p>
    <w:p>
      <w:pPr>
        <w:spacing w:after="120" w:line="276" w:lineRule="auto"/>
        <w:jc w:val="left"/>
      </w:pPr>
      <w:r>
        <w:rPr>
          <w:rFonts w:ascii="Cambria" w:hAnsi="Cambria"/>
          <w:b w:val="0"/>
          <w:i w:val="0"/>
        </w:rPr>
        <w:t>Oltre alle clausole ordinarie, si propone di prevedere:</w:t>
      </w:r>
    </w:p>
    <w:p>
      <w:pPr>
        <w:spacing w:after="100" w:line="276" w:lineRule="auto"/>
        <w:ind w:left="567" w:hanging="397"/>
        <w:jc w:val="both"/>
      </w:pPr>
      <w:r>
        <w:rPr>
          <w:rFonts w:ascii="Cambria" w:hAnsi="Cambria"/>
          <w:color w:val="8B2E2E"/>
        </w:rPr>
        <w:t xml:space="preserve">a) </w:t>
      </w:r>
      <w:r>
        <w:rPr>
          <w:rFonts w:ascii="Cambria" w:hAnsi="Cambria"/>
          <w:b w:val="0"/>
          <w:i w:val="0"/>
        </w:rPr>
        <w:t>ripartizione degli utili e delle perdite in parti uguali fra i cinque soci, con decorrenza dal periodo d'imposta 2027 e mantenimento, per l'esercizio 2026, della ripartizione previgente 28/28/22/22 (capitolo 6), fermo per gli accomandanti il limite della quota conferita per le perdite (art. 2313 c.c.);</w:t>
      </w:r>
    </w:p>
    <w:p>
      <w:pPr>
        <w:spacing w:after="100" w:line="276" w:lineRule="auto"/>
        <w:ind w:left="567" w:hanging="397"/>
        <w:jc w:val="both"/>
      </w:pPr>
      <w:r>
        <w:rPr>
          <w:rFonts w:ascii="Cambria" w:hAnsi="Cambria"/>
          <w:color w:val="8B2E2E"/>
        </w:rPr>
        <w:t xml:space="preserve">b) </w:t>
      </w:r>
      <w:r>
        <w:rPr>
          <w:rFonts w:ascii="Cambria" w:hAnsi="Cambria"/>
          <w:b w:val="0"/>
          <w:i w:val="0"/>
        </w:rPr>
        <w:t>dichiarazione che le riserve di utili formate fino al 31 dicembre 2026 restano di spettanza dei soci secondo i criteri di ripartizione vigenti al momento della loro formazione, così da evitare che l'ingresso di Giosuè Negro comporti una redistribuzione non voluta di utili già tassati in capo ad altri soci;</w:t>
      </w:r>
    </w:p>
    <w:p>
      <w:pPr>
        <w:spacing w:after="100" w:line="276" w:lineRule="auto"/>
        <w:ind w:left="567" w:hanging="397"/>
        <w:jc w:val="both"/>
      </w:pPr>
      <w:r>
        <w:rPr>
          <w:rFonts w:ascii="Cambria" w:hAnsi="Cambria"/>
          <w:color w:val="8B2E2E"/>
        </w:rPr>
        <w:t xml:space="preserve">c) </w:t>
      </w:r>
      <w:r>
        <w:rPr>
          <w:rFonts w:ascii="Cambria" w:hAnsi="Cambria"/>
          <w:b w:val="0"/>
          <w:i w:val="0"/>
        </w:rPr>
        <w:t>deroga all'art. 2262 c.c., con distribuzione degli utili subordinata a decisione dei soci, e contestuale obbligo di distribuire almeno l'importo necessario a coprire le imposte dovute dai soci per trasparenza sul reddito loro imputato, anche in assenza di prelievo: senza questa clausola un socio privo di altri redditi, come Giosuè Negro, studente, dovrebbe pagare l'IRPEF su utili non percepiti;</w:t>
      </w:r>
    </w:p>
    <w:p>
      <w:pPr>
        <w:spacing w:after="100" w:line="276" w:lineRule="auto"/>
        <w:ind w:left="567" w:hanging="397"/>
        <w:jc w:val="both"/>
      </w:pPr>
      <w:r>
        <w:rPr>
          <w:rFonts w:ascii="Cambria" w:hAnsi="Cambria"/>
          <w:color w:val="8B2E2E"/>
        </w:rPr>
        <w:t xml:space="preserve">d) </w:t>
      </w:r>
      <w:r>
        <w:rPr>
          <w:rFonts w:ascii="Cambria" w:hAnsi="Cambria"/>
          <w:b w:val="0"/>
          <w:i w:val="0"/>
        </w:rPr>
        <w:t>prelazione a favore degli altri soci in caso di trasferimento delle quote per atto tra vivi, con gradimento per i trasferimenti a terzi estranei alla famiglia;</w:t>
      </w:r>
    </w:p>
    <w:p>
      <w:pPr>
        <w:spacing w:after="100" w:line="276" w:lineRule="auto"/>
        <w:ind w:left="567" w:hanging="397"/>
        <w:jc w:val="both"/>
      </w:pPr>
      <w:r>
        <w:rPr>
          <w:rFonts w:ascii="Cambria" w:hAnsi="Cambria"/>
          <w:color w:val="8B2E2E"/>
        </w:rPr>
        <w:t xml:space="preserve">e) </w:t>
      </w:r>
      <w:r>
        <w:rPr>
          <w:rFonts w:ascii="Cambria" w:hAnsi="Cambria"/>
          <w:b w:val="0"/>
          <w:i w:val="0"/>
        </w:rPr>
        <w:t>in caso di morte di un socio, continuazione della società con gli eredi, che vi entrano in qualità di accomandanti (artt. 2284 e 2322 c.c.);</w:t>
      </w:r>
    </w:p>
    <w:p>
      <w:pPr>
        <w:spacing w:after="100" w:line="276" w:lineRule="auto"/>
        <w:ind w:left="567" w:hanging="397"/>
        <w:jc w:val="both"/>
      </w:pPr>
      <w:r>
        <w:rPr>
          <w:rFonts w:ascii="Cambria" w:hAnsi="Cambria"/>
          <w:color w:val="8B2E2E"/>
        </w:rPr>
        <w:t xml:space="preserve">f) </w:t>
      </w:r>
      <w:r>
        <w:rPr>
          <w:rFonts w:ascii="Cambria" w:hAnsi="Cambria"/>
          <w:b w:val="0"/>
          <w:i w:val="0"/>
        </w:rPr>
        <w:t>in caso di morte o impedimento dell'accomandatario, assunzione della qualità di accomandatario da parte di Sonia Maria Biffis o, in subordine, di uno dei soci accomandanti designato a maggioranza, già consentita fin d'ora da tutti i soci, con il consenso di cui alla lettera g;</w:t>
      </w:r>
    </w:p>
    <w:p>
      <w:pPr>
        <w:spacing w:after="100" w:line="276" w:lineRule="auto"/>
        <w:ind w:left="567" w:hanging="397"/>
        <w:jc w:val="both"/>
      </w:pPr>
      <w:r>
        <w:rPr>
          <w:rFonts w:ascii="Cambria" w:hAnsi="Cambria"/>
          <w:color w:val="8B2E2E"/>
        </w:rPr>
        <w:t xml:space="preserve">g) </w:t>
      </w:r>
      <w:r>
        <w:rPr>
          <w:rFonts w:ascii="Cambria" w:hAnsi="Cambria"/>
          <w:b w:val="0"/>
          <w:i w:val="0"/>
        </w:rPr>
        <w:t>consenso di tutti i soci, ai sensi dell'art. 2301 c.c., all'attività prestata da Oliviero Negro in favore di Ermitek Srl e, ove diventi accomandataria, da Sonia Maria Biffis in qualità di amministratore unico;</w:t>
      </w:r>
    </w:p>
    <w:p>
      <w:pPr>
        <w:spacing w:after="100" w:line="276" w:lineRule="auto"/>
        <w:ind w:left="567" w:hanging="397"/>
        <w:jc w:val="both"/>
      </w:pPr>
      <w:r>
        <w:rPr>
          <w:rFonts w:ascii="Cambria" w:hAnsi="Cambria"/>
          <w:color w:val="8B2E2E"/>
        </w:rPr>
        <w:t xml:space="preserve">h) </w:t>
      </w:r>
      <w:r>
        <w:rPr>
          <w:rFonts w:ascii="Cambria" w:hAnsi="Cambria"/>
          <w:b w:val="0"/>
          <w:i w:val="0"/>
        </w:rPr>
        <w:t>criteri di calcolo delle maggioranze, precisando se riferite alle quote di capitale o di partecipazione agli utili (capitolo 2).</w:t>
      </w:r>
    </w:p>
    <w:p>
      <w:pPr>
        <w:keepNext/>
        <w:spacing w:before="280" w:after="160"/>
        <w:pBdr>
          <w:bottom w:val="single" w:sz="6" w:space="4" w:color="8B2E2E"/>
        </w:pBdr>
      </w:pPr>
      <w:r>
        <w:rPr>
          <w:rFonts w:ascii="Cambria" w:hAnsi="Cambria"/>
          <w:b w:val="0"/>
          <w:i w:val="0"/>
          <w:color w:val="8B2E2E"/>
          <w:sz w:val="24"/>
        </w:rPr>
        <w:t>5. OGGETTO SOCIALE</w:t>
      </w:r>
    </w:p>
    <w:p>
      <w:pPr>
        <w:spacing w:after="120" w:line="276" w:lineRule="auto"/>
        <w:jc w:val="both"/>
      </w:pPr>
      <w:r>
        <w:rPr>
          <w:rFonts w:ascii="Cambria" w:hAnsi="Cambria"/>
          <w:b w:val="0"/>
          <w:i w:val="0"/>
        </w:rPr>
        <w:t>Si propone il seguente testo, da adattare secondo le valutazioni della S.V.:</w:t>
      </w:r>
    </w:p>
    <w:p>
      <w:pPr>
        <w:spacing w:after="80" w:line="276" w:lineRule="auto"/>
        <w:jc w:val="both"/>
      </w:pPr>
      <w:r>
        <w:rPr>
          <w:rFonts w:ascii="Cambria" w:hAnsi="Cambria"/>
          <w:b w:val="0"/>
          <w:i/>
        </w:rPr>
        <w:t>«La società ha per oggetto, in via non professionale nei confronti del pubblico:</w:t>
      </w:r>
    </w:p>
    <w:p>
      <w:pPr>
        <w:spacing w:after="100" w:line="276" w:lineRule="auto"/>
        <w:ind w:left="567" w:hanging="397"/>
        <w:jc w:val="both"/>
      </w:pPr>
      <w:r>
        <w:rPr>
          <w:rFonts w:ascii="Cambria" w:hAnsi="Cambria"/>
          <w:color w:val="8B2E2E"/>
        </w:rPr>
        <w:t xml:space="preserve">a) </w:t>
      </w:r>
      <w:r>
        <w:rPr>
          <w:rFonts w:ascii="Cambria" w:hAnsi="Cambria"/>
          <w:b w:val="0"/>
          <w:i w:val="0"/>
        </w:rPr>
        <w:t>l'acquisto, la vendita, la permuta, la costruzione, la ristrutturazione, la manutenzione e la gestione di beni immobili di qualsiasi natura e destinazione, compresi terreni edificabili e agricoli;</w:t>
      </w:r>
    </w:p>
    <w:p>
      <w:pPr>
        <w:spacing w:after="100" w:line="276" w:lineRule="auto"/>
        <w:ind w:left="567" w:hanging="397"/>
        <w:jc w:val="both"/>
      </w:pPr>
      <w:r>
        <w:rPr>
          <w:rFonts w:ascii="Cambria" w:hAnsi="Cambria"/>
          <w:color w:val="8B2E2E"/>
        </w:rPr>
        <w:t xml:space="preserve">b) </w:t>
      </w:r>
      <w:r>
        <w:rPr>
          <w:rFonts w:ascii="Cambria" w:hAnsi="Cambria"/>
          <w:b w:val="0"/>
          <w:i w:val="0"/>
        </w:rPr>
        <w:t>la concessione in locazione, in affitto, in comodato o comunque in godimento a terzi, anche a società partecipate dai soci o dai loro familiari, di beni immobili propri o di cui la società abbia la disponibilità;</w:t>
      </w:r>
    </w:p>
    <w:p>
      <w:pPr>
        <w:spacing w:after="100" w:line="276" w:lineRule="auto"/>
        <w:ind w:left="567" w:hanging="397"/>
        <w:jc w:val="both"/>
      </w:pPr>
      <w:r>
        <w:rPr>
          <w:rFonts w:ascii="Cambria" w:hAnsi="Cambria"/>
          <w:color w:val="8B2E2E"/>
        </w:rPr>
        <w:t xml:space="preserve">c) </w:t>
      </w:r>
      <w:r>
        <w:rPr>
          <w:rFonts w:ascii="Cambria" w:hAnsi="Cambria"/>
          <w:b w:val="0"/>
          <w:i w:val="0"/>
        </w:rPr>
        <w:t>la realizzazione, anche mediante appalto a imprese terze, di fabbricati e opere da destinare alla locazione o alla vendita, nonché la valorizzazione del patrimonio immobiliare sociale.</w:t>
      </w:r>
    </w:p>
    <w:p>
      <w:pPr>
        <w:spacing w:after="120" w:line="276" w:lineRule="auto"/>
        <w:jc w:val="both"/>
      </w:pPr>
      <w:r>
        <w:rPr>
          <w:rFonts w:ascii="Cambria" w:hAnsi="Cambria"/>
          <w:b w:val="0"/>
          <w:i/>
        </w:rPr>
        <w:t>La società potrà compiere tutte le operazioni commerciali, mobiliari, immobiliari e finanziarie necessarie o utili al conseguimento dell'oggetto sociale, compresa la prestazione di garanzie reali e personali a favore di società partecipate dai soci, in via non prevalente e non nei confronti del pubblico. Sono escluse le attività riservate dalla legge, in particolare la mediazione immobiliare e le attività finanziarie di cui al D.Lgs. 1 settembre 1993, n. 385.</w:t>
      </w:r>
    </w:p>
    <w:p>
      <w:pPr>
        <w:spacing w:after="120" w:line="276" w:lineRule="auto"/>
        <w:jc w:val="both"/>
      </w:pPr>
      <w:r>
        <w:rPr>
          <w:rFonts w:ascii="Cambria" w:hAnsi="Cambria"/>
          <w:b w:val="0"/>
          <w:i/>
        </w:rPr>
        <w:t>In via transitoria la società porterà a compimento i contratti di vendita, fornitura e installazione in essere alla data della presente deliberazione e procederà alla vendita delle rimanenze di magazzino, anche mediante vendita di liquidazione per cessazione dell'attività commerciale.»</w:t>
      </w:r>
    </w:p>
    <w:p>
      <w:pPr>
        <w:spacing w:after="120" w:line="276" w:lineRule="auto"/>
        <w:jc w:val="both"/>
      </w:pPr>
      <w:r>
        <w:rPr>
          <w:rFonts w:ascii="Cambria" w:hAnsi="Cambria"/>
          <w:b w:val="0"/>
          <w:i w:val="0"/>
        </w:rPr>
        <w:t>La clausola transitoria serve a evitare che la società compia, nelle 13 settimane successive, attività estranee al nuovo oggetto sociale. In alternativa, come già prospettato dalla S.V., si può integrare l'oggetto vigente con la parte immobiliare e restringerlo con una successiva modifica al termine della liquidazione, al costo di un secondo atto.</w:t>
      </w:r>
    </w:p>
    <w:p>
      <w:pPr>
        <w:keepNext/>
        <w:spacing w:before="280" w:after="160"/>
        <w:pBdr>
          <w:bottom w:val="single" w:sz="6" w:space="4" w:color="8B2E2E"/>
        </w:pBdr>
      </w:pPr>
      <w:r>
        <w:rPr>
          <w:rFonts w:ascii="Cambria" w:hAnsi="Cambria"/>
          <w:b w:val="0"/>
          <w:i w:val="0"/>
          <w:color w:val="8B2E2E"/>
          <w:sz w:val="24"/>
        </w:rPr>
        <w:t>6. PROFILI FISCALI</w:t>
      </w:r>
    </w:p>
    <w:p>
      <w:pPr>
        <w:spacing w:after="100" w:line="276" w:lineRule="auto"/>
        <w:ind w:left="567" w:hanging="397"/>
        <w:jc w:val="both"/>
      </w:pPr>
      <w:r>
        <w:rPr>
          <w:rFonts w:ascii="Cambria" w:hAnsi="Cambria"/>
          <w:color w:val="8B2E2E"/>
        </w:rPr>
        <w:t xml:space="preserve">a) </w:t>
      </w:r>
      <w:r>
        <w:rPr>
          <w:rFonts w:ascii="Cambria" w:hAnsi="Cambria"/>
          <w:b w:val="0"/>
          <w:i w:val="0"/>
        </w:rPr>
        <w:t>Neutralità. La trasformazione fra società di persone non comporta realizzo di plusvalenze né interruzione del periodo d'imposta; codice fiscale e partita IVA restano invariati.</w:t>
      </w:r>
    </w:p>
    <w:p>
      <w:pPr>
        <w:spacing w:after="100" w:line="276" w:lineRule="auto"/>
        <w:ind w:left="567" w:hanging="397"/>
        <w:jc w:val="both"/>
      </w:pPr>
      <w:r>
        <w:rPr>
          <w:rFonts w:ascii="Cambria" w:hAnsi="Cambria"/>
          <w:color w:val="8B2E2E"/>
        </w:rPr>
        <w:t xml:space="preserve">b) </w:t>
      </w:r>
      <w:r>
        <w:rPr>
          <w:rFonts w:ascii="Cambria" w:hAnsi="Cambria"/>
          <w:b w:val="0"/>
          <w:i w:val="0"/>
        </w:rPr>
        <w:t>Imposte d'atto. Imposta di registro in misura fissa di 200 euro; imposte ipotecaria e catastale in misura fissa, ove dovute in relazione agli immobili sociali.</w:t>
      </w:r>
    </w:p>
    <w:p>
      <w:pPr>
        <w:spacing w:after="100" w:line="276" w:lineRule="auto"/>
        <w:ind w:left="567" w:hanging="397"/>
        <w:jc w:val="both"/>
      </w:pPr>
      <w:r>
        <w:rPr>
          <w:rFonts w:ascii="Cambria" w:hAnsi="Cambria"/>
          <w:color w:val="8B2E2E"/>
        </w:rPr>
        <w:t xml:space="preserve">c) </w:t>
      </w:r>
      <w:r>
        <w:rPr>
          <w:rFonts w:ascii="Cambria" w:hAnsi="Cambria"/>
          <w:b w:val="0"/>
          <w:i w:val="0"/>
        </w:rPr>
        <w:t>Imputazione del reddito 2026. Ai sensi dell'art. 5, secondo comma, TUIR, le quote di partecipazione agli utili rilevano fiscalmente solo se risultano da atto pubblico o scrittura privata autenticata di data anteriore all'inizio del periodo d'imposta. Il reddito 2026 sarà quindi imputato secondo la ripartizione dell'atto del 29 dicembre 2025 e la nuova ripartizione al 20 per cento avrà effetto dal 2027. Per questo è necessario che la ripartizione previgente sia certa (capitolo 2).</w:t>
      </w:r>
    </w:p>
    <w:p>
      <w:pPr>
        <w:spacing w:after="100" w:line="276" w:lineRule="auto"/>
        <w:ind w:left="567" w:hanging="397"/>
        <w:jc w:val="both"/>
      </w:pPr>
      <w:r>
        <w:rPr>
          <w:rFonts w:ascii="Cambria" w:hAnsi="Cambria"/>
          <w:color w:val="8B2E2E"/>
        </w:rPr>
        <w:t xml:space="preserve">d) </w:t>
      </w:r>
      <w:r>
        <w:rPr>
          <w:rFonts w:ascii="Cambria" w:hAnsi="Cambria"/>
          <w:b w:val="0"/>
          <w:i w:val="0"/>
        </w:rPr>
        <w:t>Regime del reddito. La Sas resta società commerciale: il reddito, anche se derivante dalla sola gestione immobiliare, è reddito d'impresa imputato ai soci per trasparenza ed è soggetto a IRAP. Entro trenta giorni andrà comunicata all'Agenzia delle Entrate la variazione del codice ATECO, nella divisione 68 della classificazione vigente.</w:t>
      </w:r>
    </w:p>
    <w:p>
      <w:pPr>
        <w:spacing w:after="100" w:line="276" w:lineRule="auto"/>
        <w:ind w:left="567" w:hanging="397"/>
        <w:jc w:val="both"/>
      </w:pPr>
      <w:r>
        <w:rPr>
          <w:rFonts w:ascii="Cambria" w:hAnsi="Cambria"/>
          <w:color w:val="8B2E2E"/>
        </w:rPr>
        <w:t xml:space="preserve">e) </w:t>
      </w:r>
      <w:r>
        <w:rPr>
          <w:rFonts w:ascii="Cambria" w:hAnsi="Cambria"/>
          <w:b w:val="0"/>
          <w:i w:val="0"/>
        </w:rPr>
        <w:t xml:space="preserve">Società di comodo. Con il passaggio alla sola gestione immobiliare la società dovrà superare ogni anno il test di operatività dell'art. 30 della L. 23 dicembre 1994, n. 724, che presume ricavi minimi pari, in via generale, al 6 per cento del valore degli immobili (percentuale da confermare per la tipologia di bene). Il terreno industriale acquistato nel 2025 per 290.000 euro, oggi infruttifero, da solo comporta ricavi presunti di circa 17.400 euro annui (290.000 × 6%). Prima della stipula occorre verificare sul libro dei cespiti il valore complessivo degli immobili sociali e i canoni attesi </w:t>
      </w:r>
      <w:r>
        <w:rPr>
          <w:rFonts w:ascii="Cambria" w:hAnsi="Cambria"/>
          <w:b w:val="0"/>
          <w:i w:val="0"/>
          <w:highlight w:val="yellow"/>
        </w:rPr>
        <w:t>[DA COMPLETARE: valore complessivo immobili e canoni attesi]</w:t>
      </w:r>
      <w:r>
        <w:rPr>
          <w:rFonts w:ascii="Cambria" w:hAnsi="Cambria"/>
          <w:b w:val="0"/>
          <w:i w:val="0"/>
        </w:rPr>
        <w:t>, per escludere che la società risulti non operativa già dal primo esercizio successivo alla cessazione dell'attività commerciale.</w:t>
      </w:r>
    </w:p>
    <w:p>
      <w:pPr>
        <w:spacing w:after="100" w:line="276" w:lineRule="auto"/>
        <w:ind w:left="567" w:hanging="397"/>
        <w:jc w:val="both"/>
      </w:pPr>
      <w:r>
        <w:rPr>
          <w:rFonts w:ascii="Cambria" w:hAnsi="Cambria"/>
          <w:color w:val="8B2E2E"/>
        </w:rPr>
        <w:t xml:space="preserve">f) </w:t>
      </w:r>
      <w:r>
        <w:rPr>
          <w:rFonts w:ascii="Cambria" w:hAnsi="Cambria"/>
          <w:b w:val="0"/>
          <w:i w:val="0"/>
        </w:rPr>
        <w:t>Contributi previdenziali. Gli accomandanti non sono iscritti alla Gestione Commercianti. L'accomandatario lo è solo se partecipa personalmente al lavoro aziendale con abitualità e prevalenza: la mera gestione del patrimonio immobiliare non dovrebbe integrare questo requisito, ma il punto va presidiato in caso di verifica.</w:t>
      </w:r>
    </w:p>
    <w:p>
      <w:pPr>
        <w:keepNext/>
        <w:spacing w:before="280" w:after="160"/>
        <w:pBdr>
          <w:bottom w:val="single" w:sz="6" w:space="4" w:color="8B2E2E"/>
        </w:pBdr>
      </w:pPr>
      <w:r>
        <w:rPr>
          <w:rFonts w:ascii="Cambria" w:hAnsi="Cambria"/>
          <w:b w:val="0"/>
          <w:i w:val="0"/>
          <w:color w:val="8B2E2E"/>
          <w:sz w:val="24"/>
        </w:rPr>
        <w:t>7. COORDINAMENTO CON ERMITEK SRL</w:t>
      </w:r>
    </w:p>
    <w:p>
      <w:pPr>
        <w:spacing w:after="120" w:line="276" w:lineRule="auto"/>
        <w:jc w:val="left"/>
      </w:pPr>
      <w:r>
        <w:rPr>
          <w:rFonts w:ascii="Cambria" w:hAnsi="Cambria"/>
          <w:b w:val="0"/>
          <w:i w:val="0"/>
        </w:rPr>
        <w:t>Alcuni aspetti esulano dall'atto di trasformazione ma ne condizionano i tempi.</w:t>
      </w:r>
    </w:p>
    <w:p>
      <w:pPr>
        <w:spacing w:after="100" w:line="276" w:lineRule="auto"/>
        <w:ind w:left="567" w:hanging="397"/>
        <w:jc w:val="both"/>
      </w:pPr>
      <w:r>
        <w:rPr>
          <w:rFonts w:ascii="Cambria" w:hAnsi="Cambria"/>
          <w:color w:val="8B2E2E"/>
        </w:rPr>
        <w:t xml:space="preserve">a) </w:t>
      </w:r>
      <w:r>
        <w:rPr>
          <w:rFonts w:ascii="Cambria" w:hAnsi="Cambria"/>
          <w:b w:val="0"/>
          <w:i w:val="0"/>
        </w:rPr>
        <w:t>Responsabile tecnico. Ai sensi del D.M. 22 gennaio 2008, n. 37, il responsabile tecnico che non sia titolare o legale rappresentante può svolgere la funzione per una sola impresa. Oliviero Negro non potrà assumere l'incarico presso Ermitek Srl finché la Sas deve ancora completare lavori di installazione. Le soluzioni possibili sono tre: completare i lavori in corso prima che Ermitek Srl presenti la SCIA per l'attività impiantistica; cedere a Ermitek Srl i contratti in corso, con il consenso dei committenti; affidare temporaneamente a un diverso responsabile tecnico una delle due imprese.</w:t>
      </w:r>
    </w:p>
    <w:p>
      <w:pPr>
        <w:spacing w:after="100" w:line="276" w:lineRule="auto"/>
        <w:ind w:left="567" w:hanging="397"/>
        <w:jc w:val="both"/>
      </w:pPr>
      <w:r>
        <w:rPr>
          <w:rFonts w:ascii="Cambria" w:hAnsi="Cambria"/>
          <w:color w:val="8B2E2E"/>
        </w:rPr>
        <w:t xml:space="preserve">b) </w:t>
      </w:r>
      <w:r>
        <w:rPr>
          <w:rFonts w:ascii="Cambria" w:hAnsi="Cambria"/>
          <w:b w:val="0"/>
          <w:i w:val="0"/>
        </w:rPr>
        <w:t>Personale. Il passaggio dei quattro dipendenti a Ermitek Srl dovrà avvenire con cessazione dei rapporti e nuova assunzione, in coerenza con l'impostazione dell'operazione, che non prevede cessione o conferimento d'azienda. Il trasferimento contestuale di personale, attività e clientela nella stessa sede espone a una possibile riqualificazione come trasferimento d'azienda (art. 2112 c.c.), con i connessi profili di responsabilità del cessionario per i debiti dell'azienda (art. 2560 c.c. e norme tributarie in materia). I soci hanno valutato e accettato il rischio; si propone di darne atto con dichiarazione scritta di consapevolezza e accettazione, da conservare agli atti.</w:t>
      </w:r>
    </w:p>
    <w:p>
      <w:pPr>
        <w:spacing w:after="100" w:line="276" w:lineRule="auto"/>
        <w:ind w:left="567" w:hanging="397"/>
        <w:jc w:val="both"/>
      </w:pPr>
      <w:r>
        <w:rPr>
          <w:rFonts w:ascii="Cambria" w:hAnsi="Cambria"/>
          <w:color w:val="8B2E2E"/>
        </w:rPr>
        <w:t xml:space="preserve">c) </w:t>
      </w:r>
      <w:r>
        <w:rPr>
          <w:rFonts w:ascii="Cambria" w:hAnsi="Cambria"/>
          <w:b w:val="0"/>
          <w:i w:val="0"/>
        </w:rPr>
        <w:t xml:space="preserve">Affitto d'azienda del 1999. Andrà verificato che il contratto di affitto d'azienda stipulato nel 1999 con Emilio Negro </w:t>
      </w:r>
      <w:r>
        <w:rPr>
          <w:rFonts w:ascii="Cambria" w:hAnsi="Cambria"/>
          <w:b w:val="0"/>
          <w:i w:val="0"/>
          <w:highlight w:val="yellow"/>
        </w:rPr>
        <w:t>[DA COMPLETARE: ruolo di Emilio Negro e parti del contratto]</w:t>
      </w:r>
      <w:r>
        <w:rPr>
          <w:rFonts w:ascii="Cambria" w:hAnsi="Cambria"/>
          <w:b w:val="0"/>
          <w:i w:val="0"/>
        </w:rPr>
        <w:t xml:space="preserve"> sia cessato o venga risolto prima dell'avvio di Ermitek Srl, poiché incide sulla titolarità di insegna, avviamento e rapporti commerciali storici.</w:t>
      </w:r>
    </w:p>
    <w:p>
      <w:pPr>
        <w:spacing w:after="100" w:line="276" w:lineRule="auto"/>
        <w:ind w:left="567" w:hanging="397"/>
        <w:jc w:val="both"/>
      </w:pPr>
      <w:r>
        <w:rPr>
          <w:rFonts w:ascii="Cambria" w:hAnsi="Cambria"/>
          <w:color w:val="8B2E2E"/>
        </w:rPr>
        <w:t xml:space="preserve">d) </w:t>
      </w:r>
      <w:r>
        <w:rPr>
          <w:rFonts w:ascii="Cambria" w:hAnsi="Cambria"/>
          <w:b w:val="0"/>
          <w:i w:val="0"/>
        </w:rPr>
        <w:t xml:space="preserve">Vendita di liquidazione. La vendita per cessazione dell'attività richiede la comunicazione preventiva al Comune nei termini della normativa regionale del Veneto sul commercio </w:t>
      </w:r>
      <w:r>
        <w:rPr>
          <w:rFonts w:ascii="Cambria" w:hAnsi="Cambria"/>
          <w:b w:val="0"/>
          <w:i w:val="0"/>
          <w:highlight w:val="yellow"/>
        </w:rPr>
        <w:t>[DA COMPLETARE: termini e riferimento normativo]</w:t>
      </w:r>
      <w:r>
        <w:rPr>
          <w:rFonts w:ascii="Cambria" w:hAnsi="Cambria"/>
          <w:b w:val="0"/>
          <w:i w:val="0"/>
        </w:rPr>
        <w:t>; al termine andranno cancellate dal registro delle imprese l'attività commerciale e quella impiantistica.</w:t>
      </w:r>
    </w:p>
    <w:p>
      <w:pPr>
        <w:keepNext/>
        <w:spacing w:before="280" w:after="160"/>
        <w:pBdr>
          <w:bottom w:val="single" w:sz="6" w:space="4" w:color="8B2E2E"/>
        </w:pBdr>
      </w:pPr>
      <w:r>
        <w:rPr>
          <w:rFonts w:ascii="Cambria" w:hAnsi="Cambria"/>
          <w:b w:val="0"/>
          <w:i w:val="0"/>
          <w:color w:val="8B2E2E"/>
          <w:sz w:val="24"/>
        </w:rPr>
        <w:t>8. PUNTI DA DEFINIRE CON IL NOTAIO</w:t>
      </w:r>
    </w:p>
    <w:p>
      <w:pPr>
        <w:spacing w:after="120" w:line="276" w:lineRule="auto"/>
        <w:jc w:val="left"/>
      </w:pPr>
      <w:r>
        <w:rPr>
          <w:rFonts w:ascii="Cambria" w:hAnsi="Cambria"/>
          <w:b w:val="0"/>
          <w:i w:val="0"/>
        </w:rPr>
        <w:t>Si riepilogano le scelte su cui si chiede il parere della S.V. prima della stipula del 22 ottobre:</w:t>
      </w:r>
    </w:p>
    <w:p>
      <w:pPr>
        <w:spacing w:after="100" w:line="276" w:lineRule="auto"/>
        <w:ind w:left="567" w:hanging="397"/>
        <w:jc w:val="both"/>
      </w:pPr>
      <w:r>
        <w:rPr>
          <w:rFonts w:ascii="Cambria" w:hAnsi="Cambria"/>
          <w:color w:val="8B2E2E"/>
        </w:rPr>
        <w:t xml:space="preserve">a) </w:t>
      </w:r>
      <w:r>
        <w:rPr>
          <w:rFonts w:ascii="Cambria" w:hAnsi="Cambria"/>
          <w:b w:val="0"/>
          <w:i w:val="0"/>
        </w:rPr>
        <w:t>nomina di Oliviero Negro come unico accomandatario oppure insieme a Sonia Maria Biffis;</w:t>
      </w:r>
    </w:p>
    <w:p>
      <w:pPr>
        <w:spacing w:after="100" w:line="276" w:lineRule="auto"/>
        <w:ind w:left="567" w:hanging="397"/>
        <w:jc w:val="both"/>
      </w:pPr>
      <w:r>
        <w:rPr>
          <w:rFonts w:ascii="Cambria" w:hAnsi="Cambria"/>
          <w:color w:val="8B2E2E"/>
        </w:rPr>
        <w:t xml:space="preserve">b) </w:t>
      </w:r>
      <w:r>
        <w:rPr>
          <w:rFonts w:ascii="Cambria" w:hAnsi="Cambria"/>
          <w:b w:val="0"/>
          <w:i w:val="0"/>
        </w:rPr>
        <w:t>ordine delle deliberazioni, con trasformazione anteriore all'ingresso di Giosuè Negro come accomandante, e coordinamento con l'efficacia della trasformazione (art. 2500 c.c.);</w:t>
      </w:r>
    </w:p>
    <w:p>
      <w:pPr>
        <w:spacing w:after="100" w:line="276" w:lineRule="auto"/>
        <w:ind w:left="567" w:hanging="397"/>
        <w:jc w:val="both"/>
      </w:pPr>
      <w:r>
        <w:rPr>
          <w:rFonts w:ascii="Cambria" w:hAnsi="Cambria"/>
          <w:color w:val="8B2E2E"/>
        </w:rPr>
        <w:t xml:space="preserve">c) </w:t>
      </w:r>
      <w:r>
        <w:rPr>
          <w:rFonts w:ascii="Cambria" w:hAnsi="Cambria"/>
          <w:b w:val="0"/>
          <w:i w:val="0"/>
        </w:rPr>
        <w:t>rettifica o precisazione della ripartizione degli utili nell'atto del 29 dicembre 2025;</w:t>
      </w:r>
    </w:p>
    <w:p>
      <w:pPr>
        <w:spacing w:after="100" w:line="276" w:lineRule="auto"/>
        <w:ind w:left="567" w:hanging="397"/>
        <w:jc w:val="both"/>
      </w:pPr>
      <w:r>
        <w:rPr>
          <w:rFonts w:ascii="Cambria" w:hAnsi="Cambria"/>
          <w:color w:val="8B2E2E"/>
        </w:rPr>
        <w:t xml:space="preserve">d) </w:t>
      </w:r>
      <w:r>
        <w:rPr>
          <w:rFonts w:ascii="Cambria" w:hAnsi="Cambria"/>
          <w:b w:val="0"/>
          <w:i w:val="0"/>
        </w:rPr>
        <w:t>decorrenza della nuova ripartizione degli utili e trattamento delle riserve pregresse;</w:t>
      </w:r>
    </w:p>
    <w:p>
      <w:pPr>
        <w:spacing w:after="100" w:line="276" w:lineRule="auto"/>
        <w:ind w:left="567" w:hanging="397"/>
        <w:jc w:val="both"/>
      </w:pPr>
      <w:r>
        <w:rPr>
          <w:rFonts w:ascii="Cambria" w:hAnsi="Cambria"/>
          <w:color w:val="8B2E2E"/>
        </w:rPr>
        <w:t xml:space="preserve">e) </w:t>
      </w:r>
      <w:r>
        <w:rPr>
          <w:rFonts w:ascii="Cambria" w:hAnsi="Cambria"/>
          <w:b w:val="0"/>
          <w:i w:val="0"/>
        </w:rPr>
        <w:t>clausola transitoria nell'oggetto sociale oppure integrazione dell'oggetto vigente;</w:t>
      </w:r>
    </w:p>
    <w:p>
      <w:pPr>
        <w:spacing w:after="100" w:line="276" w:lineRule="auto"/>
        <w:ind w:left="567" w:hanging="397"/>
        <w:jc w:val="both"/>
      </w:pPr>
      <w:r>
        <w:rPr>
          <w:rFonts w:ascii="Cambria" w:hAnsi="Cambria"/>
          <w:color w:val="8B2E2E"/>
        </w:rPr>
        <w:t xml:space="preserve">f) </w:t>
      </w:r>
      <w:r>
        <w:rPr>
          <w:rFonts w:ascii="Cambria" w:hAnsi="Cambria"/>
          <w:b w:val="0"/>
          <w:i w:val="0"/>
        </w:rPr>
        <w:t>criteri di calcolo delle maggioranze;</w:t>
      </w:r>
    </w:p>
    <w:p>
      <w:pPr>
        <w:spacing w:after="100" w:line="276" w:lineRule="auto"/>
        <w:ind w:left="567" w:hanging="397"/>
        <w:jc w:val="both"/>
      </w:pPr>
      <w:r>
        <w:rPr>
          <w:rFonts w:ascii="Cambria" w:hAnsi="Cambria"/>
          <w:color w:val="8B2E2E"/>
        </w:rPr>
        <w:t xml:space="preserve">g) </w:t>
      </w:r>
      <w:r>
        <w:rPr>
          <w:rFonts w:ascii="Cambria" w:hAnsi="Cambria"/>
          <w:b w:val="0"/>
          <w:i w:val="0"/>
        </w:rPr>
        <w:t>compatibilità della ragione sociale con l'art. 2314 c.c.;</w:t>
      </w:r>
    </w:p>
    <w:p>
      <w:pPr>
        <w:spacing w:after="100" w:line="276" w:lineRule="auto"/>
        <w:ind w:left="567" w:hanging="397"/>
        <w:jc w:val="both"/>
      </w:pPr>
      <w:r>
        <w:rPr>
          <w:rFonts w:ascii="Cambria" w:hAnsi="Cambria"/>
          <w:color w:val="8B2E2E"/>
        </w:rPr>
        <w:t xml:space="preserve">h) </w:t>
      </w:r>
      <w:r>
        <w:rPr>
          <w:rFonts w:ascii="Cambria" w:hAnsi="Cambria"/>
          <w:b w:val="0"/>
          <w:i w:val="0"/>
        </w:rPr>
        <w:t>clausole di prelazione, di continuazione con gli eredi e di sostituzione dell'accomandatario;</w:t>
      </w:r>
    </w:p>
    <w:p>
      <w:pPr>
        <w:spacing w:after="100" w:line="276" w:lineRule="auto"/>
        <w:ind w:left="567" w:hanging="397"/>
        <w:jc w:val="both"/>
      </w:pPr>
      <w:r>
        <w:rPr>
          <w:rFonts w:ascii="Cambria" w:hAnsi="Cambria"/>
          <w:color w:val="8B2E2E"/>
        </w:rPr>
        <w:t xml:space="preserve">i) </w:t>
      </w:r>
      <w:r>
        <w:rPr>
          <w:rFonts w:ascii="Cambria" w:hAnsi="Cambria"/>
          <w:b w:val="0"/>
          <w:i w:val="0"/>
        </w:rPr>
        <w:t>consenso di tutti i soci ai sensi dell'art. 2301 c.c., anche per Sonia Maria Biffis se nominata accomandataria;</w:t>
      </w:r>
    </w:p>
    <w:p>
      <w:pPr>
        <w:spacing w:after="100" w:line="276" w:lineRule="auto"/>
        <w:ind w:left="567" w:hanging="397"/>
        <w:jc w:val="both"/>
      </w:pPr>
      <w:r>
        <w:rPr>
          <w:rFonts w:ascii="Cambria" w:hAnsi="Cambria"/>
          <w:color w:val="8B2E2E"/>
        </w:rPr>
        <w:t xml:space="preserve">j) </w:t>
      </w:r>
      <w:r>
        <w:rPr>
          <w:rFonts w:ascii="Cambria" w:hAnsi="Cambria"/>
          <w:b w:val="0"/>
          <w:i w:val="0"/>
        </w:rPr>
        <w:t>clausola sull'obbligo di distribuire utili almeno pari alle imposte dovute dai soci (capitolo 4, lettera c);</w:t>
      </w:r>
    </w:p>
    <w:p>
      <w:pPr>
        <w:spacing w:after="100" w:line="276" w:lineRule="auto"/>
        <w:ind w:left="567" w:hanging="397"/>
        <w:jc w:val="both"/>
      </w:pPr>
      <w:r>
        <w:rPr>
          <w:rFonts w:ascii="Cambria" w:hAnsi="Cambria"/>
          <w:color w:val="8B2E2E"/>
        </w:rPr>
        <w:t xml:space="preserve">k) </w:t>
      </w:r>
      <w:r>
        <w:rPr>
          <w:rFonts w:ascii="Cambria" w:hAnsi="Cambria"/>
          <w:b w:val="0"/>
          <w:i w:val="0"/>
        </w:rPr>
        <w:t>qualificazione e trattamento delle liberalità indirette (capitolo 2, lettera b) e capacità di Giosuè Negro (capitolo 2, lettera d).</w:t>
      </w:r>
    </w:p>
    <w:p>
      <w:pPr>
        <w:spacing w:after="280" w:line="276" w:lineRule="auto"/>
        <w:jc w:val="left"/>
      </w:pPr>
      <w:r>
        <w:rPr>
          <w:rFonts w:ascii="Cambria" w:hAnsi="Cambria"/>
          <w:b w:val="0"/>
          <w:i w:val="0"/>
        </w:rPr>
        <w:t>Restiamo a disposizione per ogni chiarimento e per l'esame della bozza dell'atto.</w:t>
      </w:r>
    </w:p>
    <w:p>
      <w:pPr>
        <w:spacing w:after="120" w:line="276" w:lineRule="auto"/>
        <w:jc w:val="left"/>
      </w:pPr>
      <w:r>
        <w:rPr>
          <w:rFonts w:ascii="Cambria" w:hAnsi="Cambria"/>
          <w:b w:val="0"/>
          <w:i w:val="0"/>
        </w:rPr>
        <w:t>Cordialità</w:t>
      </w:r>
    </w:p>
    <w:p>
      <w:pPr>
        <w:spacing w:after="40" w:line="276" w:lineRule="auto"/>
        <w:jc w:val="left"/>
      </w:pPr>
      <w:r>
        <w:rPr>
          <w:rFonts w:ascii="Cambria" w:hAnsi="Cambria"/>
          <w:b w:val="0"/>
          <w:i w:val="0"/>
          <w:color w:val="8B2E2E"/>
        </w:rPr>
        <w:t>Garamond Consulting Srl</w:t>
      </w:r>
    </w:p>
    <w:p>
      <w:pPr>
        <w:spacing w:after="0" w:line="276" w:lineRule="auto"/>
        <w:jc w:val="left"/>
      </w:pPr>
      <w:r>
        <w:rPr>
          <w:rFonts w:ascii="Cambria" w:hAnsi="Cambria"/>
          <w:b w:val="0"/>
          <w:i w:val="0"/>
          <w:color w:val="8B2E2E"/>
        </w:rPr>
        <w:t>dott. Andrea Rossi</w:t>
      </w:r>
    </w:p>
    <w:sectPr w:rsidR="00FC693F" w:rsidRPr="0006063C" w:rsidSect="00034616">
      <w:footerReference w:type="default" r:id="rId9"/>
      <w:pgSz w:w="11906" w:h="16838"/>
      <w:pgMar w:top="1417" w:right="1417" w:bottom="130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mbria" w:hAnsi="Cambria"/>
        <w:b w:val="0"/>
        <w:i w:val="0"/>
        <w:color w:val="666666"/>
        <w:sz w:val="18"/>
      </w:rPr>
      <w:t>Garamond Consulting Srl – 17 ottobre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eastAsia="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