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SPIN Tasks</w:t>
      </w:r>
    </w:p>
    <w:p>
      <w:pPr>
        <w:pStyle w:val="3"/>
        <w:spacing w:before="300" w:after="120" w:line="288" w:lineRule="auto"/>
        <w:ind w:left="0"/>
        <w:jc w:val="left"/>
        <w:outlineLvl w:val="2"/>
      </w:pPr>
      <w:bookmarkStart w:name="heading_0" w:id="0"/>
      <w:r>
        <w:rPr>
          <w:rFonts w:eastAsia="等线" w:ascii="Arial" w:cs="Arial" w:hAnsi="Arial"/>
          <w:b w:val="true"/>
          <w:color w:val="de7802"/>
          <w:sz w:val="30"/>
        </w:rPr>
        <w:t>SPIN Task: Mastering the Skill with Your Coach</w:t>
      </w:r>
      <w:r>
        <w:rPr>
          <w:rFonts w:eastAsia="等线" w:ascii="Arial" w:cs="Arial" w:hAnsi="Arial"/>
          <w:b w:val="true"/>
          <w:color w:val="de7802"/>
          <w:sz w:val="30"/>
        </w:rPr>
        <w:t xml:space="preserve"> 🎯</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The purpose of this task is for you to hone your SPIN skills with the guidance of your coach. You’ll go through a few rounds of SPIN while your coach assesses your capabilities and provides feedback on areas for improvement.</w:t>
      </w:r>
    </w:p>
    <w:p>
      <w:pPr>
        <w:spacing w:before="120" w:after="120" w:line="288" w:lineRule="auto"/>
        <w:ind w:left="0"/>
        <w:jc w:val="left"/>
      </w:pPr>
    </w:p>
    <w:p>
      <w:pPr>
        <w:spacing w:before="120" w:after="120" w:line="288" w:lineRule="auto"/>
        <w:ind w:left="0"/>
        <w:jc w:val="left"/>
      </w:pPr>
      <w:r>
        <w:rPr>
          <w:rFonts w:eastAsia="等线" w:ascii="Arial" w:cs="Arial" w:hAnsi="Arial"/>
          <w:sz w:val="22"/>
        </w:rPr>
        <w:t>Now that you’ve completed your People</w:t>
      </w:r>
      <w:r>
        <w:rPr>
          <w:rFonts w:eastAsia="等线" w:ascii="Arial" w:cs="Arial" w:hAnsi="Arial"/>
          <w:b w:val="true"/>
          <w:sz w:val="22"/>
        </w:rPr>
        <w:t xml:space="preserve"> </w:t>
      </w:r>
      <w:r>
        <w:rPr>
          <w:rFonts w:eastAsia="等线" w:ascii="Arial" w:cs="Arial" w:hAnsi="Arial"/>
          <w:sz w:val="22"/>
        </w:rPr>
        <w:t>Engagement with your coach, it’s time for the SPIN</w:t>
      </w:r>
      <w:r>
        <w:rPr>
          <w:rFonts w:eastAsia="等线" w:ascii="Arial" w:cs="Arial" w:hAnsi="Arial"/>
          <w:b w:val="true"/>
          <w:sz w:val="22"/>
        </w:rPr>
        <w:t xml:space="preserve"> </w:t>
      </w:r>
      <w:r>
        <w:rPr>
          <w:rFonts w:eastAsia="等线" w:ascii="Arial" w:cs="Arial" w:hAnsi="Arial"/>
          <w:sz w:val="22"/>
        </w:rPr>
        <w:t>Trial Run. No scores will be recorded for this assessment—it’s all about testing your skills. Afterward, your coach will give you valuable feedback.</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color w:val="de7802"/>
          <w:sz w:val="30"/>
        </w:rPr>
        <w:t>SPIN Trial Run:</w:t>
      </w:r>
      <w:bookmarkEnd w:id="1"/>
    </w:p>
    <w:p>
      <w:pPr>
        <w:spacing w:before="120" w:after="120" w:line="288" w:lineRule="auto"/>
        <w:ind w:left="0"/>
        <w:jc w:val="left"/>
      </w:pPr>
    </w:p>
    <w:p>
      <w:pPr>
        <w:numPr>
          <w:numId w:val="1"/>
        </w:numPr>
        <w:spacing w:before="120" w:after="120" w:line="288" w:lineRule="auto"/>
        <w:ind w:left="0"/>
        <w:jc w:val="left"/>
      </w:pPr>
      <w:hyperlink r:id="rId5">
        <w:r>
          <w:rPr>
            <w:rFonts w:eastAsia="等线" w:ascii="Arial" w:cs="Arial" w:hAnsi="Arial"/>
            <w:b w:val="true"/>
            <w:color w:val="3370ff"/>
            <w:sz w:val="22"/>
          </w:rPr>
          <w:t>[Master] SPIN, Closing &amp; Full Pitching Scenarios</w:t>
        </w:r>
      </w:hyperlink>
      <w:r>
        <w:rPr>
          <w:rFonts w:eastAsia="等线" w:ascii="Arial" w:cs="Arial" w:hAnsi="Arial"/>
          <w:sz w:val="22"/>
        </w:rPr>
        <w:t>: Refer to the Scenario Assignment Tab for your assigned merchant scenarios and their profiles (find them in the Scenario Tab).</w:t>
      </w:r>
    </w:p>
    <w:p>
      <w:pPr>
        <w:numPr>
          <w:numId w:val="2"/>
        </w:numPr>
        <w:spacing w:before="120" w:after="120" w:line="288" w:lineRule="auto"/>
        <w:ind w:left="0"/>
        <w:jc w:val="left"/>
      </w:pPr>
      <w:r>
        <w:rPr>
          <w:rFonts w:eastAsia="等线" w:ascii="Arial" w:cs="Arial" w:hAnsi="Arial"/>
          <w:sz w:val="22"/>
        </w:rPr>
        <w:t>SPIN Recording: Begin your SPIN recording based on the scenario you’ve been given. Follow the steps for the SPIN recording using Google Meet.</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color w:val="de7802"/>
          <w:sz w:val="30"/>
        </w:rPr>
        <w:t>SPIN Video Sample:</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Once you’ve done your trial run, take some time to watch video samples to understand the flow and delivery of SPIN from our seniors. After watching, you’ll be ready for your </w:t>
      </w:r>
      <w:r>
        <w:rPr>
          <w:rFonts w:eastAsia="等线" w:ascii="Arial" w:cs="Arial" w:hAnsi="Arial"/>
          <w:b w:val="true"/>
          <w:sz w:val="22"/>
        </w:rPr>
        <w:t>SPIN 1 assessment</w:t>
      </w:r>
      <w:r>
        <w:rPr>
          <w:rFonts w:eastAsia="等线" w:ascii="Arial" w:cs="Arial" w:hAnsi="Arial"/>
          <w:sz w:val="22"/>
        </w:rPr>
        <w:t>, which will be scheduled after your review session with your coach.</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F&amp;B Video Sample</w:t>
      </w:r>
    </w:p>
    <w:p>
      <w:pPr>
        <w:spacing w:before="120" w:after="120" w:line="288" w:lineRule="auto"/>
        <w:ind w:left="0"/>
        <w:jc w:val="left"/>
      </w:pPr>
      <w:r>
        <w:rPr>
          <w:rFonts w:eastAsia="等线" w:ascii="Arial" w:cs="Arial" w:hAnsi="Arial"/>
          <w:b w:val="true"/>
          <w:color w:val="646a73"/>
          <w:sz w:val="22"/>
        </w:rPr>
        <w:t>[[Day 2] F&amp;B SPIN.mp4]</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sz w:val="22"/>
        </w:rPr>
        <w:t>Retail Video Sample</w:t>
      </w:r>
    </w:p>
    <w:p>
      <w:pPr>
        <w:spacing w:before="120" w:after="120" w:line="288" w:lineRule="auto"/>
        <w:ind w:left="0"/>
        <w:jc w:val="left"/>
      </w:pPr>
      <w:r>
        <w:rPr>
          <w:rFonts w:eastAsia="等线" w:ascii="Arial" w:cs="Arial" w:hAnsi="Arial"/>
          <w:b w:val="true"/>
          <w:color w:val="646a73"/>
          <w:sz w:val="22"/>
        </w:rPr>
        <w:t>[[Day 2] Retail SPIN.mp4]</w:t>
      </w:r>
    </w:p>
    <w:p>
      <w:pPr>
        <w:spacing w:before="120" w:after="120" w:line="288" w:lineRule="auto"/>
        <w:ind w:left="0"/>
        <w:jc w:val="left"/>
      </w:pPr>
    </w:p>
    <w:tbl>
      <w:tblPr>
        <w:tblW w:w="0" w:type="auto"/>
        <w:tblInd w:w="0" w:type="dxa"/>
        <w:tblBorders>
          <w:top w:val="single" w:color="cdb2fa"/>
          <w:left w:val="single" w:color="cdb2fa"/>
          <w:bottom w:val="single" w:color="cdb2fa"/>
          <w:right w:val="single" w:color="cdb2fa"/>
          <w:insideH w:val="single" w:color="cdb2fa"/>
          <w:insideV w:val="single" w:color="cdb2fa"/>
        </w:tblBorders>
        <w:tblLayout w:type="fixed"/>
      </w:tblPr>
      <w:tblGrid>
        <w:gridCol w:w="8280"/>
      </w:tblGrid>
      <w:tr>
        <w:tc>
          <w:tcPr>
            <w:tcW w:w="8280" w:type="dxa"/>
            <w:shd w:color="auto" w:val="clear" w:fill="fef1f1"/>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Note for Philippine players</w:t>
            </w:r>
            <w:r>
              <w:rPr>
                <w:rFonts w:eastAsia="等线" w:ascii="Arial" w:cs="Arial" w:hAnsi="Arial"/>
                <w:sz w:val="22"/>
              </w:rPr>
              <w:t xml:space="preserve">: The deck in the video may differ, but your focus here is to grasp the SPIN flow. You will later apply this flow using the </w:t>
            </w:r>
            <w:r>
              <w:rPr>
                <w:rFonts w:eastAsia="等线" w:ascii="Arial" w:cs="Arial" w:hAnsi="Arial"/>
                <w:b w:val="true"/>
                <w:sz w:val="22"/>
              </w:rPr>
              <w:t>PH Sales Deck</w:t>
            </w:r>
            <w:r>
              <w:rPr>
                <w:rFonts w:eastAsia="等线" w:ascii="Arial" w:cs="Arial" w:hAnsi="Arial"/>
                <w:sz w:val="22"/>
              </w:rPr>
              <w:t xml:space="preserve"> during your recordings.</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color w:val="de7802"/>
          <w:sz w:val="30"/>
        </w:rPr>
        <w:t>SPIN 1 Assessment:</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Great! After your feedback session with your coach, you’ll be ready to start recording your </w:t>
      </w:r>
      <w:r>
        <w:rPr>
          <w:rFonts w:eastAsia="等线" w:ascii="Arial" w:cs="Arial" w:hAnsi="Arial"/>
          <w:b w:val="true"/>
          <w:sz w:val="22"/>
        </w:rPr>
        <w:t>SPIN 1</w:t>
      </w:r>
      <w:r>
        <w:rPr>
          <w:rFonts w:eastAsia="等线" w:ascii="Arial" w:cs="Arial" w:hAnsi="Arial"/>
          <w:sz w:val="22"/>
        </w:rPr>
        <w:t xml:space="preserve">. Apply the feedback you received to improve your approach. </w:t>
      </w:r>
    </w:p>
    <w:p>
      <w:pPr>
        <w:spacing w:before="120" w:after="120" w:line="288" w:lineRule="auto"/>
        <w:ind w:left="0"/>
        <w:jc w:val="left"/>
      </w:pPr>
    </w:p>
    <w:p>
      <w:pPr>
        <w:numPr>
          <w:numId w:val="5"/>
        </w:numPr>
        <w:spacing w:before="120" w:after="120" w:line="288" w:lineRule="auto"/>
        <w:ind w:left="0"/>
        <w:jc w:val="left"/>
      </w:pPr>
      <w:hyperlink r:id="rId6">
        <w:r>
          <w:rPr>
            <w:rFonts w:eastAsia="等线" w:ascii="Arial" w:cs="Arial" w:hAnsi="Arial"/>
            <w:b w:val="true"/>
            <w:color w:val="3370ff"/>
            <w:sz w:val="22"/>
          </w:rPr>
          <w:t>[Master] SPIN, Closing &amp; Full Pitching Scenarios</w:t>
        </w:r>
      </w:hyperlink>
      <w:r>
        <w:rPr>
          <w:rFonts w:eastAsia="等线" w:ascii="Arial" w:cs="Arial" w:hAnsi="Arial"/>
          <w:sz w:val="22"/>
        </w:rPr>
        <w:t>: Refer to the Scenario Assignment Tab for your assigned merchant scenarios and their profiles (find them in the Scenario Tab).</w:t>
      </w:r>
    </w:p>
    <w:p>
      <w:pPr>
        <w:numPr>
          <w:numId w:val="6"/>
        </w:numPr>
        <w:spacing w:before="120" w:after="120" w:line="288" w:lineRule="auto"/>
        <w:ind w:left="0"/>
        <w:jc w:val="left"/>
      </w:pPr>
      <w:r>
        <w:rPr>
          <w:rFonts w:eastAsia="等线" w:ascii="Arial" w:cs="Arial" w:hAnsi="Arial"/>
          <w:sz w:val="22"/>
        </w:rPr>
        <w:t>SPIN Recording: Begin your SPIN recording based on the scenario you’ve been given. Follow the steps for the SPIN recording using Google Meet.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Once you’ve completed the assessment, your coach will review your performance using a </w:t>
      </w:r>
      <w:hyperlink r:id="rId7">
        <w:r>
          <w:rPr>
            <w:rFonts w:eastAsia="等线" w:ascii="Arial" w:cs="Arial" w:hAnsi="Arial"/>
            <w:color w:val="3370ff"/>
            <w:sz w:val="22"/>
          </w:rPr>
          <w:t>[Master]  - BC Training Scorecard (1)</w:t>
        </w:r>
      </w:hyperlink>
      <w:r>
        <w:rPr>
          <w:rFonts w:eastAsia="等线" w:ascii="Arial" w:cs="Arial" w:hAnsi="Arial"/>
          <w:sz w:val="22"/>
        </w:rPr>
        <w:t xml:space="preserve"> in a follow-up session.</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Let’s make sure you SPIN to win! ✨</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6943">
    <w:lvl>
      <w:start w:val="1"/>
      <w:numFmt w:val="decimal"/>
      <w:suff w:val="tab"/>
      <w:lvlText w:val="%1."/>
      <w:rPr>
        <w:color w:val="3370ff"/>
      </w:rPr>
    </w:lvl>
  </w:abstractNum>
  <w:abstractNum w:abstractNumId="66944">
    <w:lvl>
      <w:start w:val="2"/>
      <w:numFmt w:val="decimal"/>
      <w:suff w:val="tab"/>
      <w:lvlText w:val="%1."/>
      <w:rPr>
        <w:color w:val="3370ff"/>
      </w:rPr>
    </w:lvl>
  </w:abstractNum>
  <w:abstractNum w:abstractNumId="66945">
    <w:lvl>
      <w:start w:val="1"/>
      <w:numFmt w:val="decimal"/>
      <w:suff w:val="tab"/>
      <w:lvlText w:val="%1."/>
      <w:rPr>
        <w:color w:val="3370ff"/>
      </w:rPr>
    </w:lvl>
  </w:abstractNum>
  <w:abstractNum w:abstractNumId="66946">
    <w:lvl>
      <w:start w:val="2"/>
      <w:numFmt w:val="decimal"/>
      <w:suff w:val="tab"/>
      <w:lvlText w:val="%1."/>
      <w:rPr>
        <w:color w:val="3370ff"/>
      </w:rPr>
    </w:lvl>
  </w:abstractNum>
  <w:abstractNum w:abstractNumId="66947">
    <w:lvl>
      <w:start w:val="1"/>
      <w:numFmt w:val="decimal"/>
      <w:suff w:val="tab"/>
      <w:lvlText w:val="%1."/>
      <w:rPr>
        <w:color w:val="3370ff"/>
      </w:rPr>
    </w:lvl>
  </w:abstractNum>
  <w:abstractNum w:abstractNumId="66948">
    <w:lvl>
      <w:start w:val="2"/>
      <w:numFmt w:val="decimal"/>
      <w:suff w:val="tab"/>
      <w:lvlText w:val="%1."/>
      <w:rPr>
        <w:color w:val="3370ff"/>
      </w:rPr>
    </w:lvl>
  </w:abstractNum>
  <w:num w:numId="1">
    <w:abstractNumId w:val="66943"/>
  </w:num>
  <w:num w:numId="2">
    <w:abstractNumId w:val="66944"/>
  </w:num>
  <w:num w:numId="3">
    <w:abstractNumId w:val="66945"/>
  </w:num>
  <w:num w:numId="4">
    <w:abstractNumId w:val="66946"/>
  </w:num>
  <w:num w:numId="5">
    <w:abstractNumId w:val="66947"/>
  </w:num>
  <w:num w:numId="6">
    <w:abstractNumId w:val="669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storehub.sg.larksuite.com/sheets/SKspsGlkihKbR4t3GjWlqMtUgPb?sheet=0vGmVH" TargetMode="External" Type="http://schemas.openxmlformats.org/officeDocument/2006/relationships/hyperlink"/><Relationship Id="rId6" Target="https://storehub.sg.larksuite.com/sheets/SKspsGlkihKbR4t3GjWlqMtUgPb?sheet=0vGmVH" TargetMode="External" Type="http://schemas.openxmlformats.org/officeDocument/2006/relationships/hyperlink"/><Relationship Id="rId7" Target="https://storehub.sg.larksuite.com/sheets/Cq3ws0tqGhK3MJtzMBClN2BmgFc?sheet=3JyKfW" TargetMode="External" Type="http://schemas.openxmlformats.org/officeDocument/2006/relationships/hyperlink"/><Relationship Id="rId8"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2026-01-09T11:52:29Z</dcterms:created>
  <dc:creator>Apache POI</dc:creator>
</cp:coreProperties>
</file>